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5E6"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1FCE54D5" w14:textId="77777777" w:rsidR="004404F3"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14:paraId="499945C5" w14:textId="77777777" w:rsidR="004404F3" w:rsidRDefault="004404F3">
      <w:pPr>
        <w:pStyle w:val="address"/>
        <w:ind w:left="426" w:right="84"/>
        <w:rPr>
          <w:sz w:val="24"/>
          <w:szCs w:val="24"/>
        </w:rPr>
      </w:pPr>
    </w:p>
    <w:p w14:paraId="181680F8" w14:textId="77777777" w:rsidR="004404F3" w:rsidRDefault="00000000">
      <w:pPr>
        <w:pStyle w:val="address"/>
        <w:ind w:left="426" w:right="84"/>
        <w:rPr>
          <w:sz w:val="24"/>
          <w:szCs w:val="24"/>
        </w:rPr>
      </w:pPr>
      <w:r>
        <w:rPr>
          <w:sz w:val="24"/>
          <w:szCs w:val="24"/>
        </w:rPr>
        <w:t xml:space="preserve">School of Computer Science and Engineering, </w:t>
      </w:r>
    </w:p>
    <w:p w14:paraId="325E5AE0" w14:textId="77777777" w:rsidR="004404F3" w:rsidRDefault="00000000">
      <w:pPr>
        <w:pStyle w:val="address"/>
        <w:ind w:left="426" w:right="84"/>
        <w:rPr>
          <w:sz w:val="24"/>
          <w:szCs w:val="24"/>
        </w:rPr>
      </w:pPr>
      <w:r>
        <w:rPr>
          <w:sz w:val="24"/>
          <w:szCs w:val="24"/>
        </w:rPr>
        <w:t>Vellore Institute of Technology, Vellore, 632014, Tamil Nadu, India</w:t>
      </w:r>
    </w:p>
    <w:p w14:paraId="68D1005D"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Pr>
            <w:rStyle w:val="Hyperlink"/>
            <w:sz w:val="36"/>
            <w:szCs w:val="36"/>
            <w:vertAlign w:val="superscript"/>
          </w:rPr>
          <w:t>bandrevu.jeevan2024@vitstudent.ac.in</w:t>
        </w:r>
      </w:hyperlink>
      <w:r>
        <w:rPr>
          <w:rStyle w:val="Hyperlink"/>
          <w:sz w:val="36"/>
          <w:szCs w:val="36"/>
          <w:vertAlign w:val="superscript"/>
        </w:rPr>
        <w:t xml:space="preserve">, </w:t>
      </w:r>
      <w:hyperlink r:id="rId8">
        <w:r>
          <w:rPr>
            <w:rStyle w:val="Hyperlink"/>
            <w:sz w:val="36"/>
            <w:szCs w:val="36"/>
            <w:vertAlign w:val="superscript"/>
          </w:rPr>
          <w:t>nishok.khumarsd2024@vitstudent.ac.in</w:t>
        </w:r>
      </w:hyperlink>
    </w:p>
    <w:p>
      <w:pPr>
        <w:spacing w:before="240" w:after="120" w:line="264" w:lineRule="auto"/>
        <w:jc w:val="both"/>
      </w:pPr>
      <w:r>
        <w:rPr>
          <w:b/>
          <w:bCs/>
          <w:i/>
          <w:iCs/>
        </w:rPr>
        <w:t>Abstract—</w:t>
      </w:r>
      <w:r>
        <w:t xml:space="preserve">Global SHAP rankings are often read as a description of encrypted traffic, but a ranking learned in one observation context need not hold in another. We test this on the seven-class application task of the ISCX VPN-nonVPN benchmark, explaining Random Forest and XGBoost models trained separately on Non-VPN and VPN flows with TreeSHAP. Across contexts each model keeps only three of its five leading features. Against models trained on random halves of one context, cross-context Spearman agreement is lower by 0.13 (XGBoost) and 0.19 (Random Forest); a permutation null that keeps both class mixes gives no such gap. Keeping related flows in the same half shrinks the gap by an amount that depends on the proxy for capture sessions: to about zero with clusters of similar flows sized to the capture files, where the half-models are weak, but only to 0.07 and 0.15 with blocks of consecutive flows in the original files, and the gap stays at or above zero in every repeat even under a first-versus-second-half split. A model trained in one context reaches only 0.43–0.61 macro F1 in the other, whereas a SHAP-selected Top-10 feature list transfers with little loss. Part of the random-split gap thus reflects related flows and part probably remains, but because the two contexts are different sets of captures, none of the differences can be attributed to tunnelling.</w:t>
      </w:r>
    </w:p>
    <w:p w14:paraId="0BB9D828" w14:textId="77777777" w:rsidR="004404F3" w:rsidRDefault="00000000">
      <w:pPr>
        <w:spacing w:after="120"/>
        <w:jc w:val="both"/>
        <w:rPr>
          <w:lang w:val="en-US"/>
        </w:rPr>
      </w:pPr>
      <w:r>
        <w:rPr>
          <w:b/>
          <w:bCs/>
          <w:lang w:val="en-US"/>
        </w:rPr>
        <w:t>Keywords</w:t>
      </w:r>
      <w:r>
        <w:rPr>
          <w:lang w:val="en-US"/>
        </w:rPr>
        <w:t xml:space="preserve">: Encrypted traffic classification, VPN, explainable artificial intelligence, SHAP, TreeSHAP, explanation consistency, aggregated feature-family importance, network security</w:t>
      </w:r>
    </w:p>
    <w:p>
      <w:pPr>
        <w:pStyle w:val="Heading1"/>
        <w:keepNext/>
        <w:spacing w:before="280" w:after="120"/>
        <w:jc w:val="center"/>
      </w:pPr>
      <w:r>
        <w:t xml:space="preserve">I. INTRODUCTION</w:t>
      </w:r>
    </w:p>
    <w:p w14:paraId="484A6489"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68FFC5F1" w14:textId="77777777" w:rsidR="004404F3" w:rsidRDefault="00000000">
      <w:pPr>
        <w:spacing w:after="100" w:line="264" w:lineRule="auto"/>
        <w:ind w:firstLine="284"/>
        <w:jc w:val="both"/>
      </w:pPr>
      <w:r>
        <w:lastRenderedPageBreak/>
        <w:t xml:space="preserve">A VPN does not change which application a flow comes from. What it changes is how much an observer on the network can see. Inside a tunnel, keep-alive messages, encryption overhead and hidden traffic direction are layered over the application's own pattern, so two applications that look different in the clear can become hard to tell apart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14:paraId="37599727" w14:textId="77777777" w:rsidR="004404F3"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03087C87" w14:textId="77777777"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change with the training data, the model and the explanation method [15–17]. Shapley values also handle correlated features poorly: credit among them is split according to the fitted model and not the data distribution [18–20], and flow-based traffic features are heavily correlated. The minimum, mean, maximum and total inter-arrival times of a flow move together. When two similar models rank them differently, the change might reflect a real difference in how the models work, or it might be nothing more than training randomness.</w:t>
      </w:r>
    </w:p>
    <w:p>
      <w:pPr>
        <w:spacing w:after="100" w:line="264" w:lineRule="auto"/>
        <w:ind w:firstLine="284"/>
        <w:jc w:val="both"/>
      </w:pPr>
      <w:r>
        <w:t xml:space="preserve">The VPN and Non-VPN parts of the dataset allow model reliance to be compared across two observation contexts that use the same labels and the same feature encoding. The comparison is observational: class composition and capture sessions also differ between the parts. Cross-context disagreement therefore means little on its own. It has to be set against the disagreement between models trained on different data from the same context, and that reference is only as good as the independence of the data it is built from. Flows from one capture session are often near copies of each other, so a random split of one context puts related flows on both sides and can make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spacing w:after="100" w:line="264" w:lineRule="auto"/>
        <w:ind w:firstLine="284"/>
        <w:jc w:val="both"/>
      </w:pPr>
      <w:r>
        <w:t xml:space="preserve">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 consequences: the cost of applying a trained model to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spacing w:before="280" w:after="120"/>
        <w:jc w:val="center"/>
      </w:pPr>
      <w:r>
        <w:t xml:space="preserve">II. RELATED WORK</w:t>
      </w:r>
    </w:p>
    <w:p w14:paraId="0E92B709" w14:textId="77777777" w:rsidR="004404F3" w:rsidRDefault="00000000">
      <w:pPr>
        <w:pStyle w:val="Heading2"/>
        <w:keepNext/>
        <w:spacing w:before="180" w:after="80"/>
      </w:pPr>
      <w:r>
        <w:t>A. Encrypted and VPN Traffic Classification</w:t>
      </w:r>
    </w:p>
    <w:p w14:paraId="2D849E73" w14:textId="77777777" w:rsidR="004404F3" w:rsidRDefault="00000000">
      <w:pPr>
        <w:spacing w:after="100" w:line="264" w:lineRule="auto"/>
        <w:ind w:firstLine="284"/>
        <w:jc w:val="both"/>
      </w:pPr>
      <w:r>
        <w:t>As encryption spread, traffic classification moved away from port and payload methods toward statistical and learning-based classifiers, a shift documented in several surveys [1–3]. Encryption leaves flow statistics measurable: inter-arrival times, packet sizes, byte and packet rates, and flow duration. Conventional learners built on these statistics score well on many benchmarks [3, 4]. On several datasets, deep models fed with packet sequences or raw bytes have since gone further in accuracy [5–8, 21]. Whether those numbers can be compared is disputed, since studies differ in preprocessing, data splitting and label definitions [22, 23].</w:t>
        <w:lastRenderedPageBreak/>
        <w:t/>
      </w:r>
    </w:p>
    <w:p w14:paraId="53BF8060" w14:textId="77777777" w:rsidR="004404F3" w:rsidRDefault="00000000">
      <w:pPr>
        <w:spacing w:after="100" w:line="264" w:lineRule="auto"/>
        <w:ind w:firstLine="284"/>
        <w:jc w:val="both"/>
      </w:pPr>
      <w:r>
        <w:t>VPN traffic hides one more layer. Draper-Gil et al. [4] captured traffic from several application categories both inside and outside a VPN, and found that time-related features support both VPN detection and characterisation of the application inside the tunnel. A companion study used the same feature design for Tor traffic [24]. The same data later served as a test bed for deep classifiers working on packet- and byte-level inputs [5, 7]. Across this literature, a method is judged by its classification performance, usually accuracy or F1 on a single train/test partition.</w:t>
      </w:r>
    </w:p>
    <w:p w14:paraId="74ACB5DB" w14:textId="77777777" w:rsidR="004404F3" w:rsidRDefault="00000000">
      <w:pPr>
        <w:pStyle w:val="Heading2"/>
        <w:keepNext/>
        <w:spacing w:before="180" w:after="80"/>
      </w:pPr>
      <w:r>
        <w:t>B. Studies Using ISCX VPN-nonVPN</w:t>
      </w:r>
    </w:p>
    <w:p w14:paraId="20C98606" w14:textId="77777777" w:rsidR="004404F3" w:rsidRDefault="00000000">
      <w:pPr>
        <w:spacing w:after="100" w:line="264" w:lineRule="auto"/>
        <w:ind w:firstLine="284"/>
        <w:jc w:val="both"/>
      </w:pPr>
      <w:r>
        <w:t xml:space="preserve">ISCX VPN-nonVPN is widely used as a public benchmark for encrypted and VPN traffic classification. Some studies use its time-related features [4]; others rebuild packet- or byte-level inputs from the raw captures [5, 7, 8]. Two facts about it matter here: it is old, and it has been reused heavily. Jacobs et al. [23] distilled strong network-security classifiers into interpretable surrogate models and showed that several of them leaned on shortcuts and spurious correlations that would probably fail outside the benchmark. Their finding warns directly against reading benchmark explanations as general truths about network traffic. We use the benchmark differently. Our aim is not a better classifier. Instead, we hold the classifier family fixed and ask whether its explanation stays consistent across the two observation contexts the dataset was built to contrast.</w:t>
      </w:r>
    </w:p>
    <w:p w14:paraId="6E276A92" w14:textId="77777777" w:rsidR="004404F3" w:rsidRDefault="00000000">
      <w:pPr>
        <w:pStyle w:val="Heading2"/>
        <w:keepNext/>
        <w:spacing w:before="180" w:after="80"/>
      </w:pPr>
      <w:r>
        <w:t>C. Explainable AI in Network Security</w:t>
      </w:r>
    </w:p>
    <w:p w14:paraId="79304D6F" w14:textId="77777777" w:rsidR="004404F3" w:rsidRDefault="00000000">
      <w:pPr>
        <w:spacing w:after="100" w:line="264" w:lineRule="auto"/>
        <w:ind w:firstLine="284"/>
        <w:jc w:val="both"/>
      </w:pPr>
      <w:r>
        <w:t xml:space="preserve">Security classifiers are increasingly expected to come with explanations, both to help analysts and to expose spurious correlations [11, 25–27]. Warnecke et al. [9] judged explanation methods for security models on several criteria, stability and robustness among them.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4D1798D4" w14:textId="77777777" w:rsidR="004404F3" w:rsidRDefault="00000000">
      <w:pPr>
        <w:pStyle w:val="Heading2"/>
        <w:keepNext/>
        <w:spacing w:before="180" w:after="80"/>
      </w:pPr>
      <w:r>
        <w:t xml:space="preserve">D. Shapley Values, TreeSHAP and Correlated Features</w:t>
      </w:r>
    </w:p>
    <w:p w14:paraId="1D4EE073" w14:textId="77777777" w:rsidR="004404F3" w:rsidRDefault="00000000">
      <w:pPr>
        <w:spacing w:after="100" w:line="264" w:lineRule="auto"/>
        <w:ind w:firstLine="284"/>
        <w:jc w:val="both"/>
      </w:pPr>
      <w:r>
        <w:t xml:space="preserve">SHAP treats the model output as the payoff of a cooperative game and assigns each feature its Shapley value [31] in that game. For one instance, these local attributions sum to the gap between the prediction and a baseline value [13]. For tree ensembles, TreeSHAP computes these attributions efficiently [14], and it comes in two common formulations. The tree-path-dependent version takes its reference behaviour from the cover statistics stored in the trees, so it needs no separate background data. The interventional version averages over a background sample, which cuts the dependence between features and amounts to a marginal (interventional) value function [19, 32]. The two formulations answer different questions, and neither makes a causal claim about how the data were generated [19, 32, 33].</w:t>
      </w:r>
    </w:p>
    <w:p w14:paraId="760550AC"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w:t>
        <w:lastRenderedPageBreak/>
        <w:t>each member feature. We call this descriptive quantity aggregated feature-family importance and do not equate it with either instance-level Group SHAP construction.</w:t>
      </w:r>
    </w:p>
    <w:p w14:paraId="44F4DFD4" w14:textId="77777777" w:rsidR="004404F3" w:rsidRDefault="00000000">
      <w:pPr>
        <w:pStyle w:val="Heading2"/>
        <w:keepNext/>
        <w:spacing w:before="180" w:after="80"/>
      </w:pPr>
      <w:r>
        <w:t>E. Stability of Explanations</w:t>
      </w:r>
    </w:p>
    <w:p w14:paraId="013B9FE9" w14:textId="77777777" w:rsidR="004404F3" w:rsidRDefault="00000000">
      <w:pPr>
        <w:spacing w:after="100" w:line="264" w:lineRule="auto"/>
        <w:ind w:firstLine="284"/>
        <w:jc w:val="both"/>
      </w:pPr>
      <w:r>
        <w:t xml:space="preserve">Most studies of explanation stability look at input perturbations [15, 16], sampling inside local surrogate methods [40], adversarial manipulation [41] or cases in which explanation methods disagree [17]. Fisher et al. [42] found that a set of almost equally good models can rely on different variables, so the importance profile of any single model is just one of many plausible profiles. Comparing two rankings calls for rank-based measures. Spearman's </w:t>
      </w:r>
      <m:oMath>
        <m:r>
          <w:rPr>
            <w:rFonts w:ascii="Cambria Math" w:hAnsi="Cambria Math"/>
          </w:rPr>
          <m:t>ρ</m:t>
        </m:r>
      </m:oMath>
      <w:r>
        <w:t xml:space="preserve"> [43] and Kendall's </w:t>
      </w:r>
      <m:oMath>
        <m:r>
          <w:rPr>
            <w:rFonts w:ascii="Cambria Math" w:hAnsi="Cambria Math"/>
          </w:rPr>
          <m:t>τ</m:t>
        </m:r>
      </m:oMath>
      <w:r>
        <w:t xml:space="preserve"> [44] give every rank the same weight, whereas rank-biased overlap (RBO) puts more weight on agreement near the top of the list [45]. Bootstrap resampling gives a way to put uncertainty bounds on an empirical ranking [46, 47].</w:t>
      </w:r>
    </w:p>
    <w:p w14:paraId="67726397" w14:textId="77777777" w:rsidR="004404F3" w:rsidRDefault="00000000">
      <w:pPr>
        <w:pStyle w:val="Heading2"/>
        <w:keepNext/>
        <w:spacing w:before="180" w:after="80"/>
      </w:pPr>
      <w:r>
        <w:t>F. Gap Addressed by This Study</w:t>
      </w:r>
    </w:p>
    <w:p>
      <w:pPr>
        <w:spacing w:after="100" w:line="264" w:lineRule="auto"/>
        <w:ind w:firstLine="284"/>
        <w:jc w:val="both"/>
      </w:pPr>
      <w:r>
        <w:t xml:space="preserve">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spacing w:before="280" w:after="120"/>
        <w:jc w:val="center"/>
      </w:pPr>
      <w:r>
        <w:t xml:space="preserve">III. DATASET AND EXPERIMENTAL SETUP</w:t>
      </w:r>
    </w:p>
    <w:p>
      <w:pPr>
        <w:pStyle w:val="Heading2"/>
        <w:keepNext/>
        <w:spacing w:before="180" w:after="80"/>
      </w:pPr>
      <w:r>
        <w:t xml:space="preserve">A. Dataset and Observation Contexts</w:t>
      </w:r>
    </w:p>
    <w:p>
      <w:pPr>
        <w:spacing w:after="100" w:line="264" w:lineRule="auto"/>
        <w:ind w:firstLine="284"/>
        <w:jc w:val="both"/>
      </w:pPr>
      <w:r>
        <w:t xml:space="preserve">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which hold 8,965 and 9,793 flows. We removed exact duplicate rows, identical in all 23 features and the label, within each context (271 and 413 rows), leaving 8,694 Non-VPN and 9,380 VPN flows. We then split each context once into stratified 80% training and 20% test partitions. This split is our own and is not supplied with the dataset; we call it the primary split and its parts the primary partitions. We checked that every processed record maps back to a row of the original ARFF files.</w:t>
      </w:r>
    </w:p>
    <w:p>
      <w:pPr>
        <w:spacing w:after="100" w:line="264" w:lineRule="auto"/>
        <w:ind w:firstLine="284"/>
        <w:jc w:val="both"/>
      </w:pPr>
      <w:r>
        <w:t xml:space="preserve">Some feature vectors still occur more than once inside a training partition after this step: 2 vectors account for 6 Non-VPN training rows (4 surplus rows) and 11 vectors for 26 VPN training rows (15 surplus rows). Every one of them carries more than one label, which is why exact-row deduplication kept them. They are label conflicts, not copies, and like the collisions in Section III-C they mark flows that the 23 features cannot separate.</w:t>
      </w:r>
    </w:p>
    <w:p>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14:paraId="516F31A4" w14:textId="77777777" w:rsidR="004404F3" w:rsidRDefault="00000000">
      <w:pPr>
        <w:keepNext/>
        <w:spacing w:before="200" w:line="240" w:lineRule="auto"/>
        <w:jc w:val="center"/>
      </w:pPr>
      <w:r>
        <w:rPr>
          <w:sz w:val="20"/>
          <w:szCs w:val="20"/>
        </w:rPr>
        <w:t>TABLE I</w:t>
      </w:r>
    </w:p>
    <w:p w14:paraId="31D030D4"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4D495DD2" w14:textId="77777777">
        <w:trPr>
          <w:cantSplit/>
          <w:tblHeader/>
          <w:jc w:val="center"/>
        </w:trPr>
        <w:tc>
          <w:tcPr>
            <w:tcW w:w="2001" w:type="dxa"/>
            <w:tcBorders>
              <w:top w:val="single" w:sz="6" w:space="0" w:color="000000"/>
              <w:bottom w:val="single" w:sz="6" w:space="0" w:color="000000"/>
            </w:tcBorders>
            <w:vAlign w:val="center"/>
          </w:tcPr>
          <w:p w14:paraId="1AEDFD19"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371377E2"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00EADDBD" w14:textId="77777777" w:rsidR="004404F3" w:rsidRDefault="00000000">
            <w:r>
              <w:rPr>
                <w:b/>
                <w:bCs/>
                <w:sz w:val="17"/>
                <w:szCs w:val="17"/>
              </w:rPr>
              <w:t>Description</w:t>
            </w:r>
          </w:p>
        </w:tc>
      </w:tr>
      <w:tr w:rsidR="004404F3" w14:paraId="711F2CDD" w14:textId="77777777">
        <w:trPr>
          <w:cantSplit/>
          <w:jc w:val="center"/>
        </w:trPr>
        <w:tc>
          <w:tcPr>
            <w:tcW w:w="2001" w:type="dxa"/>
            <w:tcBorders>
              <w:top w:val="single" w:sz="6" w:space="0" w:color="000000"/>
              <w:bottom w:val="single" w:sz="6" w:space="0" w:color="000000"/>
            </w:tcBorders>
            <w:vAlign w:val="center"/>
          </w:tcPr>
          <w:p w14:paraId="12A12A0B" w14:textId="77777777" w:rsidR="004404F3" w:rsidRDefault="00000000">
            <w:r>
              <w:rPr>
                <w:sz w:val="17"/>
                <w:szCs w:val="17"/>
              </w:rPr>
              <w:t>flowBytesPerSecond</w:t>
            </w:r>
          </w:p>
        </w:tc>
        <w:tc>
          <w:tcPr>
            <w:tcW w:w="1604" w:type="dxa"/>
            <w:tcBorders>
              <w:top w:val="single" w:sz="6" w:space="0" w:color="000000"/>
              <w:bottom w:val="single" w:sz="6" w:space="0" w:color="000000"/>
            </w:tcBorders>
            <w:vAlign w:val="center"/>
          </w:tcPr>
          <w:p w14:paraId="4BD6A463"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046D533E" w14:textId="77777777" w:rsidR="004404F3" w:rsidRDefault="00000000">
            <w:r>
              <w:rPr>
                <w:sz w:val="17"/>
                <w:szCs w:val="17"/>
              </w:rPr>
              <w:t>Bytes per second over the flow</w:t>
            </w:r>
          </w:p>
        </w:tc>
      </w:tr>
      <w:tr w:rsidR="004404F3" w14:paraId="48E34355" w14:textId="77777777">
        <w:trPr>
          <w:cantSplit/>
          <w:jc w:val="center"/>
        </w:trPr>
        <w:tc>
          <w:tcPr>
            <w:tcW w:w="2001" w:type="dxa"/>
            <w:tcBorders>
              <w:top w:val="single" w:sz="6" w:space="0" w:color="000000"/>
              <w:bottom w:val="single" w:sz="6" w:space="0" w:color="000000"/>
            </w:tcBorders>
            <w:vAlign w:val="center"/>
          </w:tcPr>
          <w:p w14:paraId="54091517" w14:textId="77777777" w:rsidR="004404F3" w:rsidRDefault="00000000">
            <w:r>
              <w:rPr>
                <w:sz w:val="17"/>
                <w:szCs w:val="17"/>
              </w:rPr>
              <w:t>flowPktsPerSecond</w:t>
            </w:r>
          </w:p>
        </w:tc>
        <w:tc>
          <w:tcPr>
            <w:tcW w:w="1604" w:type="dxa"/>
            <w:tcBorders>
              <w:top w:val="single" w:sz="6" w:space="0" w:color="000000"/>
              <w:bottom w:val="single" w:sz="6" w:space="0" w:color="000000"/>
            </w:tcBorders>
            <w:vAlign w:val="center"/>
          </w:tcPr>
          <w:p w14:paraId="7B7B0877"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3A00B9C3" w14:textId="77777777" w:rsidR="004404F3" w:rsidRDefault="00000000">
            <w:r>
              <w:rPr>
                <w:sz w:val="17"/>
                <w:szCs w:val="17"/>
              </w:rPr>
              <w:t>Packets per second over the flow</w:t>
            </w:r>
          </w:p>
        </w:tc>
      </w:tr>
      <w:tr w:rsidR="004404F3" w14:paraId="30080A5A" w14:textId="77777777">
        <w:trPr>
          <w:cantSplit/>
          <w:jc w:val="center"/>
        </w:trPr>
        <w:tc>
          <w:tcPr>
            <w:tcW w:w="2001" w:type="dxa"/>
            <w:tcBorders>
              <w:top w:val="single" w:sz="6" w:space="0" w:color="000000"/>
              <w:bottom w:val="single" w:sz="6" w:space="0" w:color="000000"/>
            </w:tcBorders>
            <w:vAlign w:val="center"/>
          </w:tcPr>
          <w:p w14:paraId="519AF762"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41114CD5"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4FBD663D" w14:textId="77777777" w:rsidR="004404F3" w:rsidRDefault="00000000">
            <w:r>
              <w:rPr>
                <w:sz w:val="17"/>
                <w:szCs w:val="17"/>
              </w:rPr>
              <w:t>Flow duration</w:t>
            </w:r>
          </w:p>
        </w:tc>
      </w:tr>
      <w:tr w:rsidR="004404F3" w14:paraId="01E79896" w14:textId="77777777">
        <w:trPr>
          <w:cantSplit/>
          <w:jc w:val="center"/>
        </w:trPr>
        <w:tc>
          <w:tcPr>
            <w:tcW w:w="2001" w:type="dxa"/>
            <w:tcBorders>
              <w:top w:val="single" w:sz="6" w:space="0" w:color="000000"/>
              <w:bottom w:val="single" w:sz="6" w:space="0" w:color="000000"/>
            </w:tcBorders>
            <w:vAlign w:val="center"/>
          </w:tcPr>
          <w:p w14:paraId="3F81F084" w14:textId="77777777" w:rsidR="004404F3" w:rsidRDefault="00000000">
            <w:r>
              <w:rPr>
                <w:sz w:val="17"/>
                <w:szCs w:val="17"/>
              </w:rPr>
              <w:t>min_fiat</w:t>
            </w:r>
          </w:p>
        </w:tc>
        <w:tc>
          <w:tcPr>
            <w:tcW w:w="1604" w:type="dxa"/>
            <w:tcBorders>
              <w:top w:val="single" w:sz="6" w:space="0" w:color="000000"/>
              <w:bottom w:val="single" w:sz="6" w:space="0" w:color="000000"/>
            </w:tcBorders>
            <w:vAlign w:val="center"/>
          </w:tcPr>
          <w:p w14:paraId="76F4DF47"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B269324" w14:textId="77777777" w:rsidR="004404F3" w:rsidRDefault="00000000">
            <w:r>
              <w:rPr>
                <w:sz w:val="17"/>
                <w:szCs w:val="17"/>
              </w:rPr>
              <w:t>Minimum inter-arrival time of packets in the forward direction</w:t>
            </w:r>
          </w:p>
        </w:tc>
      </w:tr>
      <w:tr w:rsidR="004404F3" w14:paraId="04B1092C" w14:textId="77777777">
        <w:trPr>
          <w:cantSplit/>
          <w:jc w:val="center"/>
        </w:trPr>
        <w:tc>
          <w:tcPr>
            <w:tcW w:w="2001" w:type="dxa"/>
            <w:tcBorders>
              <w:top w:val="single" w:sz="6" w:space="0" w:color="000000"/>
              <w:bottom w:val="single" w:sz="6" w:space="0" w:color="000000"/>
            </w:tcBorders>
            <w:vAlign w:val="center"/>
          </w:tcPr>
          <w:p w14:paraId="2CD55110" w14:textId="77777777" w:rsidR="004404F3" w:rsidRDefault="00000000">
            <w:r>
              <w:rPr>
                <w:sz w:val="17"/>
                <w:szCs w:val="17"/>
              </w:rPr>
              <w:t>mean_fiat</w:t>
            </w:r>
          </w:p>
        </w:tc>
        <w:tc>
          <w:tcPr>
            <w:tcW w:w="1604" w:type="dxa"/>
            <w:tcBorders>
              <w:top w:val="single" w:sz="6" w:space="0" w:color="000000"/>
              <w:bottom w:val="single" w:sz="6" w:space="0" w:color="000000"/>
            </w:tcBorders>
            <w:vAlign w:val="center"/>
          </w:tcPr>
          <w:p w14:paraId="0E93B0D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2F4641A" w14:textId="77777777" w:rsidR="004404F3" w:rsidRDefault="00000000">
            <w:r>
              <w:rPr>
                <w:sz w:val="17"/>
                <w:szCs w:val="17"/>
              </w:rPr>
              <w:t>Mean forward inter-arrival time</w:t>
            </w:r>
          </w:p>
        </w:tc>
      </w:tr>
      <w:tr w:rsidR="004404F3" w14:paraId="1A75D97C" w14:textId="77777777">
        <w:trPr>
          <w:cantSplit/>
          <w:jc w:val="center"/>
        </w:trPr>
        <w:tc>
          <w:tcPr>
            <w:tcW w:w="2001" w:type="dxa"/>
            <w:tcBorders>
              <w:top w:val="single" w:sz="6" w:space="0" w:color="000000"/>
              <w:bottom w:val="single" w:sz="6" w:space="0" w:color="000000"/>
            </w:tcBorders>
            <w:vAlign w:val="center"/>
          </w:tcPr>
          <w:p w14:paraId="16B99AA7" w14:textId="77777777" w:rsidR="004404F3" w:rsidRDefault="00000000">
            <w:r>
              <w:rPr>
                <w:sz w:val="17"/>
                <w:szCs w:val="17"/>
              </w:rPr>
              <w:t>max_fiat</w:t>
            </w:r>
          </w:p>
        </w:tc>
        <w:tc>
          <w:tcPr>
            <w:tcW w:w="1604" w:type="dxa"/>
            <w:tcBorders>
              <w:top w:val="single" w:sz="6" w:space="0" w:color="000000"/>
              <w:bottom w:val="single" w:sz="6" w:space="0" w:color="000000"/>
            </w:tcBorders>
            <w:vAlign w:val="center"/>
          </w:tcPr>
          <w:p w14:paraId="696EBEF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8A058A7" w14:textId="77777777" w:rsidR="004404F3" w:rsidRDefault="00000000">
            <w:r>
              <w:rPr>
                <w:sz w:val="17"/>
                <w:szCs w:val="17"/>
              </w:rPr>
              <w:t>Maximum forward inter-arrival time</w:t>
            </w:r>
          </w:p>
        </w:tc>
      </w:tr>
      <w:tr w:rsidR="004404F3" w14:paraId="7C114EA0" w14:textId="77777777">
        <w:trPr>
          <w:cantSplit/>
          <w:jc w:val="center"/>
        </w:trPr>
        <w:tc>
          <w:tcPr>
            <w:tcW w:w="2001" w:type="dxa"/>
            <w:tcBorders>
              <w:top w:val="single" w:sz="6" w:space="0" w:color="000000"/>
              <w:bottom w:val="single" w:sz="6" w:space="0" w:color="000000"/>
            </w:tcBorders>
            <w:vAlign w:val="center"/>
          </w:tcPr>
          <w:p w14:paraId="36252338" w14:textId="77777777" w:rsidR="004404F3" w:rsidRDefault="00000000">
            <w:r>
              <w:rPr>
                <w:sz w:val="17"/>
                <w:szCs w:val="17"/>
              </w:rPr>
              <w:t>total_fiat</w:t>
            </w:r>
          </w:p>
        </w:tc>
        <w:tc>
          <w:tcPr>
            <w:tcW w:w="1604" w:type="dxa"/>
            <w:tcBorders>
              <w:top w:val="single" w:sz="6" w:space="0" w:color="000000"/>
              <w:bottom w:val="single" w:sz="6" w:space="0" w:color="000000"/>
            </w:tcBorders>
            <w:vAlign w:val="center"/>
          </w:tcPr>
          <w:p w14:paraId="49C4E58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1A618C7" w14:textId="77777777" w:rsidR="004404F3" w:rsidRDefault="00000000">
            <w:r>
              <w:rPr>
                <w:sz w:val="17"/>
                <w:szCs w:val="17"/>
              </w:rPr>
              <w:t>Sum of forward inter-arrival times</w:t>
            </w:r>
          </w:p>
        </w:tc>
      </w:tr>
      <w:tr w:rsidR="004404F3" w14:paraId="2F05B372" w14:textId="77777777">
        <w:trPr>
          <w:cantSplit/>
          <w:jc w:val="center"/>
        </w:trPr>
        <w:tc>
          <w:tcPr>
            <w:tcW w:w="2001" w:type="dxa"/>
            <w:tcBorders>
              <w:top w:val="single" w:sz="6" w:space="0" w:color="000000"/>
              <w:bottom w:val="single" w:sz="6" w:space="0" w:color="000000"/>
            </w:tcBorders>
            <w:vAlign w:val="center"/>
          </w:tcPr>
          <w:p w14:paraId="3F024324" w14:textId="77777777" w:rsidR="004404F3" w:rsidRDefault="00000000">
            <w:r>
              <w:rPr>
                <w:sz w:val="17"/>
                <w:szCs w:val="17"/>
              </w:rPr>
              <w:lastRenderedPageBreak/>
              <w:t>min_biat</w:t>
            </w:r>
          </w:p>
        </w:tc>
        <w:tc>
          <w:tcPr>
            <w:tcW w:w="1604" w:type="dxa"/>
            <w:tcBorders>
              <w:top w:val="single" w:sz="6" w:space="0" w:color="000000"/>
              <w:bottom w:val="single" w:sz="6" w:space="0" w:color="000000"/>
            </w:tcBorders>
            <w:vAlign w:val="center"/>
          </w:tcPr>
          <w:p w14:paraId="54D68F0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639B5F1" w14:textId="77777777" w:rsidR="004404F3" w:rsidRDefault="00000000">
            <w:r>
              <w:rPr>
                <w:sz w:val="17"/>
                <w:szCs w:val="17"/>
              </w:rPr>
              <w:t>Minimum inter-arrival time of packets in the backward direction</w:t>
            </w:r>
          </w:p>
        </w:tc>
      </w:tr>
      <w:tr w:rsidR="004404F3" w14:paraId="3A388DFC" w14:textId="77777777">
        <w:trPr>
          <w:cantSplit/>
          <w:jc w:val="center"/>
        </w:trPr>
        <w:tc>
          <w:tcPr>
            <w:tcW w:w="2001" w:type="dxa"/>
            <w:tcBorders>
              <w:top w:val="single" w:sz="6" w:space="0" w:color="000000"/>
              <w:bottom w:val="single" w:sz="6" w:space="0" w:color="000000"/>
            </w:tcBorders>
            <w:vAlign w:val="center"/>
          </w:tcPr>
          <w:p w14:paraId="08C1EE8A" w14:textId="77777777" w:rsidR="004404F3" w:rsidRDefault="00000000">
            <w:r>
              <w:rPr>
                <w:sz w:val="17"/>
                <w:szCs w:val="17"/>
              </w:rPr>
              <w:t>mean_biat</w:t>
            </w:r>
          </w:p>
        </w:tc>
        <w:tc>
          <w:tcPr>
            <w:tcW w:w="1604" w:type="dxa"/>
            <w:tcBorders>
              <w:top w:val="single" w:sz="6" w:space="0" w:color="000000"/>
              <w:bottom w:val="single" w:sz="6" w:space="0" w:color="000000"/>
            </w:tcBorders>
            <w:vAlign w:val="center"/>
          </w:tcPr>
          <w:p w14:paraId="12E8DA9C"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0A17482D" w14:textId="77777777" w:rsidR="004404F3" w:rsidRDefault="00000000">
            <w:r>
              <w:rPr>
                <w:sz w:val="17"/>
                <w:szCs w:val="17"/>
              </w:rPr>
              <w:t>Mean backward inter-arrival time</w:t>
            </w:r>
          </w:p>
        </w:tc>
      </w:tr>
      <w:tr w:rsidR="004404F3" w14:paraId="4308DCA9" w14:textId="77777777">
        <w:trPr>
          <w:cantSplit/>
          <w:jc w:val="center"/>
        </w:trPr>
        <w:tc>
          <w:tcPr>
            <w:tcW w:w="2001" w:type="dxa"/>
            <w:tcBorders>
              <w:top w:val="single" w:sz="6" w:space="0" w:color="000000"/>
              <w:bottom w:val="single" w:sz="6" w:space="0" w:color="000000"/>
            </w:tcBorders>
            <w:vAlign w:val="center"/>
          </w:tcPr>
          <w:p w14:paraId="26ABD9C2" w14:textId="77777777" w:rsidR="004404F3" w:rsidRDefault="00000000">
            <w:r>
              <w:rPr>
                <w:sz w:val="17"/>
                <w:szCs w:val="17"/>
              </w:rPr>
              <w:t>max_biat</w:t>
            </w:r>
          </w:p>
        </w:tc>
        <w:tc>
          <w:tcPr>
            <w:tcW w:w="1604" w:type="dxa"/>
            <w:tcBorders>
              <w:top w:val="single" w:sz="6" w:space="0" w:color="000000"/>
              <w:bottom w:val="single" w:sz="6" w:space="0" w:color="000000"/>
            </w:tcBorders>
            <w:vAlign w:val="center"/>
          </w:tcPr>
          <w:p w14:paraId="29CDBFD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54494AF" w14:textId="77777777" w:rsidR="004404F3" w:rsidRDefault="00000000">
            <w:r>
              <w:rPr>
                <w:sz w:val="17"/>
                <w:szCs w:val="17"/>
              </w:rPr>
              <w:t>Maximum backward inter-arrival time</w:t>
            </w:r>
          </w:p>
        </w:tc>
      </w:tr>
      <w:tr w:rsidR="004404F3" w14:paraId="4B72B611" w14:textId="77777777">
        <w:trPr>
          <w:cantSplit/>
          <w:jc w:val="center"/>
        </w:trPr>
        <w:tc>
          <w:tcPr>
            <w:tcW w:w="2001" w:type="dxa"/>
            <w:tcBorders>
              <w:top w:val="single" w:sz="6" w:space="0" w:color="000000"/>
              <w:bottom w:val="single" w:sz="6" w:space="0" w:color="000000"/>
            </w:tcBorders>
            <w:vAlign w:val="center"/>
          </w:tcPr>
          <w:p w14:paraId="46060620" w14:textId="77777777" w:rsidR="004404F3" w:rsidRDefault="00000000">
            <w:r>
              <w:rPr>
                <w:sz w:val="17"/>
                <w:szCs w:val="17"/>
              </w:rPr>
              <w:t>total_biat</w:t>
            </w:r>
          </w:p>
        </w:tc>
        <w:tc>
          <w:tcPr>
            <w:tcW w:w="1604" w:type="dxa"/>
            <w:tcBorders>
              <w:top w:val="single" w:sz="6" w:space="0" w:color="000000"/>
              <w:bottom w:val="single" w:sz="6" w:space="0" w:color="000000"/>
            </w:tcBorders>
            <w:vAlign w:val="center"/>
          </w:tcPr>
          <w:p w14:paraId="7025E57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8E02EDC" w14:textId="77777777" w:rsidR="004404F3" w:rsidRDefault="00000000">
            <w:r>
              <w:rPr>
                <w:sz w:val="17"/>
                <w:szCs w:val="17"/>
              </w:rPr>
              <w:t>Sum of backward inter-arrival times</w:t>
            </w:r>
          </w:p>
        </w:tc>
      </w:tr>
      <w:tr w:rsidR="004404F3" w14:paraId="72E8D436" w14:textId="77777777">
        <w:trPr>
          <w:cantSplit/>
          <w:jc w:val="center"/>
        </w:trPr>
        <w:tc>
          <w:tcPr>
            <w:tcW w:w="2001" w:type="dxa"/>
            <w:tcBorders>
              <w:top w:val="single" w:sz="6" w:space="0" w:color="000000"/>
              <w:bottom w:val="single" w:sz="6" w:space="0" w:color="000000"/>
            </w:tcBorders>
            <w:vAlign w:val="center"/>
          </w:tcPr>
          <w:p w14:paraId="0ABF85AB" w14:textId="77777777" w:rsidR="004404F3" w:rsidRDefault="00000000">
            <w:r>
              <w:rPr>
                <w:sz w:val="17"/>
                <w:szCs w:val="17"/>
              </w:rPr>
              <w:t>min_flowiat</w:t>
            </w:r>
          </w:p>
        </w:tc>
        <w:tc>
          <w:tcPr>
            <w:tcW w:w="1604" w:type="dxa"/>
            <w:tcBorders>
              <w:top w:val="single" w:sz="6" w:space="0" w:color="000000"/>
              <w:bottom w:val="single" w:sz="6" w:space="0" w:color="000000"/>
            </w:tcBorders>
            <w:vAlign w:val="center"/>
          </w:tcPr>
          <w:p w14:paraId="70779C4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7B3419C" w14:textId="77777777" w:rsidR="004404F3" w:rsidRDefault="00000000">
            <w:r>
              <w:rPr>
                <w:sz w:val="17"/>
                <w:szCs w:val="17"/>
              </w:rPr>
              <w:t>Minimum inter-arrival time, both directions</w:t>
            </w:r>
          </w:p>
        </w:tc>
      </w:tr>
      <w:tr w:rsidR="004404F3" w14:paraId="755CF169" w14:textId="77777777">
        <w:trPr>
          <w:cantSplit/>
          <w:jc w:val="center"/>
        </w:trPr>
        <w:tc>
          <w:tcPr>
            <w:tcW w:w="2001" w:type="dxa"/>
            <w:tcBorders>
              <w:top w:val="single" w:sz="6" w:space="0" w:color="000000"/>
              <w:bottom w:val="single" w:sz="6" w:space="0" w:color="000000"/>
            </w:tcBorders>
            <w:vAlign w:val="center"/>
          </w:tcPr>
          <w:p w14:paraId="692213F3" w14:textId="77777777" w:rsidR="004404F3" w:rsidRDefault="00000000">
            <w:r>
              <w:rPr>
                <w:sz w:val="17"/>
                <w:szCs w:val="17"/>
              </w:rPr>
              <w:t>mean_flowiat</w:t>
            </w:r>
          </w:p>
        </w:tc>
        <w:tc>
          <w:tcPr>
            <w:tcW w:w="1604" w:type="dxa"/>
            <w:tcBorders>
              <w:top w:val="single" w:sz="6" w:space="0" w:color="000000"/>
              <w:bottom w:val="single" w:sz="6" w:space="0" w:color="000000"/>
            </w:tcBorders>
            <w:vAlign w:val="center"/>
          </w:tcPr>
          <w:p w14:paraId="5B64468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0F3003D" w14:textId="77777777" w:rsidR="004404F3" w:rsidRDefault="00000000">
            <w:r>
              <w:rPr>
                <w:sz w:val="17"/>
                <w:szCs w:val="17"/>
              </w:rPr>
              <w:t>Mean inter-arrival time, both directions</w:t>
            </w:r>
          </w:p>
        </w:tc>
      </w:tr>
      <w:tr w:rsidR="004404F3" w14:paraId="41E456B5" w14:textId="77777777">
        <w:trPr>
          <w:cantSplit/>
          <w:jc w:val="center"/>
        </w:trPr>
        <w:tc>
          <w:tcPr>
            <w:tcW w:w="2001" w:type="dxa"/>
            <w:tcBorders>
              <w:top w:val="single" w:sz="6" w:space="0" w:color="000000"/>
              <w:bottom w:val="single" w:sz="6" w:space="0" w:color="000000"/>
            </w:tcBorders>
            <w:vAlign w:val="center"/>
          </w:tcPr>
          <w:p w14:paraId="09A62D67" w14:textId="77777777" w:rsidR="004404F3" w:rsidRDefault="00000000">
            <w:r>
              <w:rPr>
                <w:sz w:val="17"/>
                <w:szCs w:val="17"/>
              </w:rPr>
              <w:t>max_flowiat</w:t>
            </w:r>
          </w:p>
        </w:tc>
        <w:tc>
          <w:tcPr>
            <w:tcW w:w="1604" w:type="dxa"/>
            <w:tcBorders>
              <w:top w:val="single" w:sz="6" w:space="0" w:color="000000"/>
              <w:bottom w:val="single" w:sz="6" w:space="0" w:color="000000"/>
            </w:tcBorders>
            <w:vAlign w:val="center"/>
          </w:tcPr>
          <w:p w14:paraId="47287D3E"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77598F88" w14:textId="77777777" w:rsidR="004404F3" w:rsidRDefault="00000000">
            <w:r>
              <w:rPr>
                <w:sz w:val="17"/>
                <w:szCs w:val="17"/>
              </w:rPr>
              <w:t>Maximum inter-arrival time, both directions</w:t>
            </w:r>
          </w:p>
        </w:tc>
      </w:tr>
      <w:tr w:rsidR="004404F3" w14:paraId="082C0498" w14:textId="77777777">
        <w:trPr>
          <w:cantSplit/>
          <w:jc w:val="center"/>
        </w:trPr>
        <w:tc>
          <w:tcPr>
            <w:tcW w:w="2001" w:type="dxa"/>
            <w:tcBorders>
              <w:top w:val="single" w:sz="6" w:space="0" w:color="000000"/>
              <w:bottom w:val="single" w:sz="6" w:space="0" w:color="000000"/>
            </w:tcBorders>
            <w:vAlign w:val="center"/>
          </w:tcPr>
          <w:p w14:paraId="6FDF32CC" w14:textId="77777777" w:rsidR="004404F3" w:rsidRDefault="00000000">
            <w:r>
              <w:rPr>
                <w:sz w:val="17"/>
                <w:szCs w:val="17"/>
              </w:rPr>
              <w:t>std_flowiat</w:t>
            </w:r>
          </w:p>
        </w:tc>
        <w:tc>
          <w:tcPr>
            <w:tcW w:w="1604" w:type="dxa"/>
            <w:tcBorders>
              <w:top w:val="single" w:sz="6" w:space="0" w:color="000000"/>
              <w:bottom w:val="single" w:sz="6" w:space="0" w:color="000000"/>
            </w:tcBorders>
            <w:vAlign w:val="center"/>
          </w:tcPr>
          <w:p w14:paraId="60AC9C2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8EFF237" w14:textId="77777777" w:rsidR="004404F3" w:rsidRDefault="00000000">
            <w:r>
              <w:rPr>
                <w:sz w:val="17"/>
                <w:szCs w:val="17"/>
              </w:rPr>
              <w:t>Standard deviation of inter-arrival time, both directions</w:t>
            </w:r>
          </w:p>
        </w:tc>
      </w:tr>
      <w:tr w:rsidR="004404F3" w14:paraId="497C69CC" w14:textId="77777777">
        <w:trPr>
          <w:cantSplit/>
          <w:jc w:val="center"/>
        </w:trPr>
        <w:tc>
          <w:tcPr>
            <w:tcW w:w="2001" w:type="dxa"/>
            <w:tcBorders>
              <w:top w:val="single" w:sz="6" w:space="0" w:color="000000"/>
              <w:bottom w:val="single" w:sz="6" w:space="0" w:color="000000"/>
            </w:tcBorders>
            <w:vAlign w:val="center"/>
          </w:tcPr>
          <w:p w14:paraId="1BB9022E" w14:textId="77777777" w:rsidR="004404F3" w:rsidRDefault="00000000">
            <w:r>
              <w:rPr>
                <w:sz w:val="17"/>
                <w:szCs w:val="17"/>
              </w:rPr>
              <w:t>min_active</w:t>
            </w:r>
          </w:p>
        </w:tc>
        <w:tc>
          <w:tcPr>
            <w:tcW w:w="1604" w:type="dxa"/>
            <w:tcBorders>
              <w:top w:val="single" w:sz="6" w:space="0" w:color="000000"/>
              <w:bottom w:val="single" w:sz="6" w:space="0" w:color="000000"/>
            </w:tcBorders>
            <w:vAlign w:val="center"/>
          </w:tcPr>
          <w:p w14:paraId="239552B7"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292EC35" w14:textId="77777777" w:rsidR="004404F3" w:rsidRDefault="00000000">
            <w:r>
              <w:rPr>
                <w:sz w:val="17"/>
                <w:szCs w:val="17"/>
              </w:rPr>
              <w:t>Minimum length of an active period before the flow goes idle</w:t>
            </w:r>
          </w:p>
        </w:tc>
      </w:tr>
      <w:tr w:rsidR="004404F3" w14:paraId="48B05004" w14:textId="77777777">
        <w:trPr>
          <w:cantSplit/>
          <w:jc w:val="center"/>
        </w:trPr>
        <w:tc>
          <w:tcPr>
            <w:tcW w:w="2001" w:type="dxa"/>
            <w:tcBorders>
              <w:top w:val="single" w:sz="6" w:space="0" w:color="000000"/>
              <w:bottom w:val="single" w:sz="6" w:space="0" w:color="000000"/>
            </w:tcBorders>
            <w:vAlign w:val="center"/>
          </w:tcPr>
          <w:p w14:paraId="44F387F5" w14:textId="77777777" w:rsidR="004404F3" w:rsidRDefault="00000000">
            <w:r>
              <w:rPr>
                <w:sz w:val="17"/>
                <w:szCs w:val="17"/>
              </w:rPr>
              <w:t>mean_active</w:t>
            </w:r>
          </w:p>
        </w:tc>
        <w:tc>
          <w:tcPr>
            <w:tcW w:w="1604" w:type="dxa"/>
            <w:tcBorders>
              <w:top w:val="single" w:sz="6" w:space="0" w:color="000000"/>
              <w:bottom w:val="single" w:sz="6" w:space="0" w:color="000000"/>
            </w:tcBorders>
            <w:vAlign w:val="center"/>
          </w:tcPr>
          <w:p w14:paraId="4DB39B7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7E601FC9" w14:textId="77777777" w:rsidR="004404F3" w:rsidRDefault="00000000">
            <w:r>
              <w:rPr>
                <w:sz w:val="17"/>
                <w:szCs w:val="17"/>
              </w:rPr>
              <w:t>Mean active-period length</w:t>
            </w:r>
          </w:p>
        </w:tc>
      </w:tr>
      <w:tr w:rsidR="004404F3" w14:paraId="60CCFF91" w14:textId="77777777">
        <w:trPr>
          <w:cantSplit/>
          <w:jc w:val="center"/>
        </w:trPr>
        <w:tc>
          <w:tcPr>
            <w:tcW w:w="2001" w:type="dxa"/>
            <w:tcBorders>
              <w:top w:val="single" w:sz="6" w:space="0" w:color="000000"/>
              <w:bottom w:val="single" w:sz="6" w:space="0" w:color="000000"/>
            </w:tcBorders>
            <w:vAlign w:val="center"/>
          </w:tcPr>
          <w:p w14:paraId="2EFA75CE" w14:textId="77777777" w:rsidR="004404F3" w:rsidRDefault="00000000">
            <w:r>
              <w:rPr>
                <w:sz w:val="17"/>
                <w:szCs w:val="17"/>
              </w:rPr>
              <w:t>max_active</w:t>
            </w:r>
          </w:p>
        </w:tc>
        <w:tc>
          <w:tcPr>
            <w:tcW w:w="1604" w:type="dxa"/>
            <w:tcBorders>
              <w:top w:val="single" w:sz="6" w:space="0" w:color="000000"/>
              <w:bottom w:val="single" w:sz="6" w:space="0" w:color="000000"/>
            </w:tcBorders>
            <w:vAlign w:val="center"/>
          </w:tcPr>
          <w:p w14:paraId="59863D32"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0DE68D72" w14:textId="77777777" w:rsidR="004404F3" w:rsidRDefault="00000000">
            <w:r>
              <w:rPr>
                <w:sz w:val="17"/>
                <w:szCs w:val="17"/>
              </w:rPr>
              <w:t>Maximum active-period length</w:t>
            </w:r>
          </w:p>
        </w:tc>
      </w:tr>
      <w:tr w:rsidR="004404F3" w14:paraId="647B8166" w14:textId="77777777">
        <w:trPr>
          <w:cantSplit/>
          <w:jc w:val="center"/>
        </w:trPr>
        <w:tc>
          <w:tcPr>
            <w:tcW w:w="2001" w:type="dxa"/>
            <w:tcBorders>
              <w:top w:val="single" w:sz="6" w:space="0" w:color="000000"/>
              <w:bottom w:val="single" w:sz="6" w:space="0" w:color="000000"/>
            </w:tcBorders>
            <w:vAlign w:val="center"/>
          </w:tcPr>
          <w:p w14:paraId="33753D83" w14:textId="77777777" w:rsidR="004404F3" w:rsidRDefault="00000000">
            <w:r>
              <w:rPr>
                <w:sz w:val="17"/>
                <w:szCs w:val="17"/>
              </w:rPr>
              <w:t>std_active</w:t>
            </w:r>
          </w:p>
        </w:tc>
        <w:tc>
          <w:tcPr>
            <w:tcW w:w="1604" w:type="dxa"/>
            <w:tcBorders>
              <w:top w:val="single" w:sz="6" w:space="0" w:color="000000"/>
              <w:bottom w:val="single" w:sz="6" w:space="0" w:color="000000"/>
            </w:tcBorders>
            <w:vAlign w:val="center"/>
          </w:tcPr>
          <w:p w14:paraId="33C58A4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C56AEC5" w14:textId="77777777" w:rsidR="004404F3" w:rsidRDefault="00000000">
            <w:r>
              <w:rPr>
                <w:sz w:val="17"/>
                <w:szCs w:val="17"/>
              </w:rPr>
              <w:t>Standard deviation of active-period length</w:t>
            </w:r>
          </w:p>
        </w:tc>
      </w:tr>
      <w:tr w:rsidR="004404F3" w14:paraId="19958129" w14:textId="77777777">
        <w:trPr>
          <w:cantSplit/>
          <w:jc w:val="center"/>
        </w:trPr>
        <w:tc>
          <w:tcPr>
            <w:tcW w:w="2001" w:type="dxa"/>
            <w:tcBorders>
              <w:top w:val="single" w:sz="6" w:space="0" w:color="000000"/>
              <w:bottom w:val="single" w:sz="6" w:space="0" w:color="000000"/>
            </w:tcBorders>
            <w:vAlign w:val="center"/>
          </w:tcPr>
          <w:p w14:paraId="71200AFB" w14:textId="77777777" w:rsidR="004404F3" w:rsidRDefault="00000000">
            <w:r>
              <w:rPr>
                <w:sz w:val="17"/>
                <w:szCs w:val="17"/>
              </w:rPr>
              <w:t>min_idle</w:t>
            </w:r>
          </w:p>
        </w:tc>
        <w:tc>
          <w:tcPr>
            <w:tcW w:w="1604" w:type="dxa"/>
            <w:tcBorders>
              <w:top w:val="single" w:sz="6" w:space="0" w:color="000000"/>
              <w:bottom w:val="single" w:sz="6" w:space="0" w:color="000000"/>
            </w:tcBorders>
            <w:vAlign w:val="center"/>
          </w:tcPr>
          <w:p w14:paraId="755232B8"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6D70C07E" w14:textId="77777777" w:rsidR="004404F3" w:rsidRDefault="00000000">
            <w:r>
              <w:rPr>
                <w:sz w:val="17"/>
                <w:szCs w:val="17"/>
              </w:rPr>
              <w:t>Minimum idle-period length before the flow becomes active</w:t>
            </w:r>
          </w:p>
        </w:tc>
      </w:tr>
      <w:tr w:rsidR="004404F3" w14:paraId="1004F676" w14:textId="77777777">
        <w:trPr>
          <w:cantSplit/>
          <w:jc w:val="center"/>
        </w:trPr>
        <w:tc>
          <w:tcPr>
            <w:tcW w:w="2001" w:type="dxa"/>
            <w:tcBorders>
              <w:top w:val="single" w:sz="6" w:space="0" w:color="000000"/>
              <w:bottom w:val="single" w:sz="6" w:space="0" w:color="000000"/>
            </w:tcBorders>
            <w:vAlign w:val="center"/>
          </w:tcPr>
          <w:p w14:paraId="1788BE37" w14:textId="77777777" w:rsidR="004404F3" w:rsidRDefault="00000000">
            <w:pPr>
              <w:keepNext/>
            </w:pPr>
            <w:r>
              <w:rPr>
                <w:sz w:val="17"/>
                <w:szCs w:val="17"/>
              </w:rPr>
              <w:t>mean_idle</w:t>
            </w:r>
          </w:p>
        </w:tc>
        <w:tc>
          <w:tcPr>
            <w:tcW w:w="1604" w:type="dxa"/>
            <w:tcBorders>
              <w:top w:val="single" w:sz="6" w:space="0" w:color="000000"/>
              <w:bottom w:val="single" w:sz="6" w:space="0" w:color="000000"/>
            </w:tcBorders>
            <w:vAlign w:val="center"/>
          </w:tcPr>
          <w:p w14:paraId="73F5FFEC"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F67E690" w14:textId="77777777" w:rsidR="004404F3" w:rsidRDefault="00000000">
            <w:pPr>
              <w:keepNext/>
            </w:pPr>
            <w:r>
              <w:rPr>
                <w:sz w:val="17"/>
                <w:szCs w:val="17"/>
              </w:rPr>
              <w:t>Mean idle-period length</w:t>
            </w:r>
          </w:p>
        </w:tc>
      </w:tr>
      <w:tr w:rsidR="004404F3" w14:paraId="7E79EB7E" w14:textId="77777777">
        <w:trPr>
          <w:cantSplit/>
          <w:jc w:val="center"/>
        </w:trPr>
        <w:tc>
          <w:tcPr>
            <w:tcW w:w="2001" w:type="dxa"/>
            <w:tcBorders>
              <w:top w:val="single" w:sz="6" w:space="0" w:color="000000"/>
              <w:bottom w:val="single" w:sz="6" w:space="0" w:color="000000"/>
            </w:tcBorders>
            <w:vAlign w:val="center"/>
          </w:tcPr>
          <w:p w14:paraId="296FBFAC" w14:textId="77777777" w:rsidR="004404F3" w:rsidRDefault="00000000">
            <w:pPr>
              <w:keepNext/>
            </w:pPr>
            <w:r>
              <w:rPr>
                <w:sz w:val="17"/>
                <w:szCs w:val="17"/>
              </w:rPr>
              <w:t>max_idle</w:t>
            </w:r>
          </w:p>
        </w:tc>
        <w:tc>
          <w:tcPr>
            <w:tcW w:w="1604" w:type="dxa"/>
            <w:tcBorders>
              <w:top w:val="single" w:sz="6" w:space="0" w:color="000000"/>
              <w:bottom w:val="single" w:sz="6" w:space="0" w:color="000000"/>
            </w:tcBorders>
            <w:vAlign w:val="center"/>
          </w:tcPr>
          <w:p w14:paraId="3F18E2CE"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8C1D0F4" w14:textId="77777777" w:rsidR="004404F3" w:rsidRDefault="00000000">
            <w:pPr>
              <w:keepNext/>
            </w:pPr>
            <w:r>
              <w:rPr>
                <w:sz w:val="17"/>
                <w:szCs w:val="17"/>
              </w:rPr>
              <w:t>Maximum idle-period length</w:t>
            </w:r>
          </w:p>
        </w:tc>
      </w:tr>
      <w:tr w:rsidR="004404F3" w14:paraId="5CE90851" w14:textId="77777777">
        <w:trPr>
          <w:cantSplit/>
          <w:jc w:val="center"/>
        </w:trPr>
        <w:tc>
          <w:tcPr>
            <w:tcW w:w="2001" w:type="dxa"/>
            <w:tcBorders>
              <w:top w:val="single" w:sz="6" w:space="0" w:color="000000"/>
              <w:bottom w:val="single" w:sz="6" w:space="0" w:color="000000"/>
            </w:tcBorders>
            <w:vAlign w:val="center"/>
          </w:tcPr>
          <w:p w14:paraId="264C2C39" w14:textId="77777777" w:rsidR="004404F3" w:rsidRDefault="00000000">
            <w:pPr>
              <w:keepNext/>
            </w:pPr>
            <w:r>
              <w:rPr>
                <w:sz w:val="17"/>
                <w:szCs w:val="17"/>
              </w:rPr>
              <w:t>std_idle</w:t>
            </w:r>
          </w:p>
        </w:tc>
        <w:tc>
          <w:tcPr>
            <w:tcW w:w="1604" w:type="dxa"/>
            <w:tcBorders>
              <w:top w:val="single" w:sz="6" w:space="0" w:color="000000"/>
              <w:bottom w:val="single" w:sz="6" w:space="0" w:color="000000"/>
            </w:tcBorders>
            <w:vAlign w:val="center"/>
          </w:tcPr>
          <w:p w14:paraId="53494C51"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E018F73" w14:textId="77777777" w:rsidR="004404F3" w:rsidRDefault="00000000">
            <w:pPr>
              <w:keepNext/>
            </w:pPr>
            <w:r>
              <w:rPr>
                <w:sz w:val="17"/>
                <w:szCs w:val="17"/>
              </w:rPr>
              <w:t>Standard deviation of idle-period length</w:t>
            </w:r>
          </w:p>
        </w:tc>
      </w:tr>
    </w:tbl>
    <w:p>
      <w:pPr>
        <w:keepLines/>
        <w:spacing w:before="40" w:after="160" w:line="230" w:lineRule="auto"/>
        <w:jc w:val="both"/>
      </w:pPr>
      <w:r>
        <w:rPr>
          <w:i/>
          <w:iCs/>
          <w:sz w:val="17"/>
          <w:szCs w:val="17"/>
        </w:rPr>
        <w:t xml:space="preserve">Note. </w:t>
      </w:r>
      <w:r>
        <w:rPr>
          <w:sz w:val="17"/>
          <w:szCs w:val="17"/>
        </w:rPr>
        <w:t xml:space="preserve">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spacing w:before="180" w:after="80"/>
      </w:pPr>
      <w:r>
        <w:t xml:space="preserve">B. Class Distributions</w:t>
      </w:r>
    </w:p>
    <w:p>
      <w:pPr>
        <w:spacing w:after="100" w:line="264" w:lineRule="auto"/>
        <w:ind w:firstLine="284"/>
        <w:jc w:val="both"/>
      </w:pPr>
      <w:r>
        <w:t xml:space="preserve">Table II and Fig. 1 list how many flows of each class sit in the primary partitions. Inside each context, training and test look alike: the total variation distance between them is 0.001 for both Non-VPN and VPN, as expected from the stratified split. Across contexts the picture changes. FT accounts for 9.9% of Non-VPN training flows and 20.1% of VPN training flows. VOIP goes the other way, from 32.5% down to 24.2%. MAIL is the smallest class in both contexts, though it grows from 2.7% to 4.6%. The two training distributions sit 0.142 apart in total variation distance, and a chi-square homogeneity test gives </w:t>
      </w:r>
      <m:oMath>
        <m:sSup>
          <m:e>
            <m:r>
              <w:rPr>
                <w:rFonts w:ascii="Cambria Math" w:hAnsi="Cambria Math"/>
              </w:rPr>
              <m:t>χ</m:t>
            </m:r>
          </m:e>
          <m:sup>
            <m:r>
              <w:rPr>
                <w:rFonts w:ascii="Cambria Math" w:hAnsi="Cambria Math"/>
              </w:rPr>
              <m:t>2</m:t>
            </m:r>
          </m:sup>
        </m:sSup>
      </m:oMath>
      <w:r>
        <w:t xml:space="preserve"> = 447.4 on 6 degrees of freedom (p &lt; 0.001), with Cramér's V = 0.176. In Non-VPN the largest class is 11.9 times the size of the smallest; in VPN the ratio is 5.8. A model fitted to one class mix may hand out attribution differently from a model fitted to another, even if the flows inside each class look the same, so we treat class mix as a possible confounder and test it directly in Section VI-D.</w:t>
      </w:r>
    </w:p>
    <w:p>
      <w:pPr>
        <w:spacing w:after="100" w:line="264" w:lineRule="auto"/>
        <w:ind w:firstLine="284"/>
        <w:jc w:val="both"/>
      </w:pPr>
      <w:r>
        <w:t xml:space="preserve">BROWSING is the exception to these differences.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554B6C15" w14:textId="77777777" w:rsidR="004404F3" w:rsidRDefault="00000000">
      <w:pPr>
        <w:keepNext/>
        <w:spacing w:before="200" w:line="240" w:lineRule="auto"/>
        <w:jc w:val="center"/>
      </w:pPr>
      <w:r>
        <w:rPr>
          <w:sz w:val="20"/>
          <w:szCs w:val="20"/>
        </w:rPr>
        <w:lastRenderedPageBreak/>
        <w:t>TABLE II</w:t>
      </w:r>
    </w:p>
    <w:p>
      <w:pPr>
        <w:keepNext/>
        <w:spacing w:after="80" w:line="240" w:lineRule="auto"/>
        <w:jc w:val="center"/>
      </w:pPr>
      <w:r>
        <w:rPr>
          <w:sz w:val="20"/>
          <w:szCs w:val="20"/>
        </w:rPr>
        <w:t xml:space="preserve">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57F4E813" w14:textId="77777777">
        <w:trPr>
          <w:cantSplit/>
          <w:tblHeader/>
          <w:jc w:val="center"/>
        </w:trPr>
        <w:tc>
          <w:tcPr>
            <w:tcW w:w="2880" w:type="dxa"/>
            <w:tcBorders>
              <w:top w:val="single" w:sz="6" w:space="0" w:color="000000"/>
              <w:bottom w:val="single" w:sz="6" w:space="0" w:color="000000"/>
            </w:tcBorders>
            <w:vAlign w:val="center"/>
          </w:tcPr>
          <w:p w14:paraId="0EA48F43" w14:textId="77777777" w:rsidR="004404F3" w:rsidRDefault="004404F3">
            <w:pPr>
              <w:keepNext/>
            </w:pPr>
          </w:p>
        </w:tc>
        <w:tc>
          <w:tcPr>
            <w:tcW w:w="3069" w:type="dxa"/>
            <w:gridSpan w:val="3"/>
            <w:tcBorders>
              <w:top w:val="single" w:sz="6" w:space="0" w:color="000000"/>
              <w:bottom w:val="single" w:sz="6" w:space="0" w:color="000000"/>
            </w:tcBorders>
            <w:vAlign w:val="center"/>
          </w:tcPr>
          <w:p w14:paraId="5A18C80B"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3BF2B83" w14:textId="77777777" w:rsidR="004404F3" w:rsidRDefault="00000000">
            <w:pPr>
              <w:keepNext/>
              <w:jc w:val="center"/>
            </w:pPr>
            <w:r>
              <w:rPr>
                <w:b/>
                <w:bCs/>
                <w:sz w:val="17"/>
                <w:szCs w:val="17"/>
              </w:rPr>
              <w:t>VPN</w:t>
            </w:r>
          </w:p>
        </w:tc>
      </w:tr>
      <w:tr w:rsidR="004404F3" w14:paraId="1BDFFB77" w14:textId="77777777">
        <w:trPr>
          <w:cantSplit/>
          <w:tblHeader/>
          <w:jc w:val="center"/>
        </w:trPr>
        <w:tc>
          <w:tcPr>
            <w:tcW w:w="2880" w:type="dxa"/>
            <w:tcBorders>
              <w:top w:val="single" w:sz="6" w:space="0" w:color="000000"/>
              <w:bottom w:val="single" w:sz="6" w:space="0" w:color="000000"/>
            </w:tcBorders>
            <w:vAlign w:val="center"/>
          </w:tcPr>
          <w:p w14:paraId="6978168A"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3F058CB7"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52F4277D"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7B9BCC89"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230293B7"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34E99532"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000D5E1C" w14:textId="77777777" w:rsidR="004404F3" w:rsidRDefault="00000000">
            <w:pPr>
              <w:keepNext/>
              <w:jc w:val="center"/>
            </w:pPr>
            <w:r>
              <w:rPr>
                <w:b/>
                <w:bCs/>
                <w:sz w:val="17"/>
                <w:szCs w:val="17"/>
              </w:rPr>
              <w:t>Train %</w:t>
            </w:r>
          </w:p>
        </w:tc>
      </w:tr>
      <w:tr w:rsidR="004404F3" w14:paraId="61412282" w14:textId="77777777">
        <w:trPr>
          <w:cantSplit/>
          <w:jc w:val="center"/>
        </w:trPr>
        <w:tc>
          <w:tcPr>
            <w:tcW w:w="2880" w:type="dxa"/>
            <w:tcBorders>
              <w:top w:val="single" w:sz="6" w:space="0" w:color="000000"/>
              <w:bottom w:val="single" w:sz="6" w:space="0" w:color="000000"/>
            </w:tcBorders>
            <w:vAlign w:val="center"/>
          </w:tcPr>
          <w:p w14:paraId="7ABECCE9"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04C7F578"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0620A296"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2D0A0B7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567A0AF"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238C5775"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5A03DCF9" w14:textId="77777777" w:rsidR="004404F3" w:rsidRDefault="00000000">
            <w:pPr>
              <w:keepNext/>
              <w:jc w:val="center"/>
            </w:pPr>
            <w:r>
              <w:rPr>
                <w:sz w:val="17"/>
                <w:szCs w:val="17"/>
              </w:rPr>
              <w:t>26.7</w:t>
            </w:r>
          </w:p>
        </w:tc>
      </w:tr>
      <w:tr w:rsidR="004404F3" w14:paraId="68A2A528" w14:textId="77777777">
        <w:trPr>
          <w:cantSplit/>
          <w:jc w:val="center"/>
        </w:trPr>
        <w:tc>
          <w:tcPr>
            <w:tcW w:w="2880" w:type="dxa"/>
            <w:tcBorders>
              <w:top w:val="single" w:sz="6" w:space="0" w:color="000000"/>
              <w:bottom w:val="single" w:sz="6" w:space="0" w:color="000000"/>
            </w:tcBorders>
            <w:vAlign w:val="center"/>
          </w:tcPr>
          <w:p w14:paraId="1AD5BE34"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14EE96BA"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20191C23"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7E5937E3"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3FC2031D"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10FE4EEC"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7266FFB" w14:textId="77777777" w:rsidR="004404F3" w:rsidRDefault="00000000">
            <w:pPr>
              <w:keepNext/>
              <w:jc w:val="center"/>
            </w:pPr>
            <w:r>
              <w:rPr>
                <w:sz w:val="17"/>
                <w:szCs w:val="17"/>
              </w:rPr>
              <w:t>12.3</w:t>
            </w:r>
          </w:p>
        </w:tc>
      </w:tr>
      <w:tr w:rsidR="004404F3" w14:paraId="3A701D8A" w14:textId="77777777">
        <w:trPr>
          <w:cantSplit/>
          <w:jc w:val="center"/>
        </w:trPr>
        <w:tc>
          <w:tcPr>
            <w:tcW w:w="2880" w:type="dxa"/>
            <w:tcBorders>
              <w:top w:val="single" w:sz="6" w:space="0" w:color="000000"/>
              <w:bottom w:val="single" w:sz="6" w:space="0" w:color="000000"/>
            </w:tcBorders>
            <w:vAlign w:val="center"/>
          </w:tcPr>
          <w:p w14:paraId="42A6D97B"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15F21762"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0377B9F6"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2325BE0D"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9F8CE96"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591A56D6"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628243CE" w14:textId="77777777" w:rsidR="004404F3" w:rsidRDefault="00000000">
            <w:pPr>
              <w:keepNext/>
              <w:jc w:val="center"/>
            </w:pPr>
            <w:r>
              <w:rPr>
                <w:sz w:val="17"/>
                <w:szCs w:val="17"/>
              </w:rPr>
              <w:t>20.1</w:t>
            </w:r>
          </w:p>
        </w:tc>
      </w:tr>
      <w:tr w:rsidR="004404F3" w14:paraId="3D05A8D3" w14:textId="77777777">
        <w:trPr>
          <w:cantSplit/>
          <w:jc w:val="center"/>
        </w:trPr>
        <w:tc>
          <w:tcPr>
            <w:tcW w:w="2880" w:type="dxa"/>
            <w:tcBorders>
              <w:top w:val="single" w:sz="6" w:space="0" w:color="000000"/>
              <w:bottom w:val="single" w:sz="6" w:space="0" w:color="000000"/>
            </w:tcBorders>
            <w:vAlign w:val="center"/>
          </w:tcPr>
          <w:p w14:paraId="7A29F997"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37591A7B"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059A77D"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3A7B5933"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2919DDD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6060FCB7"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3CBD060" w14:textId="77777777" w:rsidR="004404F3" w:rsidRDefault="00000000">
            <w:pPr>
              <w:keepNext/>
              <w:jc w:val="center"/>
            </w:pPr>
            <w:r>
              <w:rPr>
                <w:sz w:val="17"/>
                <w:szCs w:val="17"/>
              </w:rPr>
              <w:t>4.6</w:t>
            </w:r>
          </w:p>
        </w:tc>
      </w:tr>
      <w:tr w:rsidR="004404F3" w14:paraId="7556D488" w14:textId="77777777">
        <w:trPr>
          <w:cantSplit/>
          <w:jc w:val="center"/>
        </w:trPr>
        <w:tc>
          <w:tcPr>
            <w:tcW w:w="2880" w:type="dxa"/>
            <w:tcBorders>
              <w:top w:val="single" w:sz="6" w:space="0" w:color="000000"/>
              <w:bottom w:val="single" w:sz="6" w:space="0" w:color="000000"/>
            </w:tcBorders>
            <w:vAlign w:val="center"/>
          </w:tcPr>
          <w:p w14:paraId="1D2A781A"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014E41EF"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244220D"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7ADB1759"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421BB9BD"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3CB1683E"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CF8F187" w14:textId="77777777" w:rsidR="004404F3" w:rsidRDefault="00000000">
            <w:pPr>
              <w:keepNext/>
              <w:jc w:val="center"/>
            </w:pPr>
            <w:r>
              <w:rPr>
                <w:sz w:val="17"/>
                <w:szCs w:val="17"/>
              </w:rPr>
              <w:t>7.1</w:t>
            </w:r>
          </w:p>
        </w:tc>
      </w:tr>
      <w:tr w:rsidR="004404F3" w14:paraId="166ED02C" w14:textId="77777777">
        <w:trPr>
          <w:cantSplit/>
          <w:jc w:val="center"/>
        </w:trPr>
        <w:tc>
          <w:tcPr>
            <w:tcW w:w="2880" w:type="dxa"/>
            <w:tcBorders>
              <w:top w:val="single" w:sz="6" w:space="0" w:color="000000"/>
              <w:bottom w:val="single" w:sz="6" w:space="0" w:color="000000"/>
            </w:tcBorders>
            <w:vAlign w:val="center"/>
          </w:tcPr>
          <w:p w14:paraId="1F24556D"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4FEDFF5A"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786A07D8"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6BBD5BE"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3F039FA2"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090FD9E1"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40263FEA" w14:textId="77777777" w:rsidR="004404F3" w:rsidRDefault="00000000">
            <w:pPr>
              <w:keepNext/>
              <w:jc w:val="center"/>
            </w:pPr>
            <w:r>
              <w:rPr>
                <w:sz w:val="17"/>
                <w:szCs w:val="17"/>
              </w:rPr>
              <w:t>5.1</w:t>
            </w:r>
          </w:p>
        </w:tc>
      </w:tr>
      <w:tr w:rsidR="004404F3" w14:paraId="58BAFCFF" w14:textId="77777777">
        <w:trPr>
          <w:cantSplit/>
          <w:jc w:val="center"/>
        </w:trPr>
        <w:tc>
          <w:tcPr>
            <w:tcW w:w="2880" w:type="dxa"/>
            <w:tcBorders>
              <w:top w:val="single" w:sz="6" w:space="0" w:color="000000"/>
              <w:bottom w:val="single" w:sz="6" w:space="0" w:color="000000"/>
            </w:tcBorders>
            <w:vAlign w:val="center"/>
          </w:tcPr>
          <w:p w14:paraId="3434EB7F"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6D3B33DC"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13417F21"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2B6C05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47FEDCDF"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176C211E"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A3F4807" w14:textId="77777777" w:rsidR="004404F3" w:rsidRDefault="00000000">
            <w:pPr>
              <w:keepNext/>
              <w:jc w:val="center"/>
            </w:pPr>
            <w:r>
              <w:rPr>
                <w:sz w:val="17"/>
                <w:szCs w:val="17"/>
              </w:rPr>
              <w:t>24.2</w:t>
            </w:r>
          </w:p>
        </w:tc>
      </w:tr>
      <w:tr w:rsidR="004404F3" w14:paraId="59B61ED5" w14:textId="77777777">
        <w:trPr>
          <w:cantSplit/>
          <w:jc w:val="center"/>
        </w:trPr>
        <w:tc>
          <w:tcPr>
            <w:tcW w:w="2880" w:type="dxa"/>
            <w:tcBorders>
              <w:top w:val="single" w:sz="6" w:space="0" w:color="000000"/>
              <w:bottom w:val="single" w:sz="6" w:space="0" w:color="000000"/>
            </w:tcBorders>
            <w:vAlign w:val="center"/>
          </w:tcPr>
          <w:p w14:paraId="1888B548"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4F9F3B2F"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2AAE6479"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F514D18"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6D079B6F"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57E2EBFB"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783E35C" w14:textId="77777777" w:rsidR="004404F3" w:rsidRDefault="00000000">
            <w:pPr>
              <w:keepNext/>
              <w:jc w:val="center"/>
            </w:pPr>
            <w:r>
              <w:rPr>
                <w:sz w:val="17"/>
                <w:szCs w:val="17"/>
              </w:rPr>
              <w:t>100.0</w:t>
            </w:r>
          </w:p>
        </w:tc>
      </w:tr>
      <w:tr w:rsidR="004404F3" w14:paraId="0C27923B" w14:textId="77777777">
        <w:trPr>
          <w:cantSplit/>
          <w:jc w:val="center"/>
        </w:trPr>
        <w:tc>
          <w:tcPr>
            <w:tcW w:w="2880" w:type="dxa"/>
            <w:tcBorders>
              <w:top w:val="single" w:sz="6" w:space="0" w:color="000000"/>
              <w:bottom w:val="single" w:sz="6" w:space="0" w:color="000000"/>
            </w:tcBorders>
            <w:vAlign w:val="center"/>
          </w:tcPr>
          <w:p w14:paraId="3AC9A620"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64F6DDC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6DA83346"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68C405E7" w14:textId="77777777" w:rsidR="004404F3" w:rsidRDefault="004404F3">
            <w:pPr>
              <w:keepNext/>
              <w:jc w:val="center"/>
            </w:pPr>
          </w:p>
        </w:tc>
        <w:tc>
          <w:tcPr>
            <w:tcW w:w="1056" w:type="dxa"/>
            <w:tcBorders>
              <w:top w:val="single" w:sz="6" w:space="0" w:color="000000"/>
              <w:bottom w:val="single" w:sz="6" w:space="0" w:color="000000"/>
            </w:tcBorders>
            <w:vAlign w:val="center"/>
          </w:tcPr>
          <w:p w14:paraId="43236A53"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0B2D236"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27373637" w14:textId="77777777" w:rsidR="004404F3" w:rsidRDefault="004404F3">
            <w:pPr>
              <w:keepNext/>
              <w:jc w:val="center"/>
            </w:pPr>
          </w:p>
        </w:tc>
      </w:tr>
      <w:tr w:rsidR="004404F3" w14:paraId="0DB7A0E0" w14:textId="77777777">
        <w:trPr>
          <w:cantSplit/>
          <w:jc w:val="center"/>
        </w:trPr>
        <w:tc>
          <w:tcPr>
            <w:tcW w:w="2880" w:type="dxa"/>
            <w:tcBorders>
              <w:top w:val="single" w:sz="6" w:space="0" w:color="000000"/>
              <w:bottom w:val="single" w:sz="6" w:space="0" w:color="000000"/>
            </w:tcBorders>
            <w:vAlign w:val="center"/>
          </w:tcPr>
          <w:p w14:paraId="6521A864"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5745DEB1"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2E7D0864" w14:textId="77777777" w:rsidR="004404F3" w:rsidRDefault="00000000">
            <w:pPr>
              <w:keepNext/>
              <w:jc w:val="center"/>
            </w:pPr>
            <w:r>
              <w:rPr>
                <w:sz w:val="17"/>
                <w:szCs w:val="17"/>
              </w:rPr>
              <w:t>13</w:t>
            </w:r>
          </w:p>
        </w:tc>
      </w:tr>
      <w:tr w:rsidR="004404F3" w14:paraId="331DAA84" w14:textId="77777777">
        <w:trPr>
          <w:cantSplit/>
          <w:jc w:val="center"/>
        </w:trPr>
        <w:tc>
          <w:tcPr>
            <w:tcW w:w="2880" w:type="dxa"/>
            <w:tcBorders>
              <w:top w:val="single" w:sz="6" w:space="0" w:color="000000"/>
              <w:bottom w:val="single" w:sz="6" w:space="0" w:color="000000"/>
            </w:tcBorders>
            <w:vAlign w:val="center"/>
          </w:tcPr>
          <w:p w14:paraId="58A35BDC"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0E07E064"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F380B28"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0410EB88"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18286666"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60ED0E0D"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0140EF01" w14:textId="77777777" w:rsidR="004404F3" w:rsidRDefault="00000000">
            <w:pPr>
              <w:keepNext/>
              <w:jc w:val="center"/>
            </w:pPr>
            <w:r>
              <w:rPr>
                <w:sz w:val="17"/>
                <w:szCs w:val="17"/>
              </w:rPr>
              <w:t>14.3</w:t>
            </w:r>
          </w:p>
        </w:tc>
      </w:tr>
      <w:tr w:rsidR="004404F3" w14:paraId="4E1D8F90" w14:textId="77777777">
        <w:trPr>
          <w:cantSplit/>
          <w:jc w:val="center"/>
        </w:trPr>
        <w:tc>
          <w:tcPr>
            <w:tcW w:w="2880" w:type="dxa"/>
            <w:tcBorders>
              <w:top w:val="single" w:sz="6" w:space="0" w:color="000000"/>
              <w:bottom w:val="single" w:sz="6" w:space="0" w:color="000000"/>
            </w:tcBorders>
            <w:vAlign w:val="center"/>
          </w:tcPr>
          <w:p w14:paraId="142369CA"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2D9E3593"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297A19A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C375501"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1C4D914"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77C877A1"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0A25180" w14:textId="77777777" w:rsidR="004404F3" w:rsidRDefault="00000000">
            <w:pPr>
              <w:keepNext/>
              <w:jc w:val="center"/>
            </w:pPr>
            <w:r>
              <w:rPr>
                <w:sz w:val="17"/>
                <w:szCs w:val="17"/>
              </w:rPr>
              <w:t>100.0</w:t>
            </w:r>
          </w:p>
        </w:tc>
      </w:tr>
    </w:tbl>
    <w:p>
      <w:pPr>
        <w:keepLines/>
        <w:spacing w:before="40" w:after="160" w:line="230" w:lineRule="auto"/>
        <w:jc w:val="both"/>
      </w:pPr>
      <w:r>
        <w:rPr>
          <w:i/>
          <w:iCs/>
          <w:sz w:val="17"/>
          <w:szCs w:val="17"/>
        </w:rPr>
        <w:t xml:space="preserve">Note. </w:t>
      </w:r>
      <w:r>
        <w:rPr>
          <w:sz w:val="17"/>
          <w:szCs w:val="17"/>
        </w:rPr>
        <w:t xml:space="preserve">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14:paraId="6DC4AEE9" w14:textId="77777777" w:rsidR="004404F3" w:rsidRDefault="00000000">
      <w:pPr>
        <w:keepNext/>
        <w:spacing w:before="160" w:after="60"/>
        <w:jc w:val="center"/>
      </w:pPr>
      <w:r>
        <w:rPr>
          <w:noProof/>
        </w:rPr>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pPr>
        <w:keepLines/>
        <w:spacing w:after="200" w:line="240" w:lineRule="auto"/>
        <w:jc w:val="both"/>
      </w:pPr>
      <w:r>
        <w:rPr>
          <w:b/>
          <w:bCs/>
          <w:sz w:val="20"/>
          <w:szCs w:val="20"/>
        </w:rPr>
        <w:t xml:space="preserve">Fig. 1. </w:t>
      </w:r>
      <w:r>
        <w:rPr>
          <w:sz w:val="20"/>
          <w:szCs w:val="20"/>
        </w:rPr>
        <w:t xml:space="preserve">Class make-up of the primary partitions for the two observation contexts. Each bar is the percentage of a partition taken by one class, with its count shown as a label. (a) Training partitions. (b) Test partitions. Within a context, training and test proportions are almost identical; between contexts they differ, most clearly for FT and VOIP.</w:t>
      </w:r>
    </w:p>
    <w:p>
      <w:pPr>
        <w:pStyle w:val="Heading2"/>
        <w:keepNext/>
        <w:spacing w:before="180" w:after="80"/>
      </w:pPr>
      <w:r>
        <w:t xml:space="preserve">C. Leakage, Near-Duplicate and Grouping Audit</w:t>
      </w:r>
    </w:p>
    <w:p>
      <w:pPr>
        <w:spacing w:after="100" w:line="264" w:lineRule="auto"/>
        <w:ind w:firstLine="284"/>
        <w:jc w:val="both"/>
      </w:pPr>
      <w:r>
        <w:t xml:space="preserve">We audited the partitions before training anything. Once repeated rows inside a partition are dropped, Non-VPN keeps 6,951 distinct feature vectors in training and 1,737 in test, and exactly one vector appears on both sides. VPN keeps 7,489 and 1,875, with thirteen shared. Every shared vector has one label in training and another in test, so we call them exact feature-vector collisions, not copies. Because the labels disagree, memorising these rows cannot raise test accuracy. They make up at most 0.7% of VPN test rows, and we left them in.</w:t>
      </w:r>
    </w:p>
    <w:p>
      <w:pPr>
        <w:spacing w:after="100" w:line="264" w:lineRule="auto"/>
        <w:ind w:firstLine="284"/>
        <w:jc w:val="both"/>
      </w:pPr>
      <w:r>
        <w:t xml:space="preserve">Near duplicates needed a different check. On standardised raw features the nearest-neighbour distances are tiny (Non-VPN median test-to-train distance 0.0032 standard deviations), because a handful of extreme values dominate each heavy-tailed feature. 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spacing w:after="100" w:line="264" w:lineRule="auto"/>
        <w:ind w:firstLine="284"/>
        <w:jc w:val="both"/>
      </w:pPr>
      <w:r>
        <w:t xml:space="preserve">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spacing w:after="100" w:line="264" w:lineRule="auto"/>
        <w:ind w:firstLine="284"/>
        <w:jc w:val="both"/>
      </w:pPr>
      <w:r>
        <w:t xml:space="preserve">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spacing w:before="180" w:after="80"/>
      </w:pPr>
      <w:r>
        <w:t xml:space="preserve">D. Models and Implementation</w:t>
      </w:r>
    </w:p>
    <w:p>
      <w:pPr>
        <w:spacing w:after="100" w:line="264" w:lineRule="auto"/>
        <w:ind w:firstLine="284"/>
        <w:jc w:val="both"/>
      </w:pPr>
      <w:r>
        <w:t xml:space="preserve">Two tree ensembles carry the analysis because they treat correlated inputs differently. Random Forest [51] averages many deep trees, and each split chooses from a random subset of features. XGBoost [52] builds shallower trees in sequence, with regularisation. Both are explained with TreeSHAP. Extra Trees [53] appears only in the robustness checks of Section IX. We do not use a linear baseline: multinomial Logistic Regression, even with a log(x + 2) transform, reached only 0.754 (Non-VPN) and 0.724 (VPN) macro F1, against 0.85–0.93 for the ensembles.</w:t>
      </w:r>
    </w:p>
    <w:p>
      <w:pPr>
        <w:spacing w:after="100" w:line="264" w:lineRule="auto"/>
        <w:ind w:firstLine="284"/>
        <w:jc w:val="both"/>
      </w:pPr>
      <w:r>
        <w:t xml:space="preserve">Configurations are listed in Table III and do not change between contexts. Hyperparameters were set once and not tuned; Section IX reports how far rankings move under other XGBoost settings and seeds. The primary models use random_state 42, and every model in the repeated designs of Section IV-D has its own seed. The code relies on scikit-learn [54] and XGBoost [52], with TreeSHAP from the SHAP library [14]. Every number in the paper was produced in one software environment (Table III).</w:t>
      </w:r>
    </w:p>
    <w:p>
      <w:pPr>
        <w:keepNext/>
        <w:spacing w:before="200" w:line="240" w:lineRule="auto"/>
        <w:jc w:val="center"/>
      </w:pPr>
      <w:r>
        <w:rPr>
          <w:sz w:val="20"/>
          <w:szCs w:val="20"/>
        </w:rPr>
        <w:t>TABLE III</w:t>
      </w:r>
    </w:p>
    <w:p>
      <w:pPr>
        <w:keepNext/>
        <w:spacing w:after="80" w:line="240" w:lineRule="auto"/>
        <w:jc w:val="center"/>
      </w:pPr>
      <w:r>
        <w:rPr>
          <w:sz w:val="20"/>
          <w:szCs w:val="20"/>
        </w:rPr>
        <w:t xml:space="preserve">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6"/>
        <w:gridCol w:w="1600"/>
      </w:tblGrid>
      <w:tr>
        <w:trPr>
          <w:cantSplit/>
          <w:tblHeader/>
          <w:jc w:val="center"/>
        </w:trPr>
        <w:tc>
          <w:tcPr>
            <w:tcW w:w="1600" w:type="dxa"/>
            <w:tcBorders>
              <w:top w:val="single" w:sz="6" w:space="0" w:color="000000"/>
              <w:bottom w:val="single" w:sz="6" w:space="0" w:color="000000"/>
            </w:tcBorders>
            <w:vAlign w:val="center"/>
          </w:tcPr>
          <w:p>
            <w:pPr>
              <w:spacing w:after="0" w:line="228" w:lineRule="auto"/>
            </w:pPr>
            <w:r>
              <w:rPr>
                <w:b/>
                <w:bCs/>
                <w:sz w:val="17"/>
                <w:szCs w:val="17"/>
              </w:rPr>
              <w:t xml:space="preserve">Model</w:t>
            </w:r>
          </w:p>
        </w:tc>
        <w:tc>
          <w:tcPr>
            <w:tcW w:w="5826" w:type="dxa"/>
            <w:tcBorders>
              <w:top w:val="single" w:sz="6" w:space="0" w:color="000000"/>
              <w:bottom w:val="single" w:sz="6" w:space="0" w:color="000000"/>
            </w:tcBorders>
            <w:vAlign w:val="center"/>
          </w:tcPr>
          <w:p>
            <w:pPr>
              <w:spacing w:after="0" w:line="228" w:lineRule="auto"/>
              <w:jc w:val="center"/>
            </w:pPr>
            <w:r>
              <w:rPr>
                <w:b/>
                <w:bCs/>
                <w:sz w:val="17"/>
                <w:szCs w:val="17"/>
              </w:rPr>
              <w:t xml:space="preserve">Configuration</w:t>
            </w:r>
          </w:p>
        </w:tc>
        <w:tc>
          <w:tcPr>
            <w:tcW w:w="1600" w:type="dxa"/>
            <w:tcBorders>
              <w:top w:val="single" w:sz="6" w:space="0" w:color="000000"/>
              <w:bottom w:val="single" w:sz="6" w:space="0" w:color="000000"/>
            </w:tcBorders>
            <w:vAlign w:val="center"/>
          </w:tcPr>
          <w:p>
            <w:pPr>
              <w:spacing w:after="0" w:line="228" w:lineRule="auto"/>
              <w:jc w:val="center"/>
            </w:pPr>
            <w:r>
              <w:rPr>
                <w:b/>
                <w:bCs/>
                <w:sz w:val="17"/>
                <w:szCs w:val="17"/>
              </w:rPr>
              <w:t xml:space="preserve">Use</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Random Forest</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200 trees; max_features = sqrt; min_samples_leaf = 1; bootstrap = True; class_weight = None;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TreeSHAP</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XGBoost</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200 estimators; multi:softprob, 7 classes; max_depth = 6; learning_rate = 0.1; subsample = 0.8; colsample_bytree = 0.8; min_child_weight = 1; eval_metric = mlogloss;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TreeSHAP</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Extra Trees</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500 trees; max_features = sqrt; min_samples_leaf = 1;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Robustness only</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TreeSHAP</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Path-dependent primary; interventional robustness with 200 training background records. Random Forest and Extra Trees: class probabilities; XGBoost: class margins</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Ranks and normalised shares</w:t>
            </w:r>
          </w:p>
        </w:tc>
      </w:tr>
    </w:tbl>
    <w:p>
      <w:pPr>
        <w:keepLines/>
        <w:spacing w:before="40" w:after="160" w:line="230" w:lineRule="auto"/>
        <w:jc w:val="both"/>
      </w:pPr>
      <w:r>
        <w:rPr>
          <w:i/>
          <w:iCs/>
          <w:sz w:val="17"/>
          <w:szCs w:val="17"/>
        </w:rPr>
        <w:t xml:space="preserve">Note. </w:t>
      </w:r>
      <w:r>
        <w:rPr>
          <w:sz w:val="17"/>
          <w:szCs w:val="17"/>
        </w:rPr>
        <w:t xml:space="preserve">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spacing w:before="280" w:after="120"/>
        <w:jc w:val="center"/>
      </w:pPr>
      <w:r>
        <w:t xml:space="preserve">IV. METHODOLOGY</w:t>
      </w:r>
    </w:p>
    <w:p>
      <w:pPr>
        <w:pStyle w:val="Heading2"/>
        <w:keepNext/>
        <w:spacing w:before="180" w:after="80"/>
      </w:pPr>
      <w:r>
        <w:t xml:space="preserve">A. Overview</w:t>
      </w:r>
    </w:p>
    <w:p>
      <w:pPr>
        <w:spacing w:after="100" w:line="264" w:lineRule="auto"/>
        <w:ind w:firstLine="284"/>
        <w:jc w:val="both"/>
      </w:pPr>
      <w:r>
        <w:t xml:space="preserve">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xmlns:a="http://schemas.openxmlformats.org/drawingml/2006/main" xmlns:pic="http://schemas.openxmlformats.org/drawingml/2006/picture">
      <w:pPr>
        <w:keepNext/>
        <w:spacing w:before="160" w:after="60"/>
        <w:jc w:val="center"/>
      </w:pPr>
      <w:r>
        <w:rPr>
          <w:noProof/>
        </w:rPr>
        <w:drawing>
          <wp:inline distT="0" distB="0" distL="0" distR="0">
            <wp:extent cx="5715000" cy="3512889"/>
            <wp:effectExtent l="0" t="0" r="0" b="0"/>
            <wp:docPr id="902" name="Figure 2"/>
            <wp:cNvGraphicFramePr>
              <a:graphicFrameLocks noChangeAspect="1"/>
            </wp:cNvGraphicFramePr>
            <a:graphic>
              <a:graphicData uri="http://schemas.openxmlformats.org/drawingml/2006/picture">
                <pic:pic>
                  <pic:nvPicPr>
                    <pic:cNvPr id="902" name="Figure 2"/>
                    <pic:cNvPicPr>
                      <a:picLocks noChangeAspect="1" noChangeArrowheads="1"/>
                    </pic:cNvPicPr>
                  </pic:nvPicPr>
                  <pic:blipFill>
                    <a:blip r:embed="rIdRev2Fig2"/>
                    <a:stretch>
                      <a:fillRect/>
                    </a:stretch>
                  </pic:blipFill>
                  <pic:spPr bwMode="auto">
                    <a:xfrm>
                      <a:off x="0" y="0"/>
                      <a:ext cx="5715000" cy="3512889"/>
                    </a:xfrm>
                    <a:prstGeom prst="rect">
                      <a:avLst/>
                    </a:prstGeom>
                    <a:noFill/>
                  </pic:spPr>
                </pic:pic>
              </a:graphicData>
            </a:graphic>
          </wp:inline>
        </w:drawing>
      </w:r>
    </w:p>
    <w:p>
      <w:pPr>
        <w:keepLines/>
        <w:spacing w:after="200" w:line="240" w:lineRule="auto"/>
        <w:jc w:val="both"/>
      </w:pPr>
      <w:r>
        <w:rPr>
          <w:b/>
          <w:bCs/>
          <w:sz w:val="20"/>
          <w:szCs w:val="20"/>
        </w:rPr>
        <w:t xml:space="preserve">Fig. 2. </w:t>
      </w:r>
      <w:r>
        <w:rPr>
          <w:sz w:val="20"/>
          <w:szCs w:val="20"/>
        </w:rPr>
        <w:t xml:space="preserve">Experimental pipeline. Each context is modelled on its own. The repeated designs redraw the 80/20 partition in every repeat, and the consequence tests select features inside training partitions only.</w:t>
      </w:r>
    </w:p>
    <w:p>
      <w:pPr>
        <w:pStyle w:val="Heading2"/>
        <w:keepNext/>
        <w:spacing w:before="180" w:after="80"/>
      </w:pPr>
      <w:r>
        <w:t xml:space="preserve">B. TreeSHAP and Global Importance</w:t>
      </w:r>
    </w:p>
    <w:p w14:paraId="44749CA1"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8A9A893"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2FB4F24F"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builds its reference from cover statistics stored along the tree paths, so no background sample is needed. What gets explained differs by model. For Random Forest it is the class probability; for XGBoost, trained with the multiclass soft-probability objective, it is the raw margin of each class before softmax. Raw attribution sizes cannot be compared between models as a result, and wherever we compare models we use ranks or normalised shares computed within each model. Explanations are always computed on the held-out test partition of the context in question. Feature </w:t>
      </w:r>
      <m:oMath>
        <m:r>
          <w:rPr>
            <w:rFonts w:ascii="Cambria Math" w:hAnsi="Cambria Math"/>
          </w:rPr>
          <m:t>j</m:t>
        </m:r>
      </m:oMath>
      <w:r>
        <w:t xml:space="preserve"> gets a global importance equal to its absolute SHAP value averaged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that number divided by the total over features:</w:t>
      </w:r>
    </w:p>
    <w:p w14:paraId="4BC0918C" w14:textId="77777777" w:rsidR="004404F3" w:rsidRDefault="00000000">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pPr>
        <w:spacing w:after="100" w:line="264" w:lineRule="auto"/>
        <w:ind w:firstLine="284"/>
        <w:jc w:val="both"/>
      </w:pPr>
      <w:r>
        <w:t xml:space="preserve">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501A2258" w14:textId="77777777" w:rsidR="004404F3" w:rsidRDefault="00000000">
      <w:pPr>
        <w:spacing w:after="100" w:line="264" w:lineRule="auto"/>
        <w:ind w:firstLine="284"/>
        <w:jc w:val="both"/>
      </w:pPr>
      <w:r>
        <w:t>Two things about the method limit how far the rankings can be read. The tree-path-dependent formulation inherits whatever dependence structure the trees happened to learn. When several correlated features could serve for the same split, the one the model actually used gets the credit, and two otherwise similar models may divide attribution among correlated features quite differently [18, 19]. Also, SHAP values are about the model. A feature with a large attribution is one that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spacing w:before="180" w:after="80"/>
      </w:pPr>
      <w:r>
        <w:t xml:space="preserve">C. Ranking Agreement Measures</w:t>
      </w:r>
    </w:p>
    <w:p w14:paraId="619B0B15" w14:textId="77777777" w:rsidR="004404F3" w:rsidRDefault="00000000">
      <w:pPr>
        <w:spacing w:after="100" w:line="264" w:lineRule="auto"/>
        <w:jc w:val="both"/>
      </w:pPr>
      <w:r>
        <w:t>Our first agreement measure is Spearman's rank correlation [43],</w:t>
      </w:r>
    </w:p>
    <w:p w14:paraId="140501FE"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1F2A2D31" w14:textId="77777777" w:rsidR="004404F3"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w:t>
      </w:r>
      <m:oMath>
        <m:sSub>
          <m:e>
            <m:r>
              <w:rPr>
                <w:rFonts w:ascii="Cambria Math" w:hAnsi="Cambria Math"/>
              </w:rPr>
              <m:t>τ</m:t>
            </m:r>
          </m:e>
          <m:sub>
            <m:r>
              <w:rPr>
                <w:rFonts w:ascii="Cambria Math" w:hAnsi="Cambria Math"/>
              </w:rPr>
              <m:t>b</m:t>
            </m:r>
          </m:sub>
        </m:sSub>
      </m:oMath>
      <w:r>
        <w:t xml:space="preserve"> [44],</w:t>
      </w:r>
    </w:p>
    <w:p w14:paraId="301461F4"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18FEAD7A" w14:textId="77777777" w:rsidR="004404F3" w:rsidRDefault="00000000">
      <w:pPr>
        <w:spacing w:after="100" w:line="264" w:lineRule="auto"/>
        <w:ind w:firstLine="284"/>
        <w:jc w:val="both"/>
      </w:pPr>
      <w:r>
        <w:t>Its denominator corrects for ties. Spearman correlation is computed on ranks with tied values given their average rank, so (3) is just the familiar no-tie formula. Top-k overlap O</w:t>
      </w:r>
      <w:r>
        <w:rPr>
          <w:vertAlign w:val="subscript"/>
        </w:rPr>
        <w:t>k</w:t>
      </w:r>
      <w:r>
        <w:t xml:space="preserve"> is the number of features two Top-k sets share. With m = 23, two sets of size k must share at least max(0, 2k - m) features. For two Top-k sets picked independently at random, the expected overlap and a chance-corrected version are</w:t>
      </w:r>
    </w:p>
    <w:p w14:paraId="7D51E102"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4931F2B3" w14:textId="77777777" w:rsidR="004404F3" w:rsidRDefault="00000000">
      <w:pPr>
        <w:spacing w:after="100" w:line="264" w:lineRule="auto"/>
        <w:jc w:val="both"/>
      </w:pPr>
      <w:r>
        <w:t xml:space="preserve">where </w:t>
      </w:r>
      <m:oMath>
        <m:sSub>
          <m:e>
            <m:r>
              <w:rPr>
                <w:rFonts w:ascii="Cambria Math" w:hAnsi="Cambria Math"/>
              </w:rPr>
              <m:t>κ</m:t>
            </m:r>
          </m:e>
          <m:sub>
            <m:r>
              <w:rPr>
                <w:rFonts w:ascii="Cambria Math" w:hAnsi="Cambria Math"/>
              </w:rPr>
              <m:t>k</m:t>
            </m:r>
          </m:sub>
        </m:sSub>
      </m:oMath>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spacing w:after="100" w:line="264" w:lineRule="auto"/>
        <w:ind w:firstLine="284"/>
        <w:jc w:val="both"/>
      </w:pPr>
      <w:r>
        <w:t xml:space="preserve">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 xml:space="preserve">d-1</w:t>
      </w:r>
      <w:r>
        <w:t xml:space="preserve"> that shrink by a factor p at each further depth d; we use the extrapolated form with p = 0.9. These depth weights sum to 1 - 0.9</w:t>
      </w:r>
      <w:r>
        <w:rPr>
          <w:vertAlign w:val="superscript"/>
        </w:rPr>
        <w:t xml:space="preserve">10</w:t>
      </w:r>
      <w:r>
        <w:t xml:space="preserve"> </w:t>
      </w:r>
      <m:oMath>
        <m:r>
          <w:rPr>
            <w:rFonts w:ascii="Cambria Math" w:hAnsi="Cambria Math"/>
          </w:rPr>
          <m:t>≈</m:t>
        </m:r>
      </m:oMath>
      <w:r>
        <w:t xml:space="preserve"> 0.65 over the first ten depths, but the agreement at rank i enters the overlap at every depth d </w:t>
      </w:r>
      <m:oMath>
        <m:r>
          <w:rPr>
            <w:rFonts w:ascii="Cambria Math" w:hAnsi="Cambria Math"/>
          </w:rPr>
          <m:t>≥</m:t>
        </m:r>
      </m:oMath>
      <w:r>
        <w:t xml:space="preserve"> i, so the first ten ranks carry about 86% of the total weight (Webber et al. [45], Eq. 21). The second is the L1 distance between the normalised importance vectors, the sum over features of |s</w:t>
      </w:r>
      <w:r>
        <w:rPr>
          <w:vertAlign w:val="subscript"/>
        </w:rPr>
        <w:t xml:space="preserve">j</w:t>
      </w:r>
      <w:r>
        <w:t xml:space="preserve"> - s</w:t>
      </w:r>
      <m:oMath>
        <m:sSub>
          <m:e>
            <m:r>
              <w:rPr>
                <w:rFonts w:ascii="Cambria Math" w:hAnsi="Cambria Math"/>
              </w:rPr>
              <m:t>′</m:t>
            </m:r>
          </m:e>
          <m:sub>
            <m:r>
              <w:rPr>
                <w:rFonts w:ascii="Cambria Math" w:hAnsi="Cambria Math"/>
              </w:rPr>
              <m:t>j</m:t>
            </m:r>
          </m:sub>
        </m:sSub>
      </m:oMath>
      <w:r>
        <w:t xml:space="preserve">|, which is twice the total-variation distance and ranges from 0 to 2. It compares the shares themselves, so features with negligible shares barely contribute.</w:t>
      </w:r>
    </w:p>
    <w:p>
      <w:pPr>
        <w:spacing w:after="100" w:line="264" w:lineRule="auto"/>
        <w:ind w:firstLine="284"/>
        <w:jc w:val="both"/>
      </w:pPr>
      <w:r>
        <w:t xml:space="preserve">In short, we report Spearman, Kendall, Top-k overlap together with its chance-corrected form </w:t>
      </w:r>
      <m:oMath>
        <m:sSub>
          <m:e>
            <m:r>
              <w:rPr>
                <w:rFonts w:ascii="Cambria Math" w:hAnsi="Cambria Math"/>
              </w:rPr>
              <m:t>κ</m:t>
            </m:r>
          </m:e>
          <m:sub>
            <m:r>
              <w:rPr>
                <w:rFonts w:ascii="Cambria Math" w:hAnsi="Cambria Math"/>
              </w:rPr>
              <m:t>k</m:t>
            </m:r>
          </m:sub>
        </m:sSub>
      </m:oMath>
      <w:r>
        <w:t xml:space="preserve"> from (5), RBO and the L1 share distance. With m = 23, </w:t>
      </w:r>
      <m:oMath>
        <m:sSub>
          <m:e>
            <m:r>
              <w:rPr>
                <w:rFonts w:ascii="Cambria Math" w:hAnsi="Cambria Math"/>
              </w:rPr>
              <m:t>κ</m:t>
            </m:r>
          </m:e>
          <m:sub>
            <m:r>
              <w:rPr>
                <w:rFonts w:ascii="Cambria Math" w:hAnsi="Cambria Math"/>
              </w:rPr>
              <m:t>5</m:t>
            </m:r>
          </m:sub>
        </m:sSub>
      </m:oMath>
      <w:r>
        <w:t xml:space="preserve"> = 0.49 corresponds to three shared features out of five and </w:t>
      </w:r>
      <m:oMath>
        <m:sSub>
          <m:e>
            <m:r>
              <w:rPr>
                <w:rFonts w:ascii="Cambria Math" w:hAnsi="Cambria Math"/>
              </w:rPr>
              <m:t>κ</m:t>
            </m:r>
          </m:e>
          <m:sub>
            <m:r>
              <w:rPr>
                <w:rFonts w:ascii="Cambria Math" w:hAnsi="Cambria Math"/>
              </w:rPr>
              <m:t>10</m:t>
            </m:r>
          </m:sub>
        </m:sSub>
      </m:oMath>
      <w:r>
        <w:t xml:space="preserve"> = 0.65 to eight out of ten. Whole-ranking agreement and agreement at the top are read together, because either one alone can make two explanations look more interchangeable than they are.</w:t>
      </w:r>
    </w:p>
    <w:p>
      <w:pPr>
        <w:pStyle w:val="Heading2"/>
        <w:keepNext/>
        <w:spacing w:before="180" w:after="80"/>
      </w:pPr>
      <w:r>
        <w:t xml:space="preserve">D. Within-Context References and Permutation Null</w:t>
      </w:r>
    </w:p>
    <w:p>
      <w:pPr>
        <w:spacing w:after="100" w:line="264" w:lineRule="auto"/>
        <w:ind w:firstLine="284"/>
        <w:jc w:val="both"/>
      </w:pPr>
      <w:r>
        <w:t xml:space="preserve">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spacing w:after="100" w:line="264" w:lineRule="auto"/>
        <w:ind w:firstLine="284"/>
        <w:jc w:val="both"/>
      </w:pPr>
      <w:r>
        <w:rPr>
          <w:i/>
          <w:iCs/>
        </w:rPr>
        <w:t xml:space="preserve">Flow-level random half-splits.</w:t>
      </w:r>
      <w: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tabs>
          <w:tab w:val="center" w:pos="4513"/>
          <w:tab w:val="right" w:pos="9026"/>
        </w:tabs>
        <w:spacing w:before="100" w:after="100"/>
      </w:pPr>
      <w:r>
        <w:tab/>
      </w:r>
      <m:oMath>
        <m:r>
          <m:t>Δ</m:t>
        </m:r>
        <m:r>
          <m:t>=</m:t>
        </m:r>
        <m:f>
          <m:num>
            <m:r>
              <m:t>1</m:t>
            </m:r>
          </m:num>
          <m:den>
            <m:r>
              <m:t>2</m:t>
            </m:r>
          </m:den>
        </m:f>
        <m:d>
          <m:e>
            <m:sSub>
              <m:e>
                <m:r>
                  <m:t>ρ</m:t>
                </m:r>
              </m:e>
              <m:sub>
                <m:r>
                  <m:t>within,NV</m:t>
                </m:r>
              </m:sub>
            </m:sSub>
            <m:r>
              <m:t>+</m:t>
            </m:r>
            <m:sSub>
              <m:e>
                <m:r>
                  <m:t>ρ</m:t>
                </m:r>
              </m:e>
              <m:sub>
                <m:r>
                  <m:t>within,VPN</m:t>
                </m:r>
              </m:sub>
            </m:sSub>
          </m:e>
        </m:d>
        <m:r>
          <m:t>−</m:t>
        </m:r>
        <m:sSub>
          <m:e>
            <m:r>
              <m:t>ρ</m:t>
            </m:r>
          </m:e>
          <m:sub>
            <m:r>
              <m:t>cross</m:t>
            </m:r>
          </m:sub>
        </m:sSub>
      </m:oMath>
      <w:r>
        <w:tab/>
        <w:t>(6)</w:t>
      </w:r>
    </w:p>
    <w:p>
      <w:pPr>
        <w:spacing w:after="100" w:line="264" w:lineRule="auto"/>
        <w:jc w:val="both"/>
      </w:pPr>
      <w:r>
        <w:t xml:space="preserve">computed per repeat, and in the same way for RBO, Top-5 overlap, </w:t>
      </w:r>
      <m:oMath>
        <m:sSub>
          <m:e>
            <m:r>
              <w:rPr>
                <w:rFonts w:ascii="Cambria Math" w:hAnsi="Cambria Math"/>
              </w:rPr>
              <m:t>κ</m:t>
            </m:r>
          </m:e>
          <m:sub>
            <m:r>
              <w:rPr>
                <w:rFonts w:ascii="Cambria Math" w:hAnsi="Cambria Math"/>
              </w:rPr>
              <m:t>5</m:t>
            </m:r>
          </m:sub>
        </m:sSub>
      </m:oMath>
      <w:r>
        <w:t xml:space="preserve"> and family-level </w:t>
      </w:r>
      <m:oMath>
        <m:r>
          <w:rPr>
            <w:rFonts w:ascii="Cambria Math" w:hAnsi="Cambria Math"/>
          </w:rPr>
          <m:t>ρ</m:t>
        </m:r>
      </m:oMath>
      <w:r>
        <w:t xml:space="preserve">.</w:t>
      </w:r>
    </w:p>
    <w:p>
      <w:pPr>
        <w:spacing w:after="100" w:line="264" w:lineRule="auto"/>
        <w:ind w:firstLine="284"/>
        <w:jc w:val="both"/>
      </w:pPr>
      <w:r>
        <w:rPr>
          <w:i/>
          <w:iCs/>
        </w:rPr>
        <w:t xml:space="preserve">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pPr>
        <w:spacing w:after="100" w:line="264" w:lineRule="auto"/>
        <w:ind w:firstLine="284"/>
        <w:jc w:val="both"/>
      </w:pPr>
      <w:r>
        <w:rPr>
          <w:i/>
          <w:iCs/>
        </w:rPr>
        <w:t xml:space="preserve">Calibrating the grouping.</w:t>
      </w:r>
      <w: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pPr>
        <w:spacing w:after="100" w:line="264" w:lineRule="auto"/>
        <w:ind w:firstLine="284"/>
        <w:jc w:val="both"/>
      </w:pPr>
      <w:r>
        <w:rPr>
          <w:i/>
          <w:iCs/>
        </w:rPr>
        <w:t xml:space="preserve">Row-order blocks.</w:t>
      </w:r>
      <w: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pPr>
        <w:spacing w:after="100" w:line="264" w:lineRule="auto"/>
        <w:ind w:firstLine="284"/>
        <w:jc w:val="both"/>
      </w:pPr>
      <w:r>
        <w:rPr>
          <w:i/>
          <w:iCs/>
        </w:rPr>
        <w:t xml:space="preserve">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m:oMath>
        <m:r>
          <w:rPr>
            <w:rFonts w:ascii="Cambria Math" w:hAnsi="Cambria Math"/>
          </w:rPr>
          <m:t>Δ</m:t>
        </m:r>
      </m:oMath>
      <w:r>
        <w:t xml:space="preserve"> is computed in the same way. Under this null, </w:t>
      </w:r>
      <m:oMath>
        <m:r>
          <w:rPr>
            <w:rFonts w:ascii="Cambria Math" w:hAnsi="Cambria Math"/>
          </w:rPr>
          <m:t>Δ</m:t>
        </m:r>
      </m:oMath>
      <w:r>
        <w:t xml:space="preserve"> shows what the half-split procedure and the class-mix difference produce when nothing else separates the two contexts.</w:t>
      </w:r>
    </w:p>
    <w:p>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m:oMath>
        <m:r>
          <w:rPr>
            <w:rFonts w:ascii="Cambria Math" w:hAnsi="Cambria Math"/>
          </w:rPr>
          <m:t>ρ</m:t>
        </m:r>
      </m:oMath>
      <w:r>
        <w:t xml:space="preserve"> </w:t>
      </w:r>
      <m:oMath>
        <m:r>
          <w:rPr>
            <w:rFonts w:ascii="Cambria Math" w:hAnsi="Cambria Math"/>
          </w:rPr>
          <m:t>≥</m:t>
        </m:r>
      </m:oMath>
      <w:r>
        <w:t xml:space="preserve"> 0.997 for the primary models and at </w:t>
      </w:r>
      <m:oMath>
        <m:r>
          <w:rPr>
            <w:rFonts w:ascii="Cambria Math" w:hAnsi="Cambria Math"/>
          </w:rPr>
          <m:t>ρ</m:t>
        </m:r>
      </m:oMath>
      <w:r>
        <w:t xml:space="preserve"> </w:t>
      </w:r>
      <m:oMath>
        <m:r>
          <w:rPr>
            <w:rFonts w:ascii="Cambria Math" w:hAnsi="Cambria Math"/>
          </w:rPr>
          <m:t>≥</m:t>
        </m:r>
      </m:oMath>
      <w: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m:oMath>
        <m:r>
          <w:rPr>
            <w:rFonts w:ascii="Cambria Math" w:hAnsi="Cambria Math"/>
          </w:rPr>
          <m:t>Δ</m:t>
        </m:r>
      </m:oMath>
      <w:r>
        <w:t xml:space="preserve"> across repeats to describe its spread, not as a standard error. The other ISCX time windows (30, 60 and 120 s) are recomputed from the same captures and cannot serve as an independent second pair of contexts.</w:t>
      </w:r>
    </w:p>
    <w:p>
      <w:pPr>
        <w:pStyle w:val="Heading2"/>
        <w:keepNext/>
        <w:spacing w:before="180" w:after="80"/>
      </w:pPr>
      <w:r>
        <w:t xml:space="preserve">E. Class-Composition Tests</w:t>
      </w:r>
    </w:p>
    <w:p>
      <w:pPr>
        <w:spacing w:after="100" w:line="264" w:lineRule="auto"/>
        <w:ind w:firstLine="284"/>
        <w:jc w:val="both"/>
      </w:pPr>
      <w:r>
        <w:t xml:space="preserve">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spacing w:before="180" w:after="80"/>
      </w:pPr>
      <w:r>
        <w:t xml:space="preserve">F. Aggregated Feature-Family Importance</w:t>
      </w:r>
    </w:p>
    <w:p>
      <w:pPr>
        <w:spacing w:after="100" w:line="264" w:lineRule="auto"/>
        <w:ind w:firstLine="284"/>
        <w:jc w:val="both"/>
      </w:pPr>
      <w:r>
        <w:t xml:space="preserve">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 xml:space="preserve">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spacing w:after="100" w:line="264" w:lineRule="auto"/>
        <w:ind w:firstLine="284"/>
        <w:jc w:val="both"/>
      </w:pPr>
      <w:r>
        <w:t xml:space="preserve">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m:oMath>
        <m:sSub>
          <m:e>
            <m:r>
              <w:rPr>
                <w:rFonts w:ascii="Cambria Math" w:hAnsi="Cambria Math"/>
              </w:rPr>
              <m:t>ρ</m:t>
            </m:r>
          </m:e>
          <m:sub>
            <m:r>
              <w:rPr>
                <w:rFonts w:ascii="Cambria Math" w:hAnsi="Cambria Math"/>
              </w:rPr>
              <m:t>S</m:t>
            </m:r>
          </m:sub>
        </m:sSub>
      </m:oMath>
      <w:r>
        <w:t xml:space="preserve">|, where </w:t>
      </w:r>
      <m:oMath>
        <m:sSub>
          <m:e>
            <m:r>
              <w:rPr>
                <w:rFonts w:ascii="Cambria Math" w:hAnsi="Cambria Math"/>
              </w:rPr>
              <m:t>ρ</m:t>
            </m:r>
          </m:e>
          <m:sub>
            <m:r>
              <w:rPr>
                <w:rFonts w:ascii="Cambria Math" w:hAnsi="Cambria Math"/>
              </w:rPr>
              <m:t>S</m:t>
            </m:r>
          </m:sub>
        </m:sSub>
      </m:oMath>
      <w:r>
        <w:t xml:space="preserve"> is the Spearman correlation between two features averaged over the two training partitions, cut at 0.2. Family-level agreement is computed on the primary fits and in every half-split repeat.</w:t>
      </w:r>
    </w:p>
    <w:p>
      <w:pPr>
        <w:pStyle w:val="Heading2"/>
        <w:keepNext/>
        <w:spacing w:before="180" w:after="80"/>
      </w:pPr>
      <w:r>
        <w:t xml:space="preserve">G. Consequence Tests</w:t>
      </w:r>
    </w:p>
    <w:p>
      <w:pPr>
        <w:spacing w:after="100" w:line="264" w:lineRule="auto"/>
        <w:ind w:firstLine="284"/>
        <w:jc w:val="both"/>
      </w:pPr>
      <w:r>
        <w:t xml:space="preserve">A difference between explanations has practical weight if acting on it changes predictive performance. We test two actions. In </w:t>
      </w:r>
      <w:r>
        <w:rPr>
          <w:i/>
          <w:iCs/>
        </w:rPr>
        <w:t xml:space="preserve">direct model transfer</w:t>
      </w:r>
      <w:r>
        <w:t xml:space="preserve">,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spacing w:after="100" w:line="264" w:lineRule="auto"/>
        <w:ind w:firstLine="284"/>
        <w:jc w:val="both"/>
      </w:pPr>
      <w:r>
        <w:t xml:space="preserve">In </w:t>
      </w:r>
      <w:r>
        <w:rPr>
          <w:i/>
          <w:iCs/>
        </w:rPr>
        <w:t xml:space="preserve">feature-list transfer</w:t>
      </w:r>
      <w:r>
        <w:t xml:space="preserve">, selection uses training data only [55–57]. Each training partition is split into a stratified 80% inner-training and 20% inner-validation subset. A selector is trained on the former, its TreeSHAP importance is measured on the latter (for Random Forest, on a stratified sample of 800 inner-validation records), and the k highest-ranked features are retained. A reduced model is then refitted on the whole training partition with those features and scored on the untouched test partition. The own list comes from the target context, and the transferred list from the other context with the same inner-split seed. We run k = 5, 10 and 15 for both models, give them equal weight, and repeat the selection with five inner-split seeds. Because each list is scored on both targets, the four scores of a model form a 2 </w:t>
      </w:r>
      <m:oMath>
        <m:r>
          <w:rPr>
            <w:rFonts w:ascii="Cambria Math" w:hAnsi="Cambria Math"/>
          </w:rPr>
          <m:t>×</m:t>
        </m:r>
      </m:oMath>
      <w:r>
        <w:t xml:space="preserve"> 2 design of list origin by target, which separates a context-match effect from a difference in overall list quality.</w:t>
      </w:r>
    </w:p>
    <w:p>
      <w:pPr>
        <w:spacing w:after="100" w:line="264" w:lineRule="auto"/>
        <w:ind w:firstLine="284"/>
        <w:jc w:val="both"/>
      </w:pPr>
      <w:r>
        <w:t xml:space="preserve">Two controls show whether SHAP-based selection matters at all: the ten lowest-ranked features of the target-context selector (bottom-10), and 20 random 10-feature subsets that are drawn once and used for every model and target. For the first selection seed at k = 10, 3,000 class-stratified paired bootstrap draws of the test records give percentile intervals for the own-minus-transferred difference. These intervals hold the fitted models fixed and leave out training and selection uncertainty, which the five seeds show separately.</w:t>
      </w:r>
    </w:p>
    <w:p>
      <w:pPr>
        <w:pStyle w:val="Heading2"/>
        <w:keepNext/>
        <w:spacing w:before="180" w:after="80"/>
      </w:pPr>
      <w:r>
        <w:t xml:space="preserve">H. Sentinel Representations and Robustness Configurations</w:t>
      </w:r>
    </w:p>
    <w:p>
      <w:pPr>
        <w:spacing w:after="100" w:line="264" w:lineRule="auto"/>
        <w:ind w:firstLine="284"/>
        <w:jc w:val="both"/>
      </w:pPr>
      <w:r>
        <w:t xml:space="preserve">In the processed features, -1 stands for an undefined statistic. The sentinel experiment builds ten indicator variables, one each for min_fiat, min_biat, max_fiat, max_biat, min_flowiat, max_flowiat, min_active, max_active, min_idle and max_idle, equal to one when the source feature is -1. The primary representation keeps the raw sentinels in all 23 features. In S1, -1 stays in the original features and the ten indicators are appended; in S2, -1 is replaced by NaN, which both tree models handle natively, and the same indicators are appended. Across both partitions, min_fiat is -1 in 12.6% of Non-VPN and 10.0% of VPN flows, min_biat in 16.1% and 16.6%, the active and idle minima and maxima in 65.0% and 53.5%, and min_flowiat in only 0.3% and 0.4%. Ranks are compared over the 23 original features, and the indicators' share is reported separately.</w:t>
      </w:r>
    </w:p>
    <w:p>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m:oMath>
        <m:r>
          <w:rPr>
            <w:rFonts w:ascii="Cambria Math" w:hAnsi="Cambria Math"/>
          </w:rPr>
          <m:t>ρ</m:t>
        </m:r>
      </m:oMath>
      <w: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spacing w:before="180" w:after="80"/>
      </w:pPr>
      <w:r>
        <w:t xml:space="preserve">I. Statistical Reporting</w:t>
      </w:r>
    </w:p>
    <w:p>
      <w:pPr>
        <w:spacing w:after="100" w:line="264" w:lineRule="auto"/>
        <w:ind w:firstLine="284"/>
        <w:jc w:val="both"/>
      </w:pPr>
      <w:r>
        <w:t xml:space="preserve">We report effect sizes and their spread, not significance tests. For consistency, the effect is </w:t>
      </w:r>
      <m:oMath>
        <m:r>
          <w:rPr>
            <w:rFonts w:ascii="Cambria Math" w:hAnsi="Cambria Math"/>
          </w:rPr>
          <m:t>Δ</m:t>
        </m:r>
      </m:oMath>
      <w:r>
        <w:t xml:space="preserve"> in Spearman units (and the analogous gaps in RBO, Top-5 overlap and </w:t>
      </w:r>
      <m:oMath>
        <m:sSub>
          <m:e>
            <m:r>
              <w:rPr>
                <w:rFonts w:ascii="Cambria Math" w:hAnsi="Cambria Math"/>
              </w:rPr>
              <m:t>κ</m:t>
            </m:r>
          </m:e>
          <m:sub>
            <m:r>
              <w:rPr>
                <w:rFonts w:ascii="Cambria Math" w:hAnsi="Cambria Math"/>
              </w:rPr>
              <m:t>5</m:t>
            </m:r>
          </m:sub>
        </m:sSub>
      </m:oMath>
      <w:r>
        <w:t xml:space="preserve">), and its spread is the standard deviation and range over the 11 repeats of each design. Because these repeats share one dataset and overlapping test records, ratios of </w:t>
      </w:r>
      <m:oMath>
        <m:r>
          <w:rPr>
            <w:rFonts w:ascii="Cambria Math" w:hAnsi="Cambria Math"/>
          </w:rPr>
          <m:t>Δ</m:t>
        </m:r>
      </m:oMath>
      <w: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spacing w:before="280" w:after="120"/>
        <w:jc w:val="center"/>
      </w:pPr>
      <w:r>
        <w:t xml:space="preserve">V. BASELINE CLASSIFICATION RESULTS</w:t>
      </w:r>
    </w:p>
    <w:p>
      <w:pPr>
        <w:spacing w:after="100" w:line="264" w:lineRule="auto"/>
        <w:ind w:firstLine="284"/>
        <w:jc w:val="both"/>
      </w:pPr>
      <w:r>
        <w:t xml:space="preserve">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spacing w:after="100" w:line="264" w:lineRule="auto"/>
        <w:ind w:firstLine="284"/>
        <w:jc w:val="both"/>
      </w:pPr>
      <w:r>
        <w:t xml:space="preserve">Per class, VOIP is hardly affected, with recall above 0.99 in both contexts, and BROWSING stays at 0.93 or above. CHAT, FT, MAIL and P2P pay most of the cost: with XGBoost, MAIL recall falls from 0.917 to 0.826, P2P from 0.979 to 0.910, CHAT from 0.865 to 0.767 and FT from 0.901 to 0.841. STREAMING goes the other way, from 0.856 to 0.916 for XGBoost and from 0.822 to 0.926 for Random Forest. We do not read this as evidence that a VPN makes streaming easier to identify; the captured streaming sessions, or the classes streaming is confused with, may differ between contexts, and a flow-level dataset cannot separate these explanations.</w:t>
      </w:r>
    </w:p>
    <w:p>
      <w:pPr>
        <w:keepNext/>
        <w:spacing w:before="200" w:line="240" w:lineRule="auto"/>
        <w:jc w:val="center"/>
      </w:pPr>
      <w:r>
        <w:rPr>
          <w:sz w:val="20"/>
          <w:szCs w:val="20"/>
        </w:rPr>
        <w:t>TABLE IV</w:t>
      </w:r>
    </w:p>
    <w:p>
      <w:pPr>
        <w:keepNext/>
        <w:spacing w:after="80" w:line="240" w:lineRule="auto"/>
        <w:jc w:val="center"/>
      </w:pPr>
      <w:r>
        <w:rPr>
          <w:sz w:val="20"/>
          <w:szCs w:val="20"/>
        </w:rPr>
        <w:t xml:space="preserve">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1000"/>
        <w:gridCol w:w="700"/>
        <w:gridCol w:w="780"/>
        <w:gridCol w:w="900"/>
        <w:gridCol w:w="806"/>
        <w:gridCol w:w="806"/>
        <w:gridCol w:w="806"/>
        <w:gridCol w:w="806"/>
        <w:gridCol w:w="806"/>
        <w:gridCol w:w="806"/>
        <w:gridCol w:w="806"/>
      </w:tblGrid>
      <w:tr>
        <w:trPr>
          <w:cantSplit/>
          <w:tblHeader/>
          <w:jc w:val="center"/>
        </w:trPr>
        <w:tc>
          <w:tcPr>
            <w:tcW w:w="1000" w:type="dxa"/>
            <w:tcBorders>
              <w:top w:val="single" w:sz="6" w:space="0" w:color="000000"/>
              <w:bottom w:val="single" w:sz="6" w:space="0" w:color="000000"/>
            </w:tcBorders>
            <w:vAlign w:val="center"/>
          </w:tcPr>
          <w:p>
            <w:pPr>
              <w:spacing w:after="0" w:line="228" w:lineRule="auto"/>
            </w:pPr>
            <w:r>
              <w:rPr>
                <w:b/>
                <w:bCs/>
                <w:sz w:val="17"/>
                <w:szCs w:val="17"/>
              </w:rPr>
              <w:t xml:space="preserve">Context</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Model</w:t>
            </w:r>
          </w:p>
        </w:tc>
        <w:tc>
          <w:tcPr>
            <w:tcW w:w="780" w:type="dxa"/>
            <w:tcBorders>
              <w:top w:val="single" w:sz="6" w:space="0" w:color="000000"/>
              <w:bottom w:val="single" w:sz="6" w:space="0" w:color="000000"/>
            </w:tcBorders>
            <w:vAlign w:val="center"/>
          </w:tcPr>
          <w:p>
            <w:pPr>
              <w:spacing w:after="0" w:line="228" w:lineRule="auto"/>
              <w:jc w:val="center"/>
            </w:pPr>
            <w:r>
              <w:rPr>
                <w:b/>
                <w:bCs/>
                <w:sz w:val="17"/>
                <w:szCs w:val="17"/>
              </w:rPr>
              <w:t xml:space="preserve">Acc.</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BROW</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CHAT</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FT</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MAIL</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P2P</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STRM</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VOIP</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Non-VPN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RF</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0.9454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0.9171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0.980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0.871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0.979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0.822</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0.991</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Non-VPN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XGB</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0.9586</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0.9340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0.988</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0.865</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0.901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0.979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0.856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0.993</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RF</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0.8811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0.8533</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0.934</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0.782</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0.744</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0.835</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0.926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0.993</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XGB</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0.9051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0.8836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0.841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0.826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0.991</w:t>
            </w:r>
          </w:p>
        </w:tc>
      </w:tr>
    </w:tbl>
    <w:p>
      <w:pPr>
        <w:keepLines/>
        <w:spacing w:before="40" w:after="160" w:line="230" w:lineRule="auto"/>
        <w:jc w:val="both"/>
      </w:pPr>
      <w:r>
        <w:rPr>
          <w:i/>
          <w:iCs/>
          <w:sz w:val="17"/>
          <w:szCs w:val="17"/>
        </w:rPr>
        <w:t xml:space="preserve">Note. </w:t>
      </w:r>
      <w:r>
        <w:rPr>
          <w:sz w:val="17"/>
          <w:szCs w:val="17"/>
        </w:rPr>
        <w:t xml:space="preserve">BROW = BROWSING, STRM = STREAMING. Test support (Non-VPN / VPN): BROWSING 500/500, CHAT 178/232, FT 171/377, MAIL 48/86, P2P 188/133, STREAMING 90/95, VOIP 564/453.</w:t>
      </w:r>
    </w:p>
    <w:p xmlns:a="http://schemas.openxmlformats.org/drawingml/2006/main" xmlns:pic="http://schemas.openxmlformats.org/drawingml/2006/picture">
      <w:pPr>
        <w:keepNext/>
        <w:spacing w:before="160" w:after="60"/>
        <w:jc w:val="center"/>
      </w:pPr>
      <w:r>
        <w:rPr>
          <w:noProof/>
        </w:rPr>
        <w:drawing>
          <wp:inline distT="0" distB="0" distL="0" distR="0">
            <wp:extent cx="5715000" cy="2034958"/>
            <wp:effectExtent l="0" t="0" r="0" b="0"/>
            <wp:docPr id="903" name="Figure 3"/>
            <wp:cNvGraphicFramePr>
              <a:graphicFrameLocks noChangeAspect="1"/>
            </wp:cNvGraphicFramePr>
            <a:graphic>
              <a:graphicData uri="http://schemas.openxmlformats.org/drawingml/2006/picture">
                <pic:pic>
                  <pic:nvPicPr>
                    <pic:cNvPr id="903" name="Figure 3"/>
                    <pic:cNvPicPr>
                      <a:picLocks noChangeAspect="1" noChangeArrowheads="1"/>
                    </pic:cNvPicPr>
                  </pic:nvPicPr>
                  <pic:blipFill>
                    <a:blip r:embed="rIdRev2Fig3"/>
                    <a:stretch>
                      <a:fillRect/>
                    </a:stretch>
                  </pic:blipFill>
                  <pic:spPr bwMode="auto">
                    <a:xfrm>
                      <a:off x="0" y="0"/>
                      <a:ext cx="5715000" cy="2034958"/>
                    </a:xfrm>
                    <a:prstGeom prst="rect">
                      <a:avLst/>
                    </a:prstGeom>
                    <a:noFill/>
                  </pic:spPr>
                </pic:pic>
              </a:graphicData>
            </a:graphic>
          </wp:inline>
        </w:drawing>
      </w:r>
    </w:p>
    <w:p>
      <w:pPr>
        <w:keepLines/>
        <w:spacing w:after="200" w:line="240" w:lineRule="auto"/>
        <w:jc w:val="both"/>
      </w:pPr>
      <w:r>
        <w:rPr>
          <w:b/>
          <w:bCs/>
          <w:sz w:val="20"/>
          <w:szCs w:val="20"/>
        </w:rPr>
        <w:t xml:space="preserve">Fig. 3. </w:t>
      </w:r>
      <w:r>
        <w:rPr>
          <w:sz w:val="20"/>
          <w:szCs w:val="20"/>
        </w:rPr>
        <w:t xml:space="preserve">Baseline performance on the primary test partitions. (a) Macro F1 (bars) and accuracy (diamonds). (b) Recall per class. Under VPN the ensembles lose 0.050 (XGBoost) and 0.064 (Random Forest) macro F1, mostly in CHAT, FT, MAIL and P2P.</w:t>
      </w:r>
    </w:p>
    <w:p>
      <w:pPr>
        <w:pStyle w:val="Heading1"/>
        <w:keepNext/>
        <w:spacing w:before="280" w:after="120"/>
        <w:jc w:val="center"/>
      </w:pPr>
      <w:r>
        <w:t xml:space="preserve">VI. EXPLANATION CONSISTENCY</w:t>
      </w:r>
    </w:p>
    <w:p>
      <w:pPr>
        <w:pStyle w:val="Heading2"/>
        <w:keepNext/>
        <w:spacing w:before="180" w:after="80"/>
      </w:pPr>
      <w:r>
        <w:t xml:space="preserve">A. Global Rankings in Each Context</w:t>
      </w:r>
    </w:p>
    <w:p>
      <w:pPr>
        <w:spacing w:after="100" w:line="264" w:lineRule="auto"/>
        <w:ind w:firstLine="284"/>
        <w:jc w:val="both"/>
      </w:pPr>
      <w:r>
        <w:t xml:space="preserve">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spacing w:after="100" w:line="264" w:lineRule="auto"/>
        <w:ind w:firstLine="284"/>
        <w:jc w:val="both"/>
      </w:pPr>
      <w:r>
        <w:t xml:space="preserve">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keepNext/>
        <w:spacing w:before="200" w:line="240" w:lineRule="auto"/>
        <w:jc w:val="center"/>
      </w:pPr>
      <w:r>
        <w:rPr>
          <w:sz w:val="20"/>
          <w:szCs w:val="20"/>
        </w:rPr>
        <w:t>TABLE V</w:t>
      </w:r>
    </w:p>
    <w:p>
      <w:pPr>
        <w:keepNext/>
        <w:spacing w:after="80" w:line="240" w:lineRule="auto"/>
        <w:jc w:val="center"/>
      </w:pPr>
      <w:r>
        <w:rPr>
          <w:sz w:val="20"/>
          <w:szCs w:val="20"/>
        </w:rPr>
        <w:t xml:space="preserve">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6"/>
        <w:gridCol w:w="2106"/>
        <w:gridCol w:w="2107"/>
        <w:gridCol w:w="2107"/>
      </w:tblGrid>
      <w:tr>
        <w:trPr>
          <w:cantSplit/>
          <w:tblHeader/>
          <w:jc w:val="center"/>
        </w:trPr>
        <w:tc>
          <w:tcPr>
            <w:tcW w:w="600" w:type="dxa"/>
            <w:tcBorders>
              <w:top w:val="single" w:sz="6" w:space="0" w:color="000000"/>
              <w:bottom w:val="single" w:sz="6" w:space="0" w:color="000000"/>
            </w:tcBorders>
            <w:vAlign w:val="center"/>
          </w:tcPr>
          <w:p>
            <w:pPr>
              <w:spacing w:after="0" w:line="228" w:lineRule="auto"/>
            </w:pPr>
            <w:r>
              <w:rPr>
                <w:b/>
                <w:bCs/>
                <w:sz w:val="17"/>
                <w:szCs w:val="17"/>
              </w:rPr>
              <w:t xml:space="preserve">Rank</w:t>
            </w:r>
          </w:p>
        </w:tc>
        <w:tc>
          <w:tcPr>
            <w:tcW w:w="2106" w:type="dxa"/>
            <w:tcBorders>
              <w:top w:val="single" w:sz="6" w:space="0" w:color="000000"/>
              <w:bottom w:val="single" w:sz="6" w:space="0" w:color="000000"/>
            </w:tcBorders>
            <w:vAlign w:val="center"/>
          </w:tcPr>
          <w:p>
            <w:pPr>
              <w:spacing w:after="0" w:line="228" w:lineRule="auto"/>
              <w:jc w:val="center"/>
            </w:pPr>
            <w:r>
              <w:rPr>
                <w:b/>
                <w:bCs/>
                <w:sz w:val="17"/>
                <w:szCs w:val="17"/>
              </w:rPr>
              <w:t xml:space="preserve">RF Non-VPN</w:t>
            </w:r>
          </w:p>
        </w:tc>
        <w:tc>
          <w:tcPr>
            <w:tcW w:w="2106" w:type="dxa"/>
            <w:tcBorders>
              <w:top w:val="single" w:sz="6" w:space="0" w:color="000000"/>
              <w:bottom w:val="single" w:sz="6" w:space="0" w:color="000000"/>
            </w:tcBorders>
            <w:vAlign w:val="center"/>
          </w:tcPr>
          <w:p>
            <w:pPr>
              <w:spacing w:after="0" w:line="228" w:lineRule="auto"/>
              <w:jc w:val="center"/>
            </w:pPr>
            <w:r>
              <w:rPr>
                <w:b/>
                <w:bCs/>
                <w:sz w:val="17"/>
                <w:szCs w:val="17"/>
              </w:rPr>
              <w:t xml:space="preserve">RF VPN</w:t>
            </w:r>
          </w:p>
        </w:tc>
        <w:tc>
          <w:tcPr>
            <w:tcW w:w="2107"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Non-VPN</w:t>
            </w:r>
          </w:p>
        </w:tc>
        <w:tc>
          <w:tcPr>
            <w:tcW w:w="2107"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VPN</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1</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total_biat (9.83)</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(10.94)</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(14.05)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(13.48)</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(8.27)</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min_fiat (8.28)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(14.04)</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min_fiat (8.45)</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3</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total_fiat (8.09)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min_biat (8.15)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total_biat (8.30)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(8.16)</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4</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(7.86)</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(6.90)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min_fiat (7.97)</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min_biat (8.10)</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5</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duration (6.29)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total_biat (6.78)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flowPktsPerSecond (5.76)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mean_biat (7.15)</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6</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(5.92)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duration (5.82)</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mean_flowiat (5.56)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duration (6.58)</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7</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mean_fiat (4.89)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mean_biat (5.78)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duration (5.43)</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(6.44)</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8</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mean_biat (4.79)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total_fiat (5.59)</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total_fiat (5.09)</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(6.06)</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(4.71)</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(5.38)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(4.85)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total_fiat (4.99)</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10</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min_biat (4.42)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(5.26)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min_biat (4.30)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mean_flowiat (4.63)</w:t>
            </w:r>
          </w:p>
        </w:tc>
      </w:tr>
    </w:tbl>
    <w:p>
      <w:pPr>
        <w:keepLines/>
        <w:spacing w:before="40" w:after="160" w:line="230" w:lineRule="auto"/>
        <w:jc w:val="both"/>
      </w:pPr>
      <w:r>
        <w:rPr>
          <w:i/>
          <w:iCs/>
          <w:sz w:val="17"/>
          <w:szCs w:val="17"/>
        </w:rPr>
        <w:t xml:space="preserve">Note. </w:t>
      </w:r>
      <w:r>
        <w:rPr>
          <w:sz w:val="17"/>
          <w:szCs w:val="17"/>
        </w:rPr>
        <w:t xml:space="preserve">Shares are percentages of total mean absolute SHAP, averaged over test records and model output classes; within each model and context they sum to 100% over all 23 features. Fig. 4 shows all 23 shares.</w:t>
      </w:r>
    </w:p>
    <w:p xmlns:a="http://schemas.openxmlformats.org/drawingml/2006/main" xmlns:pic="http://schemas.openxmlformats.org/drawingml/2006/picture">
      <w:pPr>
        <w:keepNext/>
        <w:spacing w:before="160" w:after="60"/>
        <w:jc w:val="center"/>
      </w:pPr>
      <w:r>
        <w:rPr>
          <w:noProof/>
        </w:rPr>
        <w:drawing>
          <wp:inline distT="0" distB="0" distL="0" distR="0">
            <wp:extent cx="5715000" cy="4246926"/>
            <wp:effectExtent l="0" t="0" r="0" b="0"/>
            <wp:docPr id="904" name="Figure 4"/>
            <wp:cNvGraphicFramePr>
              <a:graphicFrameLocks noChangeAspect="1"/>
            </wp:cNvGraphicFramePr>
            <a:graphic>
              <a:graphicData uri="http://schemas.openxmlformats.org/drawingml/2006/picture">
                <pic:pic>
                  <pic:nvPicPr>
                    <pic:cNvPr id="904" name="Figure 4"/>
                    <pic:cNvPicPr>
                      <a:picLocks noChangeAspect="1" noChangeArrowheads="1"/>
                    </pic:cNvPicPr>
                  </pic:nvPicPr>
                  <pic:blipFill>
                    <a:blip r:embed="rIdRev2Fig4"/>
                    <a:stretch>
                      <a:fillRect/>
                    </a:stretch>
                  </pic:blipFill>
                  <pic:spPr bwMode="auto">
                    <a:xfrm>
                      <a:off x="0" y="0"/>
                      <a:ext cx="5715000" cy="4246926"/>
                    </a:xfrm>
                    <a:prstGeom prst="rect">
                      <a:avLst/>
                    </a:prstGeom>
                    <a:noFill/>
                  </pic:spPr>
                </pic:pic>
              </a:graphicData>
            </a:graphic>
          </wp:inline>
        </w:drawing>
      </w:r>
    </w:p>
    <w:p>
      <w:pPr>
        <w:keepLines/>
        <w:spacing w:after="200" w:line="240" w:lineRule="auto"/>
        <w:jc w:val="both"/>
      </w:pPr>
      <w:r>
        <w:rPr>
          <w:b/>
          <w:bCs/>
          <w:sz w:val="20"/>
          <w:szCs w:val="20"/>
        </w:rPr>
        <w:t xml:space="preserve">Fig. 4. </w:t>
      </w:r>
      <w:r>
        <w:rPr>
          <w:sz w:val="20"/>
          <w:szCs w:val="20"/>
        </w:rPr>
        <w:t xml:space="preserve">Primary TreeSHAP importance shares, Random Forest left and XGBoost right. Features are ordered by Non-VPN importance so that the two contexts can be compared directly.</w:t>
      </w:r>
    </w:p>
    <w:p>
      <w:pPr>
        <w:pStyle w:val="Heading2"/>
        <w:keepNext/>
        <w:spacing w:before="180" w:after="80"/>
      </w:pPr>
      <w:r>
        <w:t xml:space="preserve">B. Cross-Context Agreement on the Primary Split</w:t>
      </w:r>
    </w:p>
    <w:p>
      <w:pPr>
        <w:spacing w:after="100" w:line="264" w:lineRule="auto"/>
        <w:ind w:firstLine="284"/>
        <w:jc w:val="both"/>
      </w:pPr>
      <w:r>
        <w:t xml:space="preserve">For Random Forest, Spearman </w:t>
      </w:r>
      <m:oMath>
        <m:r>
          <w:rPr>
            <w:rFonts w:ascii="Cambria Math" w:hAnsi="Cambria Math"/>
          </w:rPr>
          <m:t>ρ</m:t>
        </m:r>
      </m:oMath>
      <w:r>
        <w:t xml:space="preserve"> between the Non-VPN and VPN rankings is 0.8300 and Kendall </w:t>
      </w:r>
      <m:oMath>
        <m:sSub>
          <m:e>
            <m:r>
              <w:rPr>
                <w:rFonts w:ascii="Cambria Math" w:hAnsi="Cambria Math"/>
              </w:rPr>
              <m:t>τ</m:t>
            </m:r>
          </m:e>
          <m:sub>
            <m:r>
              <w:rPr>
                <w:rFonts w:ascii="Cambria Math" w:hAnsi="Cambria Math"/>
              </w:rPr>
              <m:t>b</m:t>
            </m:r>
          </m:sub>
        </m:sSub>
      </m:oMath>
      <w:r>
        <w:t xml:space="preserve"> is 0.6443; for XGBoost, </w:t>
      </w:r>
      <m:oMath>
        <m:r>
          <w:rPr>
            <w:rFonts w:ascii="Cambria Math" w:hAnsi="Cambria Math"/>
          </w:rPr>
          <m:t>ρ</m:t>
        </m:r>
      </m:oMath>
      <w:r>
        <w:t xml:space="preserve"> = 0.7856 and </w:t>
      </w:r>
      <m:oMath>
        <m:sSub>
          <m:e>
            <m:r>
              <w:rPr>
                <w:rFonts w:ascii="Cambria Math" w:hAnsi="Cambria Math"/>
              </w:rPr>
              <m:t>τ</m:t>
            </m:r>
          </m:e>
          <m:sub>
            <m:r>
              <w:rPr>
                <w:rFonts w:ascii="Cambria Math" w:hAnsi="Cambria Math"/>
              </w:rPr>
              <m:t>b</m:t>
            </m:r>
          </m:sub>
        </m:sSub>
      </m:oMath>
      <w:r>
        <w:t xml:space="preserve"> = 0.5810 (Table VI). The whole-ranking correlations look high, yet each model keeps only three of its top five features (</w:t>
      </w:r>
      <m:oMath>
        <m:sSub>
          <m:e>
            <m:r>
              <w:rPr>
                <w:rFonts w:ascii="Cambria Math" w:hAnsi="Cambria Math"/>
              </w:rPr>
              <m:t>κ</m:t>
            </m:r>
          </m:e>
          <m:sub>
            <m:r>
              <w:rPr>
                <w:rFonts w:ascii="Cambria Math" w:hAnsi="Cambria Math"/>
              </w:rPr>
              <m:t>5</m:t>
            </m:r>
          </m:sub>
        </m:sSub>
      </m:oMath>
      <w:r>
        <w:t xml:space="preserve"> = 0.49), and RBO is 0.580 for Random Forest and 0.755 for XGBoost. The L1 distance between share vectors is 0.333 and 0.360, so about a sixth of the total importance changes hands, and the mean absolute rank displacement is 3.04 and 3.39 positions. At ten features the overlap is 9 of 10 for Random Forest (</w:t>
      </w:r>
      <m:oMath>
        <m:sSub>
          <m:e>
            <m:r>
              <w:rPr>
                <w:rFonts w:ascii="Cambria Math" w:hAnsi="Cambria Math"/>
              </w:rPr>
              <m:t>κ</m:t>
            </m:r>
          </m:e>
          <m:sub>
            <m:r>
              <w:rPr>
                <w:rFonts w:ascii="Cambria Math" w:hAnsi="Cambria Math"/>
              </w:rPr>
              <m:t>10</m:t>
            </m:r>
          </m:sub>
        </m:sSub>
      </m:oMath>
      <w:r>
        <w:t xml:space="preserve"> = 0.82) and 8 of 10 for XGBoost (</w:t>
      </w:r>
      <m:oMath>
        <m:sSub>
          <m:e>
            <m:r>
              <w:rPr>
                <w:rFonts w:ascii="Cambria Math" w:hAnsi="Cambria Math"/>
              </w:rPr>
              <m:t>κ</m:t>
            </m:r>
          </m:e>
          <m:sub>
            <m:r>
              <w:rPr>
                <w:rFonts w:ascii="Cambria Math" w:hAnsi="Cambria Math"/>
              </w:rPr>
              <m:t>10</m:t>
            </m:r>
          </m:sub>
        </m:sSub>
      </m:oMath>
      <w:r>
        <w:t xml:space="preserve"> = 0.65). Weighting true classes equally changes the within-context rankings little (</w:t>
      </w:r>
      <m:oMath>
        <m:r>
          <w:rPr>
            <w:rFonts w:ascii="Cambria Math" w:hAnsi="Cambria Math"/>
          </w:rPr>
          <m:t>ρ</m:t>
        </m:r>
      </m:oMath>
      <w:r>
        <w:t xml:space="preserve"> between weighted and unweighted rankings 0.976–0.998) and leaves the cross-context values at a similar level.</w:t>
      </w:r>
    </w:p>
    <w:p>
      <w:pPr>
        <w:spacing w:after="100" w:line="264" w:lineRule="auto"/>
        <w:ind w:firstLine="284"/>
        <w:jc w:val="both"/>
      </w:pPr>
      <w:r>
        <w:t xml:space="preserve">Fig. 5 follows single features (Non-VPN rank  to  VPN rank). In Random Forest, min_fiat (11  to  2) and min_biat (10  to  3) move up, while total_biat (1  to  5), total_fiat (3  to  8) and mean_fiat (7  to  14)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spacing w:after="100" w:line="264" w:lineRule="auto"/>
        <w:ind w:firstLine="284"/>
        <w:jc w:val="both"/>
      </w:pPr>
      <w:r>
        <w:t xml:space="preserve">Several of the movers are correlated with other features, which matters for how SHAP shares out credit (Fig. 6). Some pairs are close to redundant: duration correlates with total_fiat and total_biat at Spearman 0.89–0.95, total_fiat with total_biat at 0.84–0.90, and the two throughput features at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keepNext/>
        <w:spacing w:before="200" w:line="240" w:lineRule="auto"/>
        <w:jc w:val="center"/>
      </w:pPr>
      <w:r>
        <w:rPr>
          <w:sz w:val="20"/>
          <w:szCs w:val="20"/>
        </w:rPr>
        <w:t>TABLE VI</w:t>
      </w:r>
    </w:p>
    <w:p>
      <w:pPr>
        <w:keepNext/>
        <w:spacing w:after="80" w:line="240" w:lineRule="auto"/>
        <w:jc w:val="center"/>
      </w:pPr>
      <w:r>
        <w:rPr>
          <w:sz w:val="20"/>
          <w:szCs w:val="20"/>
        </w:rPr>
        <w:t xml:space="preserve">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000"/>
        <w:gridCol w:w="1000"/>
        <w:gridCol w:w="800"/>
        <w:gridCol w:w="800"/>
        <w:gridCol w:w="1250"/>
        <w:gridCol w:w="1300"/>
        <w:gridCol w:w="976"/>
      </w:tblGrid>
      <w:tr>
        <w:trPr>
          <w:cantSplit/>
          <w:tblHeader/>
          <w:jc w:val="center"/>
        </w:trPr>
        <w:tc>
          <w:tcPr>
            <w:tcW w:w="1900" w:type="dxa"/>
            <w:tcBorders>
              <w:top w:val="single" w:sz="6" w:space="0" w:color="000000"/>
              <w:bottom w:val="single" w:sz="6" w:space="0" w:color="000000"/>
            </w:tcBorders>
            <w:vAlign w:val="center"/>
          </w:tcPr>
          <w:p>
            <w:pPr>
              <w:spacing w:after="0" w:line="228" w:lineRule="auto"/>
            </w:pPr>
            <w:r>
              <w:rPr>
                <w:b/>
                <w:bCs/>
                <w:sz w:val="17"/>
                <w:szCs w:val="17"/>
              </w:rPr>
              <w:t xml:space="preserve">Model</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Spearman </w:t>
            </w:r>
            <m:oMath>
              <m:r>
                <w:rPr>
                  <w:rFonts w:ascii="Cambria Math" w:hAnsi="Cambria Math"/>
                  <w:sz w:val="17"/>
                  <w:szCs w:val="17"/>
                </w:rPr>
                <m:t>ρ</m:t>
              </m:r>
            </m:oMath>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Kendall </w:t>
            </w:r>
            <m:oMath>
              <m:sSub>
                <m:e>
                  <m:r>
                    <w:rPr>
                      <w:rFonts w:ascii="Cambria Math" w:hAnsi="Cambria Math"/>
                      <w:sz w:val="17"/>
                      <w:szCs w:val="17"/>
                    </w:rPr>
                    <m:t>τ</m:t>
                  </m:r>
                </m:e>
                <m:sub>
                  <m:r>
                    <w:rPr>
                      <w:rFonts w:ascii="Cambria Math" w:hAnsi="Cambria Math"/>
                      <w:sz w:val="17"/>
                      <w:szCs w:val="17"/>
                    </w:rPr>
                    <m:t>b</m:t>
                  </m:r>
                </m:sub>
              </m:sSub>
            </m:oMath>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RBO</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L1</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Top-5 (</w:t>
            </w:r>
            <m:oMath>
              <m:sSub>
                <m:e>
                  <m:r>
                    <w:rPr>
                      <w:rFonts w:ascii="Cambria Math" w:hAnsi="Cambria Math"/>
                      <w:sz w:val="17"/>
                      <w:szCs w:val="17"/>
                    </w:rPr>
                    <m:t>κ</m:t>
                  </m:r>
                </m:e>
                <m:sub>
                  <m:r>
                    <w:rPr>
                      <w:rFonts w:ascii="Cambria Math" w:hAnsi="Cambria Math"/>
                      <w:sz w:val="17"/>
                      <w:szCs w:val="17"/>
                    </w:rPr>
                    <m:t>5</m:t>
                  </m:r>
                </m:sub>
              </m:sSub>
            </m:oMath>
            <w:r>
              <w:rPr>
                <w:b/>
                <w:bCs/>
                <w:sz w:val="17"/>
                <w:szCs w:val="17"/>
              </w:rPr>
              <w:t xml:space="preserve">)</w:t>
            </w:r>
          </w:p>
        </w:tc>
        <w:tc>
          <w:tcPr>
            <w:tcW w:w="1300" w:type="dxa"/>
            <w:tcBorders>
              <w:top w:val="single" w:sz="6" w:space="0" w:color="000000"/>
              <w:bottom w:val="single" w:sz="6" w:space="0" w:color="000000"/>
            </w:tcBorders>
            <w:vAlign w:val="center"/>
          </w:tcPr>
          <w:p>
            <w:pPr>
              <w:spacing w:after="0" w:line="228" w:lineRule="auto"/>
              <w:jc w:val="center"/>
            </w:pPr>
            <w:r>
              <w:rPr>
                <w:b/>
                <w:bCs/>
                <w:sz w:val="17"/>
                <w:szCs w:val="17"/>
              </w:rPr>
              <w:t xml:space="preserve">Top-10 (</w:t>
            </w:r>
            <m:oMath>
              <m:sSub>
                <m:e>
                  <m:r>
                    <w:rPr>
                      <w:rFonts w:ascii="Cambria Math" w:hAnsi="Cambria Math"/>
                      <w:sz w:val="17"/>
                      <w:szCs w:val="17"/>
                    </w:rPr>
                    <m:t>κ</m:t>
                  </m:r>
                </m:e>
                <m:sub>
                  <m:r>
                    <w:rPr>
                      <w:rFonts w:ascii="Cambria Math" w:hAnsi="Cambria Math"/>
                      <w:sz w:val="17"/>
                      <w:szCs w:val="17"/>
                    </w:rPr>
                    <m:t>10</m:t>
                  </m:r>
                </m:sub>
              </m:sSub>
            </m:oMath>
            <w:r>
              <w:rPr>
                <w:b/>
                <w:bCs/>
                <w:sz w:val="17"/>
                <w:szCs w:val="17"/>
              </w:rPr>
              <w:t xml:space="preserve">)</w:t>
            </w:r>
          </w:p>
        </w:tc>
        <w:tc>
          <w:tcPr>
            <w:tcW w:w="976" w:type="dxa"/>
            <w:tcBorders>
              <w:top w:val="single" w:sz="6" w:space="0" w:color="000000"/>
              <w:bottom w:val="single" w:sz="6" w:space="0" w:color="000000"/>
            </w:tcBorders>
            <w:vAlign w:val="center"/>
          </w:tcPr>
          <w:p>
            <w:pPr>
              <w:spacing w:after="0" w:line="228" w:lineRule="auto"/>
              <w:jc w:val="center"/>
            </w:pPr>
            <w:r>
              <w:rPr>
                <w:b/>
                <w:bCs/>
                <w:sz w:val="17"/>
                <w:szCs w:val="17"/>
              </w:rPr>
              <w:t xml:space="preserve">Rank disp.</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0.8300</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0.6443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0.580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0.333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9/10 (0.82)</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3.04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0.7856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0.5810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0.755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0.360</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8/10 (0.65)</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3.39</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RF, classes weighted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0.8211</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0.6443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0.270</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8/10 (0.65)</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XGB, classes weighted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0.7925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0.5968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0.778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0.376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7/10 (0.47)</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r>
    </w:tbl>
    <w:p>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m:oMath>
        <m:sSub>
          <m:e>
            <m:r>
              <w:rPr>
                <w:rFonts w:ascii="Cambria Math" w:hAnsi="Cambria Math"/>
                <w:sz w:val="17"/>
                <w:szCs w:val="17"/>
              </w:rPr>
              <m:t>κ</m:t>
            </m:r>
          </m:e>
          <m:sub>
            <m:r>
              <w:rPr>
                <w:rFonts w:ascii="Cambria Math" w:hAnsi="Cambria Math"/>
                <w:sz w:val="17"/>
                <w:szCs w:val="17"/>
              </w:rPr>
              <m:t>k</m:t>
            </m:r>
          </m:sub>
        </m:sSub>
      </m:oMath>
      <w:r>
        <w:rPr>
          <w:sz w:val="17"/>
          <w:szCs w:val="17"/>
        </w:rPr>
        <w:t xml:space="preserve"> is the chance-corrected Top-k overlap of (5); rank disp. is the mean absolute rank displacement. Class-weighted rows give every true class the same weight in (2).</w:t>
      </w:r>
    </w:p>
    <w:p xmlns:a="http://schemas.openxmlformats.org/drawingml/2006/main" xmlns:pic="http://schemas.openxmlformats.org/drawingml/2006/picture">
      <w:pPr>
        <w:keepNext/>
        <w:spacing w:before="160" w:after="60"/>
        <w:jc w:val="center"/>
      </w:pPr>
      <w:r>
        <w:rPr>
          <w:noProof/>
        </w:rPr>
        <w:drawing>
          <wp:inline distT="0" distB="0" distL="0" distR="0">
            <wp:extent cx="5715000" cy="4534967"/>
            <wp:effectExtent l="0" t="0" r="0" b="0"/>
            <wp:docPr id="905" name="Figure 5"/>
            <wp:cNvGraphicFramePr>
              <a:graphicFrameLocks noChangeAspect="1"/>
            </wp:cNvGraphicFramePr>
            <a:graphic>
              <a:graphicData uri="http://schemas.openxmlformats.org/drawingml/2006/picture">
                <pic:pic>
                  <pic:nvPicPr>
                    <pic:cNvPr id="905" name="Figure 5"/>
                    <pic:cNvPicPr>
                      <a:picLocks noChangeAspect="1" noChangeArrowheads="1"/>
                    </pic:cNvPicPr>
                  </pic:nvPicPr>
                  <pic:blipFill>
                    <a:blip r:embed="rIdRev2Fig5"/>
                    <a:stretch>
                      <a:fillRect/>
                    </a:stretch>
                  </pic:blipFill>
                  <pic:spPr bwMode="auto">
                    <a:xfrm>
                      <a:off x="0" y="0"/>
                      <a:ext cx="5715000" cy="4534967"/>
                    </a:xfrm>
                    <a:prstGeom prst="rect">
                      <a:avLst/>
                    </a:prstGeom>
                    <a:noFill/>
                  </pic:spPr>
                </pic:pic>
              </a:graphicData>
            </a:graphic>
          </wp:inline>
        </w:drawing>
      </w:r>
    </w:p>
    <w:p>
      <w:pPr>
        <w:keepLines/>
        <w:spacing w:after="200" w:line="240" w:lineRule="auto"/>
        <w:jc w:val="both"/>
      </w:pPr>
      <w:r>
        <w:rPr>
          <w:b/>
          <w:bCs/>
          <w:sz w:val="20"/>
          <w:szCs w:val="20"/>
        </w:rPr>
        <w:t xml:space="preserve">Fig. 5. </w:t>
      </w:r>
      <w:r>
        <w:rPr>
          <w:sz w:val="20"/>
          <w:szCs w:val="20"/>
        </w:rPr>
        <w:t xml:space="preserve">Feature ranks under Non-VPN and VPN on the primary split, for Random Forest (left) and XGBoost (right). Each line joins the two ranks of a feature; dotted lines mark the Top-5 and Top-10 cut-offs. Features that move by three or more ranks are drawn in colour.</w:t>
      </w:r>
    </w:p>
    <w:p w14:paraId="4E9BDD6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29"/>
                    <a:stretch>
                      <a:fillRect/>
                    </a:stretch>
                  </pic:blipFill>
                  <pic:spPr bwMode="auto">
                    <a:xfrm>
                      <a:off x="0" y="0"/>
                      <a:ext cx="5715000" cy="2658450"/>
                    </a:xfrm>
                    <a:prstGeom prst="rect">
                      <a:avLst/>
                    </a:prstGeom>
                    <a:noFill/>
                  </pic:spPr>
                </pic:pic>
              </a:graphicData>
            </a:graphic>
          </wp:inline>
        </w:drawing>
      </w:r>
    </w:p>
    <w:p>
      <w:pPr>
        <w:keepLines/>
        <w:spacing w:after="200" w:line="240" w:lineRule="auto"/>
        <w:jc w:val="both"/>
      </w:pPr>
      <w:r>
        <w:rPr>
          <w:b/>
          <w:bCs/>
          <w:sz w:val="20"/>
          <w:szCs w:val="20"/>
        </w:rPr>
        <w:t xml:space="preserve">Fig. 6. </w:t>
      </w:r>
      <w:r>
        <w:rPr>
          <w:sz w:val="20"/>
          <w:szCs w:val="20"/>
        </w:rPr>
        <w:t xml:space="preserve">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spacing w:before="180" w:after="80"/>
      </w:pPr>
      <w:r>
        <w:t xml:space="preserve">C. Within-Context References and Permutation Null</w:t>
      </w:r>
    </w:p>
    <w:p>
      <w:pPr>
        <w:spacing w:after="100" w:line="264" w:lineRule="auto"/>
        <w:ind w:firstLine="284"/>
        <w:jc w:val="both"/>
      </w:pPr>
      <w: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m:oMath>
        <m:r>
          <w:rPr>
            <w:rFonts w:ascii="Cambria Math" w:hAnsi="Cambria Math"/>
          </w:rPr>
          <m:t>ρ</m:t>
        </m:r>
      </m:oMath>
      <w:r>
        <w:t xml:space="preserve"> gaps are 0.133 and 0.183.</w:t>
      </w:r>
    </w:p>
    <w:p>
      <w:pPr>
        <w:spacing w:after="100" w:line="264" w:lineRule="auto"/>
        <w:ind w:firstLine="284"/>
        <w:jc w:val="both"/>
      </w:pPr>
      <w:r>
        <w:t xml:space="preserve">The permutation null shows that this gap is not produced by the half-split procedure or by the class-mix difference alone. When flows are reassigned at random between two pseudo-contexts that keep the Non-VPN and VPN class mixes, </w:t>
      </w:r>
      <m:oMath>
        <m:r>
          <w:rPr>
            <w:rFonts w:ascii="Cambria Math" w:hAnsi="Cambria Math"/>
          </w:rPr>
          <m:t>Δ</m:t>
        </m:r>
      </m:oMath>
      <w:r>
        <w:t xml:space="preserve"> is -0.002 for XGBoost (range -0.018 to 0.009) and +0.028 for Random Forest (range -0.010 to 0.052).</w:t>
      </w:r>
    </w:p>
    <w:p>
      <w:pPr>
        <w:spacing w:after="100" w:line="264" w:lineRule="auto"/>
        <w:ind w:firstLine="284"/>
        <w:jc w:val="both"/>
      </w:pPr>
      <w:r>
        <w:t xml:space="preserve">Cluster grouping changes the picture. Keeping clusters of about ten similar flows in one half lowers within-context agreement (XGBoost 0.888 and 0.934, Random Forest 0.850 and 0.809) while cross-context agreement barely moves, and </w:t>
      </w:r>
      <m:oMath>
        <m:r>
          <w:rPr>
            <w:rFonts w:ascii="Cambria Math" w:hAnsi="Cambria Math"/>
          </w:rPr>
          <m:t>Δ</m:t>
        </m:r>
      </m:oMath>
      <w:r>
        <w:t xml:space="preserve"> shrinks to 0.079 and 0.100. Even this fine grouping removes 39% of the XGBoost gap and 47% of the Random Forest gap. With about 35 flows per cluster </w:t>
      </w:r>
      <m:oMath>
        <m:r>
          <w:rPr>
            <w:rFonts w:ascii="Cambria Math" w:hAnsi="Cambria Math"/>
          </w:rPr>
          <m:t>Δ</m:t>
        </m:r>
      </m:oMath>
      <w:r>
        <w:t xml:space="preserve"> is 0.014 and 0.042; the Random Forest gap is still positive in all 11 repeats (0.015 to 0.071), and the RBO gaps are 0.063 and 0.084. With about 140 flows per cluster the mean Spearman gap is -0.015 and +0.002, but this is weak evidence of no gap: the half-models reach only 0.53–0.61 macro F1, and the Random Forest gap varies widely (SD 0.111, range -0.183 to 0.226).</w:t>
      </w:r>
    </w:p>
    <w:p>
      <w:pPr>
        <w:spacing w:after="100" w:line="264" w:lineRule="auto"/>
        <w:ind w:firstLine="284"/>
        <w:jc w:val="both"/>
      </w:pPr>
      <w:r>
        <w:t xml:space="preserve">The calibrated grouping, which uses about as many clusters per class as there are capture files, gives a gap of +0.016 for XGBoost (SD 0.039) and +0.018 for Random Forest (SD 0.084), with RBO gaps of +0.018 and +0.029. It shares the weaknesses of the coarse setting. Because a VPN class is split into only a few large clusters, the VPN half-models disagree strongly with each other (within-VPN </w:t>
      </w:r>
      <m:oMath>
        <m:r>
          <w:rPr>
            <w:rFonts w:ascii="Cambria Math" w:hAnsi="Cambria Math"/>
          </w:rPr>
          <m:t>ρ</m:t>
        </m:r>
      </m:oMath>
      <w:r>
        <w:t xml:space="preserve"> 0.751 for XGBoost and 0.296 for Random Forest), and half-model macro F1 is 0.53–0.68.</w:t>
      </w:r>
    </w:p>
    <w:p>
      <w:pPr>
        <w:spacing w:after="100" w:line="264" w:lineRule="auto"/>
        <w:ind w:firstLine="284"/>
        <w:jc w:val="both"/>
      </w:pPr>
      <w:r>
        <w:t xml:space="preserve">Blocks of consecutive rows in the original files give a different picture (Section IV-D). They lower within-context agreement much less than clusters do, and the half-models stay accurate (macro F1 0.73–0.90). With blocks of about 10, 35 and 140 training flows, </w:t>
      </w:r>
      <m:oMath>
        <m:r>
          <w:rPr>
            <w:rFonts w:ascii="Cambria Math" w:hAnsi="Cambria Math"/>
          </w:rPr>
          <m:t>Δ</m:t>
        </m:r>
      </m:oMath>
      <w:r>
        <w:t xml:space="preserve"> is 0.113, 0.111 and 0.079 for XGBoost and 0.168, 0.159 and 0.127 for Random Forest. With as many blocks per class as capture files it is 0.074 (range 0.058 to 0.104) and 0.153 (0.105 to 0.193), so grouping by row order removes 43% of the XGBoost gap and 18% of the Random Forest gap at that setting. The strictest split, which trains one half on the first and the other on the second half of each class, gives 0.033 (0.000 to 0.082) and 0.093 (0.045 to 0.143), with RBO gaps of +0.091 and +0.046. Under every row-order setting the gap is at or above zero in all 11 repeats for both models.</w:t>
      </w:r>
    </w:p>
    <w:p>
      <w:pPr>
        <w:spacing w:after="100" w:line="264" w:lineRule="auto"/>
        <w:ind w:firstLine="284"/>
        <w:jc w:val="both"/>
      </w:pPr>
      <w:r>
        <w:t xml:space="preserve">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suggests that they separate regions of feature space as well as captures. Blocks of consecutive rows separate flows by their position in the files, not by their features, and leave a gap at or above zero in every repeat, even when only one boundary per class can cut through a capture. Neither proxy is a capture split. Clusters may overcorrect, and blocks may undercorrect wherever a capture crosses a block boundary. Read as rough bounds, they place the excess that remains once related flows are kept together between about zero and 0.07 for XGBoost and between about zero and 0.15 for Random Forest, with 0.03 and 0.09 under the strictest row-order split. Part of the random-split gap therefore reflects variation between groups of related flows, and part of it persists under grouping by capture order. In every design the outer 80/20 partition is random, and because the two contexts are different sets of captures, the remaining differences cannot be attributed to tunnelling.</w:t>
      </w:r>
    </w:p>
    <w:p>
      <w:pPr>
        <w:keepNext/>
        <w:spacing w:before="200" w:line="240" w:lineRule="auto"/>
        <w:jc w:val="center"/>
      </w:pPr>
      <w:r>
        <w:rPr>
          <w:sz w:val="20"/>
          <w:szCs w:val="20"/>
        </w:rPr>
        <w:t>TABLE VII</w:t>
      </w:r>
    </w:p>
    <w:p>
      <w:pPr>
        <w:keepNext/>
        <w:spacing w:after="80" w:line="240" w:lineRule="auto"/>
        <w:jc w:val="center"/>
      </w:pPr>
      <w:r>
        <w:rPr>
          <w:sz w:val="20"/>
          <w:szCs w:val="20"/>
        </w:rPr>
        <w:t xml:space="preserve">Within- and cross-context Spearman agreement under the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200"/>
        <w:gridCol w:w="700"/>
        <w:gridCol w:w="700"/>
        <w:gridCol w:w="700"/>
        <w:gridCol w:w="1450"/>
        <w:gridCol w:w="800"/>
        <w:gridCol w:w="800"/>
        <w:gridCol w:w="776"/>
      </w:tblGrid>
      <w:tr>
        <w:trPr>
          <w:cantSplit/>
          <w:tblHeader/>
          <w:jc w:val="center"/>
        </w:trPr>
        <w:tc>
          <w:tcPr>
            <w:tcW w:w="1900" w:type="dxa"/>
            <w:tcBorders>
              <w:top w:val="single" w:sz="6" w:space="0" w:color="000000"/>
              <w:bottom w:val="single" w:sz="6" w:space="0" w:color="000000"/>
            </w:tcBorders>
            <w:vAlign w:val="center"/>
          </w:tcPr>
          <w:p>
            <w:pPr>
              <w:spacing w:after="0" w:line="228" w:lineRule="auto"/>
            </w:pPr>
            <w:r>
              <w:rPr>
                <w:b/>
                <w:bCs/>
                <w:sz w:val="17"/>
                <w:szCs w:val="17"/>
              </w:rPr>
              <w:t xml:space="preserve">Model / design</w:t>
            </w:r>
          </w:p>
        </w:tc>
        <w:tc>
          <w:tcPr>
            <w:tcW w:w="1200" w:type="dxa"/>
            <w:tcBorders>
              <w:top w:val="single" w:sz="6" w:space="0" w:color="000000"/>
              <w:bottom w:val="single" w:sz="6" w:space="0" w:color="000000"/>
            </w:tcBorders>
            <w:vAlign w:val="center"/>
          </w:tcPr>
          <w:p>
            <w:pPr>
              <w:spacing w:after="0" w:line="228" w:lineRule="auto"/>
              <w:jc w:val="center"/>
            </w:pPr>
            <w:r>
              <w:rPr>
                <w:b/>
                <w:bCs/>
                <w:sz w:val="17"/>
                <w:szCs w:val="17"/>
              </w:rPr>
              <w:t xml:space="preserve">Half-model F1</w:t>
            </w:r>
          </w:p>
          <w:p>
            <w:pPr>
              <w:spacing w:after="0" w:line="228" w:lineRule="auto"/>
              <w:jc w:val="center"/>
            </w:pPr>
            <w:r>
              <w:rPr>
                <w:b/>
                <w:bCs/>
                <w:sz w:val="17"/>
                <w:szCs w:val="17"/>
              </w:rPr>
              <w:t xml:space="preserve">NV / VPN</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w:t>
            </w:r>
          </w:p>
          <w:p>
            <w:pPr>
              <w:spacing w:after="0" w:line="228" w:lineRule="auto"/>
              <w:jc w:val="center"/>
            </w:pPr>
            <w:r>
              <w:rPr>
                <w:b/>
                <w:bCs/>
                <w:sz w:val="17"/>
                <w:szCs w:val="17"/>
              </w:rPr>
              <w:t xml:space="preserve">NV</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w:t>
            </w:r>
          </w:p>
          <w:p>
            <w:pPr>
              <w:spacing w:after="0" w:line="228" w:lineRule="auto"/>
              <w:jc w:val="center"/>
            </w:pPr>
            <w:r>
              <w:rPr>
                <w:b/>
                <w:bCs/>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w:t>
            </w:r>
          </w:p>
        </w:tc>
        <w:tc>
          <w:tcPr>
            <w:tcW w:w="14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m:oMath>
              <m:r>
                <w:rPr>
                  <w:rFonts w:ascii="Cambria Math" w:hAnsi="Cambria Math"/>
                  <w:sz w:val="17"/>
                  <w:szCs w:val="17"/>
                </w:rPr>
                <m:t>ρ</m:t>
              </m:r>
            </m:oMath>
            <w:r>
              <w:rPr>
                <w:b/>
                <w:bCs/>
                <w:sz w:val="17"/>
                <w:szCs w:val="17"/>
              </w:rPr>
              <w:t xml:space="preserve"> mean (SD)</w:t>
            </w:r>
          </w:p>
          <w:p>
            <w:pPr>
              <w:spacing w:after="0" w:line="228" w:lineRule="auto"/>
              <w:jc w:val="center"/>
            </w:pPr>
            <w:r>
              <w:rPr>
                <w:b/>
                <w:bCs/>
                <w:sz w:val="17"/>
                <w:szCs w:val="17"/>
              </w:rPr>
              <w:t xml:space="preserve">range</w:t>
            </w:r>
          </w:p>
        </w:tc>
        <w:tc>
          <w:tcPr>
            <w:tcW w:w="8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RBO</w:t>
            </w:r>
          </w:p>
        </w:tc>
        <w:tc>
          <w:tcPr>
            <w:tcW w:w="8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Top-5</w:t>
            </w:r>
          </w:p>
        </w:tc>
        <w:tc>
          <w:tcPr>
            <w:tcW w:w="776"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m:oMath>
              <m:r>
                <w:rPr>
                  <w:rFonts w:ascii="Cambria Math" w:hAnsi="Cambria Math"/>
                  <w:sz w:val="17"/>
                  <w:szCs w:val="17"/>
                </w:rPr>
                <m:t>ρ</m:t>
              </m:r>
            </m:oMath>
            <w:r>
              <w:rPr>
                <w:b/>
                <w:bCs/>
                <w:sz w:val="17"/>
                <w:szCs w:val="17"/>
              </w:rPr>
              <w:t xml:space="preserve"> classes</w:t>
            </w:r>
          </w:p>
          <w:p>
            <w:pPr>
              <w:spacing w:after="0" w:line="228" w:lineRule="auto"/>
              <w:jc w:val="center"/>
            </w:pPr>
            <w:r>
              <w:rPr>
                <w:b/>
                <w:bCs/>
                <w:sz w:val="17"/>
                <w:szCs w:val="17"/>
              </w:rPr>
              <w:t xml:space="preserve">weighted</w:t>
            </w:r>
          </w:p>
        </w:tc>
      </w:tr>
      <w:tr>
        <w:trPr>
          <w:cantSplit/>
          <w:jc w:val="center"/>
        </w:trPr>
        <w:tc>
          <w:tcPr>
            <w:tcW w:w="9026" w:type="dxa"/>
            <w:gridSpan w:val="9"/>
            <w:tcBorders>
              <w:top w:val="single" w:sz="6" w:space="0" w:color="000000"/>
              <w:bottom w:val="single" w:sz="6" w:space="0" w:color="000000"/>
            </w:tcBorders>
            <w:vAlign w:val="center"/>
          </w:tcPr>
          <w:p>
            <w:pPr>
              <w:spacing w:after="0" w:line="228" w:lineRule="auto"/>
            </w:pPr>
            <w:r>
              <w:rPr>
                <w:b/>
                <w:bCs/>
                <w:i/>
                <w:iCs/>
                <w:sz w:val="17"/>
                <w:szCs w:val="17"/>
              </w:rPr>
              <w:t xml:space="preserve">XGBoost (11 repeats per design)</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Random halves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0.912 / 0.865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0.964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+0.129 (0.028)</w:t>
            </w:r>
          </w:p>
          <w:p>
            <w:pPr>
              <w:spacing w:after="0" w:line="228" w:lineRule="auto"/>
              <w:jc w:val="center"/>
            </w:pPr>
            <w:r>
              <w:rPr>
                <w:sz w:val="17"/>
                <w:szCs w:val="17"/>
              </w:rPr>
              <w:t xml:space="preserve">0.072 to 0.163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+1.14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+0.133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0.818 / 0.747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0.888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0.934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+0.079 (0.028)</w:t>
            </w:r>
          </w:p>
          <w:p>
            <w:pPr>
              <w:spacing w:after="0" w:line="228" w:lineRule="auto"/>
              <w:jc w:val="center"/>
            </w:pPr>
            <w:r>
              <w:rPr>
                <w:sz w:val="17"/>
                <w:szCs w:val="17"/>
              </w:rPr>
              <w:t xml:space="preserve">0.034 to 0.136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+0.111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+0.074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~35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0.709 / 0.649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0.877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+0.014 (0.017)</w:t>
            </w:r>
          </w:p>
          <w:p>
            <w:pPr>
              <w:spacing w:after="0" w:line="228" w:lineRule="auto"/>
              <w:jc w:val="center"/>
            </w:pPr>
            <w:r>
              <w:rPr>
                <w:sz w:val="17"/>
                <w:szCs w:val="17"/>
              </w:rPr>
              <w:t xml:space="preserve">-0.014 to 0.039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+0.063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-0.05</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+0.017</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~140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0.614 / 0.552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0.804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0.740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0.787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-0.015 (0.025)</w:t>
            </w:r>
          </w:p>
          <w:p>
            <w:pPr>
              <w:spacing w:after="0" w:line="228" w:lineRule="auto"/>
              <w:jc w:val="center"/>
            </w:pPr>
            <w:r>
              <w:rPr>
                <w:sz w:val="17"/>
                <w:szCs w:val="17"/>
              </w:rPr>
              <w:t xml:space="preserve">-0.048 to 0.026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-0.020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calibrated to captures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0.683 / 0.555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0.751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0.786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+0.016 (0.039)</w:t>
            </w:r>
          </w:p>
          <w:p>
            <w:pPr>
              <w:spacing w:after="0" w:line="228" w:lineRule="auto"/>
              <w:jc w:val="center"/>
            </w:pPr>
            <w:r>
              <w:rPr>
                <w:sz w:val="17"/>
                <w:szCs w:val="17"/>
              </w:rPr>
              <w:t xml:space="preserve">-0.053 to 0.073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+0.018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+0.013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~10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0.903 / 0.857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0.835</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+0.113 (0.026)</w:t>
            </w:r>
          </w:p>
          <w:p>
            <w:pPr>
              <w:spacing w:after="0" w:line="228" w:lineRule="auto"/>
              <w:jc w:val="center"/>
            </w:pPr>
            <w:r>
              <w:rPr>
                <w:sz w:val="17"/>
                <w:szCs w:val="17"/>
              </w:rPr>
              <w:t xml:space="preserve">0.073 to 0.148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+0.175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+1.14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+0.120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~35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0.878 / 0.844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0.834</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+0.111 (0.021)</w:t>
            </w:r>
          </w:p>
          <w:p>
            <w:pPr>
              <w:spacing w:after="0" w:line="228" w:lineRule="auto"/>
              <w:jc w:val="center"/>
            </w:pPr>
            <w:r>
              <w:rPr>
                <w:sz w:val="17"/>
                <w:szCs w:val="17"/>
              </w:rPr>
              <w:t xml:space="preserve">0.078 to 0.149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+0.119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+0.91</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+0.116</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~140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0.851 / 0.816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0.917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0.844</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+0.079 (0.016)</w:t>
            </w:r>
          </w:p>
          <w:p>
            <w:pPr>
              <w:spacing w:after="0" w:line="228" w:lineRule="auto"/>
              <w:jc w:val="center"/>
            </w:pPr>
            <w:r>
              <w:rPr>
                <w:sz w:val="17"/>
                <w:szCs w:val="17"/>
              </w:rPr>
              <w:t xml:space="preserve">0.040 to 0.101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+0.120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+0.66</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+0.085</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calibrated to captures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0.870 / 0.807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0.919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+0.074 (0.015)</w:t>
            </w:r>
          </w:p>
          <w:p>
            <w:pPr>
              <w:spacing w:after="0" w:line="228" w:lineRule="auto"/>
              <w:jc w:val="center"/>
            </w:pPr>
            <w:r>
              <w:rPr>
                <w:sz w:val="17"/>
                <w:szCs w:val="17"/>
              </w:rPr>
              <w:t xml:space="preserve">0.058 to 0.104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+0.093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+0.081</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first vs second half</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0.800 / 0.752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0.883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0.900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0.858</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+0.033 (0.024)</w:t>
            </w:r>
          </w:p>
          <w:p>
            <w:pPr>
              <w:spacing w:after="0" w:line="228" w:lineRule="auto"/>
              <w:jc w:val="center"/>
            </w:pPr>
            <w:r>
              <w:rPr>
                <w:sz w:val="17"/>
                <w:szCs w:val="17"/>
              </w:rPr>
              <w:t xml:space="preserve">0.000 to 0.082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+0.091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+0.18</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+0.034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Permutation null</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0.843 / 0.853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0.938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-0.002 (0.009)</w:t>
            </w:r>
          </w:p>
          <w:p>
            <w:pPr>
              <w:spacing w:after="0" w:line="228" w:lineRule="auto"/>
              <w:jc w:val="center"/>
            </w:pPr>
            <w:r>
              <w:rPr>
                <w:sz w:val="17"/>
                <w:szCs w:val="17"/>
              </w:rPr>
              <w:t xml:space="preserve">-0.018 to 0.009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-0.11</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-0.002</w:t>
            </w:r>
          </w:p>
        </w:tc>
      </w:tr>
      <w:tr>
        <w:trPr>
          <w:cantSplit/>
          <w:jc w:val="center"/>
        </w:trPr>
        <w:tc>
          <w:tcPr>
            <w:tcW w:w="9026" w:type="dxa"/>
            <w:gridSpan w:val="9"/>
            <w:tcBorders>
              <w:top w:val="single" w:sz="6" w:space="0" w:color="000000"/>
              <w:bottom w:val="single" w:sz="6" w:space="0" w:color="000000"/>
            </w:tcBorders>
            <w:vAlign w:val="center"/>
          </w:tcPr>
          <w:p>
            <w:pPr>
              <w:spacing w:after="0" w:line="228" w:lineRule="auto"/>
            </w:pPr>
            <w:r>
              <w:rPr>
                <w:b/>
                <w:bCs/>
                <w:i/>
                <w:iCs/>
                <w:sz w:val="17"/>
                <w:szCs w:val="17"/>
              </w:rPr>
              <w:t xml:space="preserve">Random Forest (11 repeats per design)</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Random halves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0.887 / 0.842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0.976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+0.186 (0.036)</w:t>
            </w:r>
          </w:p>
          <w:p>
            <w:pPr>
              <w:spacing w:after="0" w:line="228" w:lineRule="auto"/>
              <w:jc w:val="center"/>
            </w:pPr>
            <w:r>
              <w:rPr>
                <w:sz w:val="17"/>
                <w:szCs w:val="17"/>
              </w:rPr>
              <w:t xml:space="preserve">0.143 to 0.252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+0.302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+1.64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+0.183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0.774 / 0.715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0.730</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+0.100 (0.018)</w:t>
            </w:r>
          </w:p>
          <w:p>
            <w:pPr>
              <w:spacing w:after="0" w:line="228" w:lineRule="auto"/>
              <w:jc w:val="center"/>
            </w:pPr>
            <w:r>
              <w:rPr>
                <w:sz w:val="17"/>
                <w:szCs w:val="17"/>
              </w:rPr>
              <w:t xml:space="preserve">0.078 to 0.128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+0.171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+0.84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+0.079</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~35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0.661 / 0.623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0.723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0.682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+0.042 (0.017)</w:t>
            </w:r>
          </w:p>
          <w:p>
            <w:pPr>
              <w:spacing w:after="0" w:line="228" w:lineRule="auto"/>
              <w:jc w:val="center"/>
            </w:pPr>
            <w:r>
              <w:rPr>
                <w:sz w:val="17"/>
                <w:szCs w:val="17"/>
              </w:rPr>
              <w:t xml:space="preserve">0.015 to 0.071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+0.084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+0.59</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+0.030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~140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0.589 / 0.531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0.612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0.431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0.519</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+0.002 (0.111)</w:t>
            </w:r>
          </w:p>
          <w:p>
            <w:pPr>
              <w:spacing w:after="0" w:line="228" w:lineRule="auto"/>
              <w:jc w:val="center"/>
            </w:pPr>
            <w:r>
              <w:rPr>
                <w:sz w:val="17"/>
                <w:szCs w:val="17"/>
              </w:rPr>
              <w:t xml:space="preserve">-0.183 to 0.226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-0.054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-0.023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calibrated to captures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0.656 / 0.526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0.717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0.296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0.489</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+0.018 (0.084)</w:t>
            </w:r>
          </w:p>
          <w:p>
            <w:pPr>
              <w:spacing w:after="0" w:line="228" w:lineRule="auto"/>
              <w:jc w:val="center"/>
            </w:pPr>
            <w:r>
              <w:rPr>
                <w:sz w:val="17"/>
                <w:szCs w:val="17"/>
              </w:rPr>
              <w:t xml:space="preserve">-0.097 to 0.238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+0.36</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~10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0.879 / 0.836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0.773</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+0.168 (0.029)</w:t>
            </w:r>
          </w:p>
          <w:p>
            <w:pPr>
              <w:spacing w:after="0" w:line="228" w:lineRule="auto"/>
              <w:jc w:val="center"/>
            </w:pPr>
            <w:r>
              <w:rPr>
                <w:sz w:val="17"/>
                <w:szCs w:val="17"/>
              </w:rPr>
              <w:t xml:space="preserve">0.115 to 0.209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+0.295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+1.64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+0.164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~35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0.852 / 0.825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0.902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+0.159 (0.022)</w:t>
            </w:r>
          </w:p>
          <w:p>
            <w:pPr>
              <w:spacing w:after="0" w:line="228" w:lineRule="auto"/>
              <w:jc w:val="center"/>
            </w:pPr>
            <w:r>
              <w:rPr>
                <w:sz w:val="17"/>
                <w:szCs w:val="17"/>
              </w:rPr>
              <w:t xml:space="preserve">0.121 to 0.202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+0.255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+1.57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+0.143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~140 per block</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0.819 / 0.789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0.919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0.758</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+0.127 (0.026)</w:t>
            </w:r>
          </w:p>
          <w:p>
            <w:pPr>
              <w:spacing w:after="0" w:line="228" w:lineRule="auto"/>
              <w:jc w:val="center"/>
            </w:pPr>
            <w:r>
              <w:rPr>
                <w:sz w:val="17"/>
                <w:szCs w:val="17"/>
              </w:rPr>
              <w:t xml:space="preserve">0.091 to 0.175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+0.217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+1.57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+0.098</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calibrated to captures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0.848 / 0.785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0.884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0.906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0.743</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+0.153 (0.030)</w:t>
            </w:r>
          </w:p>
          <w:p>
            <w:pPr>
              <w:spacing w:after="0" w:line="228" w:lineRule="auto"/>
              <w:jc w:val="center"/>
            </w:pPr>
            <w:r>
              <w:rPr>
                <w:sz w:val="17"/>
                <w:szCs w:val="17"/>
              </w:rPr>
              <w:t xml:space="preserve">0.105 to 0.193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+0.226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+1.57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+0.130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Row blocks, first vs second half</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0.779 / 0.732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0.803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0.868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0.742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+0.093 (0.027)</w:t>
            </w:r>
          </w:p>
          <w:p>
            <w:pPr>
              <w:spacing w:after="0" w:line="228" w:lineRule="auto"/>
              <w:jc w:val="center"/>
            </w:pPr>
            <w:r>
              <w:rPr>
                <w:sz w:val="17"/>
                <w:szCs w:val="17"/>
              </w:rPr>
              <w:t xml:space="preserve">0.045 to 0.143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+0.046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+0.065</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Permutation null</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0.816 / 0.826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0.923</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+0.028 (0.019)</w:t>
            </w:r>
          </w:p>
          <w:p>
            <w:pPr>
              <w:spacing w:after="0" w:line="228" w:lineRule="auto"/>
              <w:jc w:val="center"/>
            </w:pPr>
            <w:r>
              <w:rPr>
                <w:sz w:val="17"/>
                <w:szCs w:val="17"/>
              </w:rPr>
              <w:t xml:space="preserve">-0.010 to 0.052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+0.062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+0.032</w:t>
            </w:r>
          </w:p>
        </w:tc>
      </w:tr>
    </w:tbl>
    <w:p>
      <w:pPr>
        <w:keepLines/>
        <w:spacing w:before="40" w:after="160" w:line="230" w:lineRule="auto"/>
        <w:jc w:val="both"/>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m:oMath>
        <m:r>
          <w:rPr>
            <w:rFonts w:ascii="Cambria Math" w:hAnsi="Cambria Math"/>
            <w:sz w:val="17"/>
            <w:szCs w:val="17"/>
          </w:rPr>
          <m:t>Δ</m:t>
        </m:r>
      </m:oMath>
      <w:r>
        <w:rPr>
          <w:sz w:val="17"/>
          <w:szCs w:val="17"/>
        </w:rPr>
        <w:t xml:space="preserve"> is the mean within value minus the cross value, averaged over repeats; SD and range describe its spread over repeats and are not standard errors. Half-model F1 is macro F1 on the repeat's test partition. Grouped designs keep whole k-means clusters (fitted within class on log(x + 2)-standardised features) in one half of the training data; the calibrated design sets the number of clusters per class to its number of capture files (Section IV-D). Row-block designs keep whole blocks of consecutive rows of the original ARFF files (within class) in one half. The null pools flows within class across contexts and reassigns them at random to pseudo-contexts with the original class counts. Random Forest half-models are explained on 800 test records per repeat.</w:t>
      </w:r>
    </w:p>
    <w:p xmlns:a="http://schemas.openxmlformats.org/drawingml/2006/main" xmlns:pic="http://schemas.openxmlformats.org/drawingml/2006/picture">
      <w:pPr>
        <w:keepNext/>
        <w:spacing w:before="160" w:after="60"/>
        <w:jc w:val="center"/>
      </w:pPr>
      <w:r>
        <w:rPr>
          <w:noProof/>
        </w:rPr>
        <w:drawing>
          <wp:inline distT="0" distB="0" distL="0" distR="0">
            <wp:extent cx="5715000" cy="4149943"/>
            <wp:effectExtent l="0" t="0" r="0" b="0"/>
            <wp:docPr id="907" name="Figure 7"/>
            <wp:cNvGraphicFramePr>
              <a:graphicFrameLocks noChangeAspect="1"/>
            </wp:cNvGraphicFramePr>
            <a:graphic>
              <a:graphicData uri="http://schemas.openxmlformats.org/drawingml/2006/picture">
                <pic:pic>
                  <pic:nvPicPr>
                    <pic:cNvPr id="907" name="Figure 7"/>
                    <pic:cNvPicPr>
                      <a:picLocks noChangeAspect="1" noChangeArrowheads="1"/>
                    </pic:cNvPicPr>
                  </pic:nvPicPr>
                  <pic:blipFill>
                    <a:blip r:embed="rIdRev2Fig7"/>
                    <a:stretch>
                      <a:fillRect/>
                    </a:stretch>
                  </pic:blipFill>
                  <pic:spPr bwMode="auto">
                    <a:xfrm>
                      <a:off x="0" y="0"/>
                      <a:ext cx="5715000" cy="4149943"/>
                    </a:xfrm>
                    <a:prstGeom prst="rect">
                      <a:avLst/>
                    </a:prstGeom>
                    <a:noFill/>
                  </pic:spPr>
                </pic:pic>
              </a:graphicData>
            </a:graphic>
          </wp:inline>
        </w:drawing>
      </w:r>
    </w:p>
    <w:p>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m:oMath>
        <m:r>
          <w:rPr>
            <w:rFonts w:ascii="Cambria Math" w:hAnsi="Cambria Math"/>
            <w:sz w:val="20"/>
            <w:szCs w:val="20"/>
          </w:rPr>
          <m:t>Δ</m:t>
        </m:r>
      </m:oMath>
      <w:r>
        <w:rPr>
          <w:sz w:val="20"/>
          <w:szCs w:val="20"/>
        </w:rPr>
        <w:t xml:space="preserve"> under each design is given below its label. Values are dependent across repeats and are shown descriptively.</w:t>
      </w:r>
    </w:p>
    <w:p>
      <w:pPr>
        <w:pStyle w:val="Heading2"/>
        <w:keepNext/>
        <w:spacing w:before="180" w:after="80"/>
      </w:pPr>
      <w:r>
        <w:t xml:space="preserve">D. Class Composition</w:t>
      </w:r>
    </w:p>
    <w:p>
      <w:pPr>
        <w:spacing w:after="100" w:line="264" w:lineRule="auto"/>
        <w:ind w:firstLine="284"/>
        <w:jc w:val="both"/>
      </w:pPr>
      <w:r>
        <w:t xml:space="preserve">Table VIII reports the class-mix swap. Resampling a context to the other context's class mix changes its own ranking only a little: a natural-mix and a swapped-mix model of the same context agree at </w:t>
      </w:r>
      <m:oMath>
        <m:r>
          <w:rPr>
            <w:rFonts w:ascii="Cambria Math" w:hAnsi="Cambria Math"/>
          </w:rPr>
          <m:t>ρ</m:t>
        </m:r>
      </m:oMath>
      <w:r>
        <w:t xml:space="preserve"> = 0.924–0.977 (last column), and each stays close to its context's primary ranking (</w:t>
      </w:r>
      <m:oMath>
        <m:r>
          <w:rPr>
            <w:rFonts w:ascii="Cambria Math" w:hAnsi="Cambria Math"/>
          </w:rPr>
          <m:t>ρ</m:t>
        </m:r>
      </m:oMath>
      <w: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spacing w:after="100" w:line="264" w:lineRule="auto"/>
        <w:ind w:firstLine="284"/>
        <w:jc w:val="both"/>
      </w:pPr>
      <w:r>
        <w:t xml:space="preserve">Class-matched training gives the same answer once it is compared with a reference of its own size. With 1,330 training flows per model, two disjoint natural-mix draws of one context agree at </w:t>
      </w:r>
      <m:oMath>
        <m:r>
          <w:rPr>
            <w:rFonts w:ascii="Cambria Math" w:hAnsi="Cambria Math"/>
          </w:rPr>
          <m:t>ρ</m:t>
        </m:r>
      </m:oMath>
      <w:r>
        <w:t xml:space="preserve"> = 0.946 (Non-VPN) and 0.945 (VPN); natural-mix draws of different contexts agree at 0.853 and class-matched draws at 0.857. The higher cross-context </w:t>
      </w:r>
      <m:oMath>
        <m:r>
          <w:rPr>
            <w:rFonts w:ascii="Cambria Math" w:hAnsi="Cambria Math"/>
          </w:rPr>
          <m:t>ρ</m:t>
        </m:r>
      </m:oMath>
      <w:r>
        <w:t xml:space="preserve"> of small matched training sets (about 0.85, against 0.77–0.82 for full-size models) is therefore a property of small training sets, which agree more with everything, and not a sign that class mix explains the gap: at this size the within-minus-cross gap is still 0.09 with natural mixes. Two matched draws of Non-VPN share all 190 MAIL flows, so their agreement (0.971) is not used as a reference.</w:t>
      </w:r>
    </w:p>
    <w:p>
      <w:pPr>
        <w:keepNext/>
        <w:spacing w:before="200" w:line="240" w:lineRule="auto"/>
        <w:jc w:val="center"/>
      </w:pPr>
      <w:r>
        <w:rPr>
          <w:sz w:val="20"/>
          <w:szCs w:val="20"/>
        </w:rPr>
        <w:t>TABLE VIII</w:t>
      </w:r>
    </w:p>
    <w:p>
      <w:pPr>
        <w:keepNext/>
        <w:spacing w:after="80" w:line="240" w:lineRule="auto"/>
        <w:jc w:val="center"/>
      </w:pPr>
      <w:r>
        <w:rPr>
          <w:sz w:val="20"/>
          <w:szCs w:val="20"/>
        </w:rPr>
        <w:t xml:space="preserve">Class-mix swap: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750"/>
        <w:gridCol w:w="1200"/>
        <w:gridCol w:w="1150"/>
        <w:gridCol w:w="1250"/>
        <w:gridCol w:w="1250"/>
        <w:gridCol w:w="1250"/>
        <w:gridCol w:w="1176"/>
      </w:tblGrid>
      <w:tr>
        <w:trPr>
          <w:cantSplit/>
          <w:tblHeader/>
          <w:jc w:val="center"/>
        </w:trPr>
        <w:tc>
          <w:tcPr>
            <w:tcW w:w="1750" w:type="dxa"/>
            <w:tcBorders>
              <w:top w:val="single" w:sz="6" w:space="0" w:color="000000"/>
              <w:bottom w:val="single" w:sz="6" w:space="0" w:color="000000"/>
            </w:tcBorders>
            <w:vAlign w:val="center"/>
          </w:tcPr>
          <w:p>
            <w:pPr>
              <w:spacing w:after="0" w:line="228" w:lineRule="auto"/>
            </w:pPr>
            <w:r>
              <w:rPr>
                <w:b/>
                <w:bCs/>
                <w:sz w:val="17"/>
                <w:szCs w:val="17"/>
              </w:rPr>
              <w:t xml:space="preserve">Model / context</w:t>
            </w:r>
          </w:p>
        </w:tc>
        <w:tc>
          <w:tcPr>
            <w:tcW w:w="1200" w:type="dxa"/>
            <w:tcBorders>
              <w:top w:val="single" w:sz="6" w:space="0" w:color="000000"/>
              <w:bottom w:val="single" w:sz="6" w:space="0" w:color="000000"/>
            </w:tcBorders>
            <w:vAlign w:val="center"/>
          </w:tcPr>
          <w:p>
            <w:pPr>
              <w:spacing w:after="0" w:line="228" w:lineRule="auto"/>
              <w:jc w:val="center"/>
            </w:pPr>
            <w:r>
              <w:rPr>
                <w:b/>
                <w:bCs/>
                <w:sz w:val="17"/>
                <w:szCs w:val="17"/>
              </w:rPr>
              <w:t xml:space="preserve">Training mix</w:t>
            </w:r>
          </w:p>
        </w:tc>
        <w:tc>
          <w:tcPr>
            <w:tcW w:w="115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tc>
        <w:tc>
          <w:tcPr>
            <w:tcW w:w="12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ρ</m:t>
              </m:r>
            </m:oMath>
            <w:r>
              <w:rPr>
                <w:b/>
                <w:bCs/>
                <w:sz w:val="17"/>
                <w:szCs w:val="17"/>
              </w:rPr>
              <w:t xml:space="preserve"> with own</w:t>
            </w:r>
          </w:p>
          <w:p>
            <w:pPr>
              <w:spacing w:after="0" w:line="228" w:lineRule="auto"/>
              <w:jc w:val="center"/>
            </w:pPr>
            <w:r>
              <w:rPr>
                <w:b/>
                <w:bCs/>
                <w:sz w:val="17"/>
                <w:szCs w:val="17"/>
              </w:rPr>
              <w:t xml:space="preserve">primary ranking</w:t>
            </w:r>
          </w:p>
        </w:tc>
        <w:tc>
          <w:tcPr>
            <w:tcW w:w="12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ρ</m:t>
              </m:r>
            </m:oMath>
            <w:r>
              <w:rPr>
                <w:b/>
                <w:bCs/>
                <w:sz w:val="17"/>
                <w:szCs w:val="17"/>
              </w:rPr>
              <w:t xml:space="preserve"> with other</w:t>
            </w:r>
          </w:p>
          <w:p>
            <w:pPr>
              <w:spacing w:after="0" w:line="228" w:lineRule="auto"/>
              <w:jc w:val="center"/>
            </w:pPr>
            <w:r>
              <w:rPr>
                <w:b/>
                <w:bCs/>
                <w:sz w:val="17"/>
                <w:szCs w:val="17"/>
              </w:rPr>
              <w:t xml:space="preserve">context's ranking</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RBO with other</w:t>
            </w:r>
          </w:p>
          <w:p>
            <w:pPr>
              <w:spacing w:after="0" w:line="228" w:lineRule="auto"/>
              <w:jc w:val="center"/>
            </w:pPr>
            <w:r>
              <w:rPr>
                <w:b/>
                <w:bCs/>
                <w:sz w:val="17"/>
                <w:szCs w:val="17"/>
              </w:rPr>
              <w:t xml:space="preserve">context's ranking</w:t>
            </w:r>
          </w:p>
        </w:tc>
        <w:tc>
          <w:tcPr>
            <w:tcW w:w="1176"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ρ</m:t>
              </m:r>
            </m:oMath>
            <w:r>
              <w:rPr>
                <w:b/>
                <w:bCs/>
                <w:sz w:val="17"/>
                <w:szCs w:val="17"/>
              </w:rPr>
              <w:t xml:space="preserve"> natural vs</w:t>
            </w:r>
          </w:p>
          <w:p>
            <w:pPr>
              <w:spacing w:after="0" w:line="228" w:lineRule="auto"/>
              <w:jc w:val="center"/>
            </w:pPr>
            <w:r>
              <w:rPr>
                <w:b/>
                <w:bCs/>
                <w:sz w:val="17"/>
                <w:szCs w:val="17"/>
              </w:rPr>
              <w:t xml:space="preserve">swapped</w:t>
            </w: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XGB / Non-VPN (5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0.922 (0.008)</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0.977 (0.011)</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0.823 (0.012)</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0.681 (0.012)</w:t>
            </w:r>
          </w:p>
        </w:tc>
        <w:tc>
          <w:tcPr>
            <w:tcW w:w="1176" w:type="dxa"/>
            <w:tcBorders>
              <w:top w:val="single" w:sz="6" w:space="0" w:color="000000"/>
              <w:bottom w:val="single" w:sz="6" w:space="0" w:color="000000"/>
            </w:tcBorders>
            <w:vAlign w:val="center"/>
          </w:tcPr>
          <w:p>
            <w:pPr>
              <w:spacing w:after="0" w:line="228" w:lineRule="auto"/>
              <w:jc w:val="center"/>
            </w:pP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XGB / Non-VPN (5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0.925 (0.005)</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0.971 (0.015)</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0.831 (0.017)</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0.700 (0.032)</w:t>
            </w:r>
          </w:p>
        </w:tc>
        <w:tc>
          <w:tcPr>
            <w:tcW w:w="1176" w:type="dxa"/>
            <w:tcBorders>
              <w:top w:val="single" w:sz="6" w:space="0" w:color="000000"/>
              <w:bottom w:val="single" w:sz="6" w:space="0" w:color="000000"/>
            </w:tcBorders>
            <w:vAlign w:val="center"/>
          </w:tcPr>
          <w:p>
            <w:pPr>
              <w:spacing w:after="0" w:line="228" w:lineRule="auto"/>
              <w:jc w:val="center"/>
            </w:pPr>
            <w:r>
              <w:rPr>
                <w:sz w:val="17"/>
                <w:szCs w:val="17"/>
              </w:rPr>
              <w:t xml:space="preserve">0.977 (0.004)</w:t>
            </w: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XGB / VPN (5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0.859 (0.003)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0.986 (0.007)</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0.781 (0.024)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0.775 (0.038)</w:t>
            </w:r>
          </w:p>
        </w:tc>
        <w:tc>
          <w:tcPr>
            <w:tcW w:w="1176" w:type="dxa"/>
            <w:tcBorders>
              <w:top w:val="single" w:sz="6" w:space="0" w:color="000000"/>
              <w:bottom w:val="single" w:sz="6" w:space="0" w:color="000000"/>
            </w:tcBorders>
            <w:vAlign w:val="center"/>
          </w:tcPr>
          <w:p>
            <w:pPr>
              <w:spacing w:after="0" w:line="228" w:lineRule="auto"/>
              <w:jc w:val="center"/>
            </w:pP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XGB / VPN (5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0.841 (0.006)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0.980 (0.008)</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0.797 (0.015)</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0.787 (0.031)</w:t>
            </w:r>
          </w:p>
        </w:tc>
        <w:tc>
          <w:tcPr>
            <w:tcW w:w="1176" w:type="dxa"/>
            <w:tcBorders>
              <w:top w:val="single" w:sz="6" w:space="0" w:color="000000"/>
              <w:bottom w:val="single" w:sz="6" w:space="0" w:color="000000"/>
            </w:tcBorders>
            <w:vAlign w:val="center"/>
          </w:tcPr>
          <w:p>
            <w:pPr>
              <w:spacing w:after="0" w:line="228" w:lineRule="auto"/>
              <w:jc w:val="center"/>
            </w:pPr>
            <w:r>
              <w:rPr>
                <w:sz w:val="17"/>
                <w:szCs w:val="17"/>
              </w:rPr>
              <w:t xml:space="preserve">0.972 (0.011)</w:t>
            </w: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RF / Non-VPN (3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0.895 (0.007)</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0.983 (0.009)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0.799 (0.017)</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0.576 (0.019)</w:t>
            </w:r>
          </w:p>
        </w:tc>
        <w:tc>
          <w:tcPr>
            <w:tcW w:w="1176" w:type="dxa"/>
            <w:tcBorders>
              <w:top w:val="single" w:sz="6" w:space="0" w:color="000000"/>
              <w:bottom w:val="single" w:sz="6" w:space="0" w:color="000000"/>
            </w:tcBorders>
            <w:vAlign w:val="center"/>
          </w:tcPr>
          <w:p>
            <w:pPr>
              <w:spacing w:after="0" w:line="228" w:lineRule="auto"/>
              <w:jc w:val="center"/>
            </w:pP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RF / Non-VPN (3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0.898 (0.003)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0.936 (0.009)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0.765 (0.009)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0.553 (0.023)</w:t>
            </w:r>
          </w:p>
        </w:tc>
        <w:tc>
          <w:tcPr>
            <w:tcW w:w="1176" w:type="dxa"/>
            <w:tcBorders>
              <w:top w:val="single" w:sz="6" w:space="0" w:color="000000"/>
              <w:bottom w:val="single" w:sz="6" w:space="0" w:color="000000"/>
            </w:tcBorders>
            <w:vAlign w:val="center"/>
          </w:tcPr>
          <w:p>
            <w:pPr>
              <w:spacing w:after="0" w:line="228" w:lineRule="auto"/>
              <w:jc w:val="center"/>
            </w:pPr>
            <w:r>
              <w:rPr>
                <w:sz w:val="17"/>
                <w:szCs w:val="17"/>
              </w:rPr>
              <w:t xml:space="preserve">0.924 (0.009)</w:t>
            </w: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RF / VPN (3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0.841 (0.006)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0.979 (0.009)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0.837 (0.022)</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0.581 (0.002)</w:t>
            </w:r>
          </w:p>
        </w:tc>
        <w:tc>
          <w:tcPr>
            <w:tcW w:w="1176" w:type="dxa"/>
            <w:tcBorders>
              <w:top w:val="single" w:sz="6" w:space="0" w:color="000000"/>
              <w:bottom w:val="single" w:sz="6" w:space="0" w:color="000000"/>
            </w:tcBorders>
            <w:vAlign w:val="center"/>
          </w:tcPr>
          <w:p>
            <w:pPr>
              <w:spacing w:after="0" w:line="228" w:lineRule="auto"/>
              <w:jc w:val="center"/>
            </w:pPr>
          </w:p>
        </w:tc>
      </w:tr>
      <w:tr>
        <w:trPr>
          <w:cantSplit/>
          <w:jc w:val="center"/>
        </w:trPr>
        <w:tc>
          <w:tcPr>
            <w:tcW w:w="1750" w:type="dxa"/>
            <w:tcBorders>
              <w:top w:val="single" w:sz="6" w:space="0" w:color="000000"/>
              <w:bottom w:val="single" w:sz="6" w:space="0" w:color="000000"/>
            </w:tcBorders>
            <w:vAlign w:val="center"/>
          </w:tcPr>
          <w:p>
            <w:pPr>
              <w:spacing w:after="0" w:line="228" w:lineRule="auto"/>
            </w:pPr>
            <w:r>
              <w:rPr>
                <w:sz w:val="17"/>
                <w:szCs w:val="17"/>
              </w:rPr>
              <w:t xml:space="preserve">RF / VPN (3 draws)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0.808 (0.006)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0.966 (0.008)</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0.830 (0.017)</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0.610 (0.040)</w:t>
            </w:r>
          </w:p>
        </w:tc>
        <w:tc>
          <w:tcPr>
            <w:tcW w:w="1176" w:type="dxa"/>
            <w:tcBorders>
              <w:top w:val="single" w:sz="6" w:space="0" w:color="000000"/>
              <w:bottom w:val="single" w:sz="6" w:space="0" w:color="000000"/>
            </w:tcBorders>
            <w:vAlign w:val="center"/>
          </w:tcPr>
          <w:p>
            <w:pPr>
              <w:spacing w:after="0" w:line="228" w:lineRule="auto"/>
              <w:jc w:val="center"/>
            </w:pPr>
            <w:r>
              <w:rPr>
                <w:sz w:val="17"/>
                <w:szCs w:val="17"/>
              </w:rPr>
              <w:t xml:space="preserve">0.972 (0.022)</w:t>
            </w:r>
          </w:p>
        </w:tc>
      </w:tr>
    </w:tbl>
    <w:p>
      <w:pPr>
        <w:keepLines/>
        <w:spacing w:before="40" w:after="160" w:line="230" w:lineRule="auto"/>
        <w:jc w:val="both"/>
      </w:pPr>
      <w:r>
        <w:rPr>
          <w:i/>
          <w:iCs/>
          <w:sz w:val="17"/>
          <w:szCs w:val="17"/>
        </w:rPr>
        <w:t xml:space="preserve">Note. </w:t>
      </w:r>
      <w:r>
        <w:rPr>
          <w:sz w:val="17"/>
          <w:szCs w:val="17"/>
        </w:rPr>
        <w:t xml:space="preserve">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spacing w:before="180" w:after="80"/>
      </w:pPr>
      <w:r>
        <w:t xml:space="preserve">E. The Minimum Inter-Arrival-Time Shifts</w:t>
      </w:r>
    </w:p>
    <w:p>
      <w:pPr>
        <w:spacing w:after="100" w:line="264" w:lineRule="auto"/>
        <w:ind w:firstLine="284"/>
        <w:jc w:val="both"/>
      </w:pPr>
      <w:r>
        <w:t xml:space="preserve">The features that move most between contexts are the three minimum IATs. Because they are moderately correlated, a SHAP shift among them could reflect credit passing between features that the model treats as substitutes. We tested this in four ways (Table IX).</w:t>
      </w:r>
    </w:p>
    <w:p>
      <w:pPr>
        <w:spacing w:after="100" w:line="264" w:lineRule="auto"/>
        <w:ind w:firstLine="284"/>
        <w:jc w:val="both"/>
      </w:pPr>
      <w:r>
        <w:rPr>
          <w:i/>
          <w:iCs/>
        </w:rPr>
        <w:t xml:space="preserve">Combined share.</w:t>
      </w:r>
      <w: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pPr>
        <w:spacing w:after="100" w:line="264" w:lineRule="auto"/>
        <w:ind w:firstLine="284"/>
        <w:jc w:val="both"/>
      </w:pPr>
      <w:r>
        <w:rPr>
          <w:i/>
          <w:iCs/>
        </w:rPr>
        <w:t xml:space="preserve">Drop-one and grouped retraining.</w:t>
      </w:r>
      <w:r>
        <w:t xml:space="preserve"> Removing any one of the three and retraining changes macro F1 by +0.001 to -0.016, whereas removing all three costs 0.012–0.028. As a block, the minimum IATs carry information the other features do not; individually they are partly interchangeable. Credit does move among them when one is removed. In the VPN Random Forest, dropping min_fiat raises the shares of min_flowiat and min_biat by 2.2 and 1.5 percentage points, and in the Non-VPN XGBoost model dropping min_flowiat moves min_biat from rank 10 to 5. With all three removed, cross-context </w:t>
      </w:r>
      <m:oMath>
        <m:r>
          <w:rPr>
            <w:rFonts w:ascii="Cambria Math" w:hAnsi="Cambria Math"/>
          </w:rPr>
          <m:t>ρ</m:t>
        </m:r>
      </m:oMath>
      <w:r>
        <w:t xml:space="preserve"> over the remaining 20 features is 0.890 for Random Forest and 0.833 for XGBoost, so the disagreement is not confined to them.</w:t>
      </w:r>
    </w:p>
    <w:p>
      <w:pPr>
        <w:spacing w:after="100" w:line="264" w:lineRule="auto"/>
        <w:ind w:firstLine="284"/>
        <w:jc w:val="both"/>
      </w:pPr>
      <w:r>
        <w:rPr>
          <w:i/>
          <w:iCs/>
        </w:rPr>
        <w:t xml:space="preserve">Permutation importance.</w:t>
      </w:r>
      <w:r>
        <w:t xml:space="preserve"> Permutation importance on the test partitions, measured as the loss of macro F1, does not split credit by Shapley rules, but it is not a neutral reference either: with correlated features it evaluates the model at feature combinations that do not occur in the data [34]. We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w:t>
      </w:r>
    </w:p>
    <w:p>
      <w:pPr>
        <w:spacing w:after="100" w:line="264" w:lineRule="auto"/>
        <w:ind w:firstLine="284"/>
        <w:jc w:val="both"/>
      </w:pPr>
      <w:r>
        <w:rPr>
          <w:i/>
          <w:iCs/>
        </w:rPr>
        <w:t xml:space="preserve">Entries below -1.</w:t>
      </w:r>
      <w:r>
        <w:t xml:space="preserve"> All entries below -1 in the data are negative min_flowiat values: 55 Non-VPN training flows (43 of them FT) and 43 VPN training flows (22 P2P). A negative gap between consecutive packets is physically impossible and most likely a timestamp artefact. The test partitions hold 17 and 12 such flows, which carry 0.6% and 0.5% of the min_flowiat attribution of the Random Forest models (1.0% and 0.6% for XGBoost). Removing them from training leaves the rankings almost unchanged (</w:t>
      </w:r>
      <m:oMath>
        <m:r>
          <w:rPr>
            <w:rFonts w:ascii="Cambria Math" w:hAnsi="Cambria Math"/>
          </w:rPr>
          <m:t>ρ</m:t>
        </m:r>
      </m:oMath>
      <w:r>
        <w:t xml:space="preserve"> with the primary ranking 0.986–0.997), so they do not drive the minimum-IAT shifts.</w:t>
      </w:r>
    </w:p>
    <w:p>
      <w:pPr>
        <w:spacing w:after="100" w:line="264" w:lineRule="auto"/>
        <w:ind w:firstLine="284"/>
        <w:jc w:val="both"/>
      </w:pPr>
      <w:r>
        <w:t xml:space="preserve">In sum, the minimum IATs matter as a group in both contexts. For XGBoost, the block keeps its combined share and the visible SHAP shift is largely a redistribution of credit among correlated timing features. For Random Forest, credit is also redistributed within the block, but the block itself gains importance under VPN, so part of that shift is a change in what the models rely on. Permutation-based measures show smaller shifts than SHAP for both models. The remaining differences cannot be attributed to tunnelling, because the data cannot separate tunnelling from differences between capture sessions.</w:t>
      </w:r>
    </w:p>
    <w:p>
      <w:pPr>
        <w:keepNext/>
        <w:spacing w:before="200" w:line="240" w:lineRule="auto"/>
        <w:jc w:val="center"/>
      </w:pPr>
      <w:r>
        <w:rPr>
          <w:sz w:val="20"/>
          <w:szCs w:val="20"/>
        </w:rPr>
        <w:t>TABLE IX</w:t>
      </w:r>
    </w:p>
    <w:p>
      <w:pPr>
        <w:keepNext/>
        <w:spacing w:after="80" w:line="240" w:lineRule="auto"/>
        <w:jc w:val="center"/>
      </w:pPr>
      <w:r>
        <w:rPr>
          <w:sz w:val="20"/>
          <w:szCs w:val="20"/>
        </w:rPr>
        <w:t xml:space="preserve">Checks on the minimum-IAT features: combined share, retraining without them and permutation importance</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50"/>
        <w:gridCol w:w="1150"/>
        <w:gridCol w:w="900"/>
        <w:gridCol w:w="800"/>
        <w:gridCol w:w="800"/>
        <w:gridCol w:w="950"/>
        <w:gridCol w:w="800"/>
        <w:gridCol w:w="1376"/>
        <w:gridCol w:w="1000"/>
      </w:tblGrid>
      <w:tr>
        <w:trPr>
          <w:cantSplit/>
          <w:tblHeader/>
          <w:jc w:val="center"/>
        </w:trPr>
        <w:tc>
          <w:tcPr>
            <w:tcW w:w="1250" w:type="dxa"/>
            <w:tcBorders>
              <w:top w:val="single" w:sz="6" w:space="0" w:color="000000"/>
              <w:bottom w:val="single" w:sz="6" w:space="0" w:color="000000"/>
            </w:tcBorders>
            <w:vAlign w:val="center"/>
          </w:tcPr>
          <w:p>
            <w:pPr>
              <w:spacing w:after="0" w:line="228" w:lineRule="auto"/>
            </w:pPr>
            <w:r>
              <w:rPr>
                <w:b/>
                <w:bCs/>
                <w:sz w:val="17"/>
                <w:szCs w:val="17"/>
              </w:rPr>
              <w:t xml:space="preserve">Model / context</w:t>
            </w:r>
          </w:p>
        </w:tc>
        <w:tc>
          <w:tcPr>
            <w:tcW w:w="1150" w:type="dxa"/>
            <w:tcBorders>
              <w:top w:val="single" w:sz="6" w:space="0" w:color="000000"/>
              <w:bottom w:val="single" w:sz="6" w:space="0" w:color="000000"/>
            </w:tcBorders>
            <w:vAlign w:val="center"/>
          </w:tcPr>
          <w:p>
            <w:pPr>
              <w:spacing w:after="0" w:line="228" w:lineRule="auto"/>
              <w:jc w:val="center"/>
            </w:pPr>
            <w:r>
              <w:rPr>
                <w:b/>
                <w:bCs/>
                <w:sz w:val="17"/>
                <w:szCs w:val="17"/>
              </w:rPr>
              <w:t xml:space="preserve">SHAP ranks</w:t>
            </w:r>
          </w:p>
          <w:p>
            <w:pPr>
              <w:spacing w:after="0" w:line="228" w:lineRule="auto"/>
              <w:jc w:val="center"/>
            </w:pPr>
            <w:r>
              <w:rPr>
                <w:b/>
                <w:bCs/>
                <w:sz w:val="17"/>
                <w:szCs w:val="17"/>
              </w:rPr>
              <w:t xml:space="preserve">fiat / biat / flowiat</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SHAP share of</w:t>
            </w:r>
          </w:p>
          <w:p>
            <w:pPr>
              <w:spacing w:after="0" w:line="228" w:lineRule="auto"/>
              <w:jc w:val="center"/>
            </w:pPr>
            <w:r>
              <w:rPr>
                <w:b/>
                <w:bCs/>
                <w:sz w:val="17"/>
                <w:szCs w:val="17"/>
              </w:rPr>
              <w:t xml:space="preserve">the three (%)</w:t>
            </w:r>
          </w:p>
        </w:tc>
        <w:tc>
          <w:tcPr>
            <w:tcW w:w="8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F1 drop</w:t>
            </w:r>
          </w:p>
          <w:p>
            <w:pPr>
              <w:spacing w:after="0" w:line="228" w:lineRule="auto"/>
              <w:jc w:val="center"/>
            </w:pPr>
            <w:r>
              <w:rPr>
                <w:b/>
                <w:bCs/>
                <w:sz w:val="17"/>
                <w:szCs w:val="17"/>
              </w:rPr>
              <w:t xml:space="preserve">min_fiat</w:t>
            </w:r>
          </w:p>
        </w:tc>
        <w:tc>
          <w:tcPr>
            <w:tcW w:w="8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F1 drop</w:t>
            </w:r>
          </w:p>
          <w:p>
            <w:pPr>
              <w:spacing w:after="0" w:line="228" w:lineRule="auto"/>
              <w:jc w:val="center"/>
            </w:pPr>
            <w:r>
              <w:rPr>
                <w:b/>
                <w:bCs/>
                <w:sz w:val="17"/>
                <w:szCs w:val="17"/>
              </w:rPr>
              <w:t xml:space="preserve">min_biat</w:t>
            </w:r>
          </w:p>
        </w:tc>
        <w:tc>
          <w:tcPr>
            <w:tcW w:w="9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F1 drop</w:t>
            </w:r>
          </w:p>
          <w:p>
            <w:pPr>
              <w:spacing w:after="0" w:line="228" w:lineRule="auto"/>
              <w:jc w:val="center"/>
            </w:pPr>
            <w:r>
              <w:rPr>
                <w:b/>
                <w:bCs/>
                <w:sz w:val="17"/>
                <w:szCs w:val="17"/>
              </w:rPr>
              <w:t xml:space="preserve">min_flowiat</w:t>
            </w:r>
          </w:p>
        </w:tc>
        <w:tc>
          <w:tcPr>
            <w:tcW w:w="8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F1 drop</w:t>
            </w:r>
          </w:p>
          <w:p>
            <w:pPr>
              <w:spacing w:after="0" w:line="228" w:lineRule="auto"/>
              <w:jc w:val="center"/>
            </w:pPr>
            <w:r>
              <w:rPr>
                <w:b/>
                <w:bCs/>
                <w:sz w:val="17"/>
                <w:szCs w:val="17"/>
              </w:rPr>
              <w:t xml:space="preserve">all three</w:t>
            </w:r>
          </w:p>
        </w:tc>
        <w:tc>
          <w:tcPr>
            <w:tcW w:w="1376" w:type="dxa"/>
            <w:tcBorders>
              <w:top w:val="single" w:sz="6" w:space="0" w:color="000000"/>
              <w:bottom w:val="single" w:sz="6" w:space="0" w:color="000000"/>
            </w:tcBorders>
            <w:vAlign w:val="center"/>
          </w:tcPr>
          <w:p>
            <w:pPr>
              <w:spacing w:after="0" w:line="228" w:lineRule="auto"/>
              <w:jc w:val="center"/>
            </w:pPr>
            <w:r>
              <w:rPr>
                <w:b/>
                <w:bCs/>
                <w:sz w:val="17"/>
                <w:szCs w:val="17"/>
              </w:rPr>
              <w:t xml:space="preserve">Permutation ranks</w:t>
            </w:r>
          </w:p>
          <w:p>
            <w:pPr>
              <w:spacing w:after="0" w:line="228" w:lineRule="auto"/>
              <w:jc w:val="center"/>
            </w:pPr>
            <w:r>
              <w:rPr>
                <w:b/>
                <w:bCs/>
                <w:sz w:val="17"/>
                <w:szCs w:val="17"/>
              </w:rPr>
              <w:t xml:space="preserve">marginal / conditional</w:t>
            </w:r>
          </w:p>
        </w:tc>
        <w:tc>
          <w:tcPr>
            <w:tcW w:w="10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F1 joint</w:t>
            </w:r>
          </w:p>
          <w:p>
            <w:pPr>
              <w:spacing w:after="0" w:line="228" w:lineRule="auto"/>
              <w:jc w:val="center"/>
            </w:pPr>
            <w:r>
              <w:rPr>
                <w:b/>
                <w:bCs/>
                <w:sz w:val="17"/>
                <w:szCs w:val="17"/>
              </w:rPr>
              <w:t xml:space="preserve">permutation</w:t>
            </w:r>
          </w:p>
        </w:tc>
      </w:tr>
      <w:tr>
        <w:trPr>
          <w:cantSplit/>
          <w:jc w:val="center"/>
        </w:trPr>
        <w:tc>
          <w:tcPr>
            <w:tcW w:w="1250" w:type="dxa"/>
            <w:tcBorders>
              <w:top w:val="single" w:sz="6" w:space="0" w:color="000000"/>
              <w:bottom w:val="single" w:sz="6" w:space="0" w:color="000000"/>
            </w:tcBorders>
            <w:vAlign w:val="center"/>
          </w:tcPr>
          <w:p>
            <w:pPr>
              <w:spacing w:after="0" w:line="228" w:lineRule="auto"/>
            </w:pPr>
            <w:r>
              <w:rPr>
                <w:sz w:val="17"/>
                <w:szCs w:val="17"/>
              </w:rPr>
              <w:t xml:space="preserve">RF / Non-VPN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11 / 10 / 2</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17.0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-0.028</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4 / 3 / 2</w:t>
            </w:r>
          </w:p>
          <w:p>
            <w:pPr>
              <w:spacing w:after="0" w:line="228" w:lineRule="auto"/>
              <w:jc w:val="center"/>
            </w:pPr>
            <w:r>
              <w:rPr>
                <w:sz w:val="17"/>
                <w:szCs w:val="17"/>
              </w:rPr>
              <w:t xml:space="preserve">4 / 3 / 2</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-0.168</w:t>
            </w:r>
          </w:p>
        </w:tc>
      </w:tr>
      <w:tr>
        <w:trPr>
          <w:cantSplit/>
          <w:jc w:val="center"/>
        </w:trPr>
        <w:tc>
          <w:tcPr>
            <w:tcW w:w="1250" w:type="dxa"/>
            <w:tcBorders>
              <w:top w:val="single" w:sz="6" w:space="0" w:color="000000"/>
              <w:bottom w:val="single" w:sz="6" w:space="0" w:color="000000"/>
            </w:tcBorders>
            <w:vAlign w:val="center"/>
          </w:tcPr>
          <w:p>
            <w:pPr>
              <w:spacing w:after="0" w:line="228" w:lineRule="auto"/>
            </w:pPr>
            <w:r>
              <w:rPr>
                <w:sz w:val="17"/>
                <w:szCs w:val="17"/>
              </w:rPr>
              <w:t xml:space="preserve">RF / VPN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2 / 3 / 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23.3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-0.002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-0.012</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3 / 2 / 4</w:t>
            </w:r>
          </w:p>
          <w:p>
            <w:pPr>
              <w:spacing w:after="0" w:line="228" w:lineRule="auto"/>
              <w:jc w:val="center"/>
            </w:pPr>
            <w:r>
              <w:rPr>
                <w:sz w:val="17"/>
                <w:szCs w:val="17"/>
              </w:rPr>
              <w:t xml:space="preserve">3 / 2 / 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-0.155</w:t>
            </w:r>
          </w:p>
        </w:tc>
      </w:tr>
      <w:tr>
        <w:trPr>
          <w:cantSplit/>
          <w:jc w:val="center"/>
        </w:trPr>
        <w:tc>
          <w:tcPr>
            <w:tcW w:w="1250" w:type="dxa"/>
            <w:tcBorders>
              <w:top w:val="single" w:sz="6" w:space="0" w:color="000000"/>
              <w:bottom w:val="single" w:sz="6" w:space="0" w:color="000000"/>
            </w:tcBorders>
            <w:vAlign w:val="center"/>
          </w:tcPr>
          <w:p>
            <w:pPr>
              <w:spacing w:after="0" w:line="228" w:lineRule="auto"/>
            </w:pPr>
            <w:r>
              <w:rPr>
                <w:sz w:val="17"/>
                <w:szCs w:val="17"/>
              </w:rPr>
              <w:t xml:space="preserve">XGB / Non-VPN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4 / 10 / 2</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26.3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0.000</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-0.026</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3 / 5 / 2</w:t>
            </w:r>
          </w:p>
          <w:p>
            <w:pPr>
              <w:spacing w:after="0" w:line="228" w:lineRule="auto"/>
              <w:jc w:val="center"/>
            </w:pPr>
            <w:r>
              <w:rPr>
                <w:sz w:val="17"/>
                <w:szCs w:val="17"/>
              </w:rPr>
              <w:t xml:space="preserve">3 / 4 / 2</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-0.326</w:t>
            </w:r>
          </w:p>
        </w:tc>
      </w:tr>
      <w:tr>
        <w:trPr>
          <w:cantSplit/>
          <w:jc w:val="center"/>
        </w:trPr>
        <w:tc>
          <w:tcPr>
            <w:tcW w:w="1250" w:type="dxa"/>
            <w:tcBorders>
              <w:top w:val="single" w:sz="6" w:space="0" w:color="000000"/>
              <w:bottom w:val="single" w:sz="6" w:space="0" w:color="000000"/>
            </w:tcBorders>
            <w:vAlign w:val="center"/>
          </w:tcPr>
          <w:p>
            <w:pPr>
              <w:spacing w:after="0" w:line="228" w:lineRule="auto"/>
            </w:pPr>
            <w:r>
              <w:rPr>
                <w:sz w:val="17"/>
                <w:szCs w:val="17"/>
              </w:rPr>
              <w:t xml:space="preserve">XGB / VPN</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2 / 4 / 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24.7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-0.016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-0.012</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-0.024</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2 / 4 / 6</w:t>
            </w:r>
          </w:p>
          <w:p>
            <w:pPr>
              <w:spacing w:after="0" w:line="228" w:lineRule="auto"/>
              <w:jc w:val="center"/>
            </w:pPr>
            <w:r>
              <w:rPr>
                <w:sz w:val="17"/>
                <w:szCs w:val="17"/>
              </w:rPr>
              <w:t xml:space="preserve">2 / 4 / 3</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-0.267</w:t>
            </w:r>
          </w:p>
        </w:tc>
      </w:tr>
    </w:tbl>
    <w:p>
      <w:pPr>
        <w:keepLines/>
        <w:spacing w:before="40" w:after="160" w:line="230" w:lineRule="auto"/>
        <w:jc w:val="both"/>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m:oMath>
        <m:r>
          <w:rPr>
            <w:rFonts w:ascii="Cambria Math" w:hAnsi="Cambria Math"/>
            <w:sz w:val="17"/>
            <w:szCs w:val="17"/>
          </w:rPr>
          <m:t>Δ</m:t>
        </m:r>
      </m:oMath>
      <w:r>
        <w:rPr>
          <w:sz w:val="17"/>
          <w:szCs w:val="17"/>
        </w:rPr>
        <w:t xml:space="preserve">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pPr>
        <w:pStyle w:val="Heading2"/>
        <w:keepNext/>
        <w:spacing w:before="180" w:after="80"/>
      </w:pPr>
      <w:r>
        <w:t xml:space="preserve">F. Why VPN Rankings Look Steadier</w:t>
      </w:r>
    </w:p>
    <w:p>
      <w:pPr>
        <w:spacing w:after="100" w:line="264" w:lineRule="auto"/>
        <w:ind w:firstLine="284"/>
        <w:jc w:val="both"/>
      </w:pPr>
      <w:r>
        <w:t xml:space="preserve">Under flow-level random halves, VPN rankings agree more with each other than Non-VPN rankings do (XGBoost 0.964 against 0.943; Random Forest 0.976 against 0.928), although VPN accuracy is lower. The pattern does not hold under cluster grouping. With clusters of about 140 flows, within-VPN agreement falls below within-Non-VPN agreement for both models (0.740 against 0.804, and 0.431 against 0.612), and Random Forest already shows the reversal at about ten flows per cluster. With blocks of consecutive rows, however, VPN rankings remain the steadier ones (calibrated blocks: 0.942 against 0.919 for XGBoost, 0.906 against 0.884 for Random Forest), so the reversal depends on the kind of grouping. The capture counts of Section IV-D point the same way: a VPN capture contributes several times more flows than a Non-VPN capture, so random halves of VPN data share more related flows. Part of the apparent steadiness of VPN explanations may therefore come from redundancy among related VPN flows rather than from any stability of the VPN explanation itself. Class balance may also contribute, since the rarest VPN class holds 4.6% of training flows against 2.7% for Non-VPN MAIL, and rare classes produce noisier attributions.</w:t>
      </w:r>
    </w:p>
    <w:p>
      <w:pPr>
        <w:pStyle w:val="Heading1"/>
        <w:keepNext/>
        <w:spacing w:before="280" w:after="120"/>
        <w:jc w:val="center"/>
      </w:pPr>
      <w:r>
        <w:t xml:space="preserve">VII. AGGREGATED FEATURE-FAMILY IMPORTANCE</w:t>
      </w:r>
    </w:p>
    <w:p>
      <w:pPr>
        <w:spacing w:after="100" w:line="264" w:lineRule="auto"/>
        <w:ind w:firstLine="284"/>
        <w:jc w:val="both"/>
      </w:pPr>
      <w:r>
        <w:t xml:space="preserve">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keepNext/>
        <w:spacing w:before="200" w:line="240" w:lineRule="auto"/>
        <w:jc w:val="center"/>
      </w:pPr>
      <w:r>
        <w:rPr>
          <w:sz w:val="20"/>
          <w:szCs w:val="20"/>
        </w:rPr>
        <w:t>TABLE X</w:t>
      </w:r>
    </w:p>
    <w:p>
      <w:pPr>
        <w:keepNext/>
        <w:spacing w:after="80" w:line="240" w:lineRule="auto"/>
        <w:jc w:val="center"/>
      </w:pPr>
      <w:r>
        <w:rPr>
          <w:sz w:val="20"/>
          <w:szCs w:val="20"/>
        </w:rPr>
        <w:t xml:space="preserve">Aggregated feature-family importance shares (%) of the primary fits, with ranks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026"/>
        <w:gridCol w:w="1500"/>
        <w:gridCol w:w="1500"/>
        <w:gridCol w:w="1500"/>
        <w:gridCol w:w="1500"/>
      </w:tblGrid>
      <w:tr>
        <w:trPr>
          <w:cantSplit/>
          <w:tblHeader/>
          <w:jc w:val="center"/>
        </w:trPr>
        <w:tc>
          <w:tcPr>
            <w:tcW w:w="3026" w:type="dxa"/>
            <w:tcBorders>
              <w:top w:val="single" w:sz="6" w:space="0" w:color="000000"/>
              <w:bottom w:val="single" w:sz="6" w:space="0" w:color="000000"/>
            </w:tcBorders>
            <w:vAlign w:val="center"/>
          </w:tcPr>
          <w:p>
            <w:pPr>
              <w:spacing w:after="0" w:line="228" w:lineRule="auto"/>
            </w:pPr>
            <w:r>
              <w:rPr>
                <w:b/>
                <w:bCs/>
                <w:sz w:val="17"/>
                <w:szCs w:val="17"/>
              </w:rPr>
              <w:t xml:space="preserve">Family (members)</w:t>
            </w:r>
          </w:p>
        </w:tc>
        <w:tc>
          <w:tcPr>
            <w:tcW w:w="1500" w:type="dxa"/>
            <w:tcBorders>
              <w:top w:val="single" w:sz="6" w:space="0" w:color="000000"/>
              <w:bottom w:val="single" w:sz="6" w:space="0" w:color="000000"/>
            </w:tcBorders>
            <w:vAlign w:val="center"/>
          </w:tcPr>
          <w:p>
            <w:pPr>
              <w:spacing w:after="0" w:line="228" w:lineRule="auto"/>
              <w:jc w:val="center"/>
            </w:pPr>
            <w:r>
              <w:rPr>
                <w:b/>
                <w:bCs/>
                <w:sz w:val="17"/>
                <w:szCs w:val="17"/>
              </w:rPr>
              <w:t xml:space="preserve">RF Non-VPN</w:t>
            </w:r>
          </w:p>
        </w:tc>
        <w:tc>
          <w:tcPr>
            <w:tcW w:w="1500" w:type="dxa"/>
            <w:tcBorders>
              <w:top w:val="single" w:sz="6" w:space="0" w:color="000000"/>
              <w:bottom w:val="single" w:sz="6" w:space="0" w:color="000000"/>
            </w:tcBorders>
            <w:vAlign w:val="center"/>
          </w:tcPr>
          <w:p>
            <w:pPr>
              <w:spacing w:after="0" w:line="228" w:lineRule="auto"/>
              <w:jc w:val="center"/>
            </w:pPr>
            <w:r>
              <w:rPr>
                <w:b/>
                <w:bCs/>
                <w:sz w:val="17"/>
                <w:szCs w:val="17"/>
              </w:rPr>
              <w:t xml:space="preserve">RF VPN</w:t>
            </w:r>
          </w:p>
        </w:tc>
        <w:tc>
          <w:tcPr>
            <w:tcW w:w="1500"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Non-VPN</w:t>
            </w:r>
          </w:p>
        </w:tc>
        <w:tc>
          <w:tcPr>
            <w:tcW w:w="1500"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VPN</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Directional IAT (8)</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43.07 (1)</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45.73 (1)</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37.51 (1)</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42.63 (1)</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Flow IAT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23.00 (2)</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22.18 (2)</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28.23 (2)</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25.30 (2)</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Flow throughput (2)</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12.08 (3)</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15.68 (3)</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19.81 (3)</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16.66 (3)</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Flow duration (1)</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6.29 (6)</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5.82 (5)</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5.43 (5)</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6.58 (4)</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Active period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6.76 (5)</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3.71 (6)</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6.52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3.81 (6)</w:t>
            </w:r>
          </w:p>
        </w:tc>
      </w:tr>
      <w:tr>
        <w:trPr>
          <w:cantSplit/>
          <w:jc w:val="center"/>
        </w:trPr>
        <w:tc>
          <w:tcPr>
            <w:tcW w:w="3026" w:type="dxa"/>
            <w:tcBorders>
              <w:top w:val="single" w:sz="6" w:space="0" w:color="000000"/>
              <w:bottom w:val="single" w:sz="6" w:space="0" w:color="000000"/>
            </w:tcBorders>
            <w:vAlign w:val="center"/>
          </w:tcPr>
          <w:p>
            <w:pPr>
              <w:spacing w:after="0" w:line="228" w:lineRule="auto"/>
            </w:pPr>
            <w:r>
              <w:rPr>
                <w:sz w:val="17"/>
                <w:szCs w:val="17"/>
              </w:rPr>
              <w:t xml:space="preserve">Idle period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8.80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6.88 (4)</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2.50 (6)</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5.03 (5)</w:t>
            </w:r>
          </w:p>
        </w:tc>
      </w:tr>
    </w:tbl>
    <w:p>
      <w:pPr>
        <w:keepLines/>
        <w:spacing w:before="40" w:after="160" w:line="230" w:lineRule="auto"/>
        <w:jc w:val="both"/>
      </w:pPr>
      <w:r>
        <w:rPr>
          <w:i/>
          <w:iCs/>
          <w:sz w:val="17"/>
          <w:szCs w:val="17"/>
        </w:rPr>
        <w:t xml:space="preserve">Note. </w:t>
      </w:r>
      <w:r>
        <w:rPr>
          <w:sz w:val="17"/>
          <w:szCs w:val="17"/>
        </w:rPr>
        <w:t xml:space="preserve">Summed mean absolute SHAP of the family members, normalised over the six families; ranks in parentheses. Absolute values are taken before aggregation, so opposing contributions do not cancel.</w:t>
      </w:r>
    </w:p>
    <w:p>
      <w:pPr>
        <w:spacing w:after="100" w:line="264" w:lineRule="auto"/>
        <w:ind w:firstLine="284"/>
        <w:jc w:val="both"/>
      </w:pPr>
      <w:r>
        <w:t xml:space="preserve">The steadiness of the six-family summary depends on the grouping. Summed over six families, the half-split gap is 0.112 for Random Forest and 0.075 for XGBoost, smaller than the feature-level gaps, but six ranks are coarse (swapping one adjacent pair changes </w:t>
      </w:r>
      <m:oMath>
        <m:r>
          <w:rPr>
            <w:rFonts w:ascii="Cambria Math" w:hAnsi="Cambria Math"/>
          </w:rPr>
          <m:t>ρ</m:t>
        </m:r>
      </m:oMath>
      <w:r>
        <w:t xml:space="preserve"> by about 0.06), and the eight-member directional family tops every ranking partly by size. Ranked by mean importance per member, the gaps are 0.149 and 0.064, and throughput or duration leads. Moving total_fiat and total_biat into a duration-and-totals family gives gaps of 0.096 and 0.088, and it changes the primary summary: the shares of the three leading families on Non-VPN data are then within 2.1 percentage points of each other for Random Forest, and for XGBoost the leading family is Flow IAT without a VPN and Directional IAT with one. The eight data-driven clusters give gaps of 0.096 and 0.099, larger than the semantic-family gaps, consistent with the three minimum IATs staying in separate clusters.</w:t>
      </w:r>
    </w:p>
    <w:p>
      <w:pPr>
        <w:spacing w:after="100" w:line="264" w:lineRule="auto"/>
        <w:ind w:firstLine="284"/>
        <w:jc w:val="both"/>
      </w:pPr>
      <w:r>
        <w:t xml:space="preserve">Grouping the training data affects the family-level gaps differently from the feature-level ones. For Random Forest the summed-family gap falls from 0.112 to +0.005 with clusters of about ten flows. For XGBoost it does not shrink at that setting (0.075 with random halves and 0.077 with clusters of about ten flows; 0.099 and 0.091 for the correlation clusters), and falls only with clusters of about 35 flows (0.014) or under the calibrated grouping (+0.016). Under blocks of consecutive rows the summed-family gaps stay between +0.016 and +0.116 for both models. Part of the XGBoost difference between contexts thus survives fine grouping at the level of families even though it shrinks at the level of single features, so redundancy among related flows does not explain all of it. Statements in this paper about the gap shrinking under grouping refer to the feature level. Family summaries are useful only together with their grouping rule and family sizes.</w:t>
      </w:r>
    </w:p>
    <w:p>
      <w:pPr>
        <w:keepNext/>
        <w:spacing w:before="200" w:line="240" w:lineRule="auto"/>
        <w:jc w:val="center"/>
      </w:pPr>
      <w:r>
        <w:rPr>
          <w:sz w:val="20"/>
          <w:szCs w:val="20"/>
        </w:rPr>
        <w:t>TABLE XI</w:t>
      </w:r>
    </w:p>
    <w:p>
      <w:pPr>
        <w:keepNext/>
        <w:spacing w:after="80" w:line="240" w:lineRule="auto"/>
        <w:jc w:val="center"/>
      </w:pPr>
      <w:r>
        <w:rPr>
          <w:sz w:val="20"/>
          <w:szCs w:val="20"/>
        </w:rPr>
        <w:t xml:space="preserve">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6"/>
        <w:gridCol w:w="1000"/>
        <w:gridCol w:w="950"/>
        <w:gridCol w:w="950"/>
        <w:gridCol w:w="900"/>
        <w:gridCol w:w="1000"/>
        <w:gridCol w:w="1000"/>
      </w:tblGrid>
      <w:tr>
        <w:trPr>
          <w:cantSplit/>
          <w:tblHeader/>
          <w:jc w:val="center"/>
        </w:trPr>
        <w:tc>
          <w:tcPr>
            <w:tcW w:w="3226" w:type="dxa"/>
            <w:tcBorders>
              <w:top w:val="single" w:sz="6" w:space="0" w:color="000000"/>
              <w:bottom w:val="single" w:sz="6" w:space="0" w:color="000000"/>
            </w:tcBorders>
            <w:vAlign w:val="center"/>
          </w:tcPr>
          <w:p>
            <w:pPr>
              <w:spacing w:after="0" w:line="228" w:lineRule="auto"/>
            </w:pPr>
            <w:r>
              <w:rPr>
                <w:b/>
                <w:bCs/>
                <w:sz w:val="17"/>
                <w:szCs w:val="17"/>
              </w:rPr>
              <w:t xml:space="preserve">Model / aggregation</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Primary </w:t>
            </w:r>
            <m:oMath>
              <m:r>
                <w:rPr>
                  <w:rFonts w:ascii="Cambria Math" w:hAnsi="Cambria Math"/>
                  <w:sz w:val="17"/>
                  <w:szCs w:val="17"/>
                </w:rPr>
                <m:t>ρ</m:t>
              </m:r>
            </m:oMath>
          </w:p>
        </w:tc>
        <w:tc>
          <w:tcPr>
            <w:tcW w:w="95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 NV</w:t>
            </w:r>
          </w:p>
        </w:tc>
        <w:tc>
          <w:tcPr>
            <w:tcW w:w="95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 VPN</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w:t>
            </w:r>
          </w:p>
        </w:tc>
        <w:tc>
          <w:tcPr>
            <w:tcW w:w="10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random</w:t>
            </w:r>
          </w:p>
          <w:p>
            <w:pPr>
              <w:spacing w:after="0" w:line="228" w:lineRule="auto"/>
              <w:jc w:val="center"/>
            </w:pPr>
            <w:r>
              <w:rPr>
                <w:b/>
                <w:bCs/>
                <w:sz w:val="17"/>
                <w:szCs w:val="17"/>
              </w:rPr>
              <w:t xml:space="preserve">halves</w:t>
            </w:r>
          </w:p>
        </w:tc>
        <w:tc>
          <w:tcPr>
            <w:tcW w:w="100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grouped</w:t>
            </w:r>
          </w:p>
          <w:p>
            <w:pPr>
              <w:spacing w:after="0" w:line="228" w:lineRule="auto"/>
              <w:jc w:val="center"/>
            </w:pPr>
            <w:r>
              <w:rPr>
                <w:b/>
                <w:bCs/>
                <w:sz w:val="17"/>
                <w:szCs w:val="17"/>
              </w:rPr>
              <w:t xml:space="preserve">~10 per cluster</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Six families,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0.990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0.860</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+0.112</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+0.005</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Six families, mean per member</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0.865</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+0.149</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+0.016</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Totals moved to duration,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0.927</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1.000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0.868</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+0.006</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Eight correlation clusters,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0.881</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0.873</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+0.055</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Six families,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0.829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0.958</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0.974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0.891</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+0.077</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Six families, mean per member</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0.974</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0.922</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0.884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+0.064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+0.054</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Totals moved to duration,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0.984</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0.875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+0.088</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+0.070</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Eight correlation clusters,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0.905</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0.948</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+0.099</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+0.091</w:t>
            </w:r>
          </w:p>
        </w:tc>
      </w:tr>
    </w:tbl>
    <w:p>
      <w:pPr>
        <w:keepLines/>
        <w:spacing w:before="40" w:after="160" w:line="230" w:lineRule="auto"/>
        <w:jc w:val="both"/>
      </w:pPr>
      <w:r>
        <w:rPr>
          <w:i/>
          <w:iCs/>
          <w:sz w:val="17"/>
          <w:szCs w:val="17"/>
        </w:rPr>
        <w:t xml:space="preserve">Note. </w:t>
      </w:r>
      <w:r>
        <w:rPr>
          <w:sz w:val="17"/>
          <w:szCs w:val="17"/>
        </w:rPr>
        <w:t xml:space="preserve">Within, cross and </w:t>
      </w:r>
      <m:oMath>
        <m:r>
          <w:rPr>
            <w:rFonts w:ascii="Cambria Math" w:hAnsi="Cambria Math"/>
            <w:sz w:val="17"/>
            <w:szCs w:val="17"/>
          </w:rPr>
          <m:t>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m:oMath>
        <m:sSub>
          <m:e>
            <m:r>
              <w:rPr>
                <w:rFonts w:ascii="Cambria Math" w:hAnsi="Cambria Math"/>
                <w:sz w:val="17"/>
                <w:szCs w:val="17"/>
              </w:rPr>
              <m:t>ρ</m:t>
            </m:r>
          </m:e>
          <m:sub>
            <m:r>
              <w:rPr>
                <w:rFonts w:ascii="Cambria Math" w:hAnsi="Cambria Math"/>
                <w:sz w:val="17"/>
                <w:szCs w:val="17"/>
              </w:rPr>
              <m:t>S</m:t>
            </m:r>
          </m:sub>
        </m:sSub>
      </m:oMath>
      <w:r>
        <w:rPr>
          <w:sz w:val="17"/>
          <w:szCs w:val="17"/>
        </w:rPr>
        <w:t xml:space="preserve">| on training data, cut at 0.2.</w:t>
      </w:r>
    </w:p>
    <w:p>
      <w:pPr>
        <w:pStyle w:val="Heading1"/>
        <w:keepNext/>
        <w:spacing w:before="280" w:after="120"/>
        <w:jc w:val="center"/>
      </w:pPr>
      <w:r>
        <w:t xml:space="preserve">VIII. CONSEQUENCE TESTS</w:t>
      </w:r>
    </w:p>
    <w:p>
      <w:pPr>
        <w:pStyle w:val="Heading2"/>
        <w:keepNext/>
        <w:spacing w:before="180" w:after="80"/>
      </w:pPr>
      <w:r>
        <w:t xml:space="preserve">A. Direct Model Transfer</w:t>
      </w:r>
    </w:p>
    <w:p>
      <w:pPr>
        <w:spacing w:after="100" w:line="264" w:lineRule="auto"/>
        <w:ind w:firstLine="284"/>
        <w:jc w:val="both"/>
      </w:pPr>
      <w:r>
        <w:t xml:space="preserve">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spacing w:before="180" w:after="80"/>
      </w:pPr>
      <w:r>
        <w:t xml:space="preserve">B. Transfer of a SHAP-Selected Feature List</w:t>
      </w:r>
    </w:p>
    <w:p>
      <w:pPr>
        <w:spacing w:after="100" w:line="264" w:lineRule="auto"/>
        <w:ind w:firstLine="284"/>
        <w:jc w:val="both"/>
      </w:pPr>
      <w: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The VPN Random Forest contrast is positive for all five seeds (+0.007 to +0.017), and its paired interval for the first seed, [0.006, 0.028], excludes zero; the XGBoost VPN contrast is positive for every seed but smaller (+0.002 to +0.009), with an interval that includes zero.</w:t>
      </w:r>
    </w:p>
    <w:p>
      <w:pPr>
        <w:spacing w:after="100" w:line="264" w:lineRule="auto"/>
        <w:ind w:firstLine="284"/>
        <w:jc w:val="both"/>
      </w:pPr>
      <w:r>
        <w:t xml:space="preserve">These per-target contrasts mix two effects, because each list is evaluated on both targets: the four scores of a model form a 2 </w:t>
      </w:r>
      <m:oMath>
        <m:r>
          <w:rPr>
            <w:rFonts w:ascii="Cambria Math" w:hAnsi="Cambria Math"/>
          </w:rPr>
          <m:t>×</m:t>
        </m:r>
      </m:oMath>
      <w: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spacing w:after="100" w:line="264" w:lineRule="auto"/>
        <w:ind w:firstLine="284"/>
        <w:jc w:val="both"/>
      </w:pPr>
      <w:r>
        <w:t xml:space="preserve">The controls show that SHAP-based selection itself matters.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keepNext/>
        <w:spacing w:before="200" w:line="240" w:lineRule="auto"/>
        <w:jc w:val="center"/>
      </w:pPr>
      <w:r>
        <w:rPr>
          <w:sz w:val="20"/>
          <w:szCs w:val="20"/>
        </w:rPr>
        <w:t>TABLE XII</w:t>
      </w:r>
    </w:p>
    <w:p>
      <w:pPr>
        <w:keepNext/>
        <w:spacing w:after="80" w:line="240" w:lineRule="auto"/>
        <w:jc w:val="center"/>
      </w:pPr>
      <w:r>
        <w:rPr>
          <w:sz w:val="20"/>
          <w:szCs w:val="20"/>
        </w:rPr>
        <w:t xml:space="preserve">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50"/>
        <w:gridCol w:w="750"/>
        <w:gridCol w:w="1150"/>
        <w:gridCol w:w="750"/>
        <w:gridCol w:w="1076"/>
        <w:gridCol w:w="1100"/>
      </w:tblGrid>
      <w:tr>
        <w:trPr>
          <w:cantSplit/>
          <w:tblHeader/>
          <w:jc w:val="center"/>
        </w:trPr>
        <w:tc>
          <w:tcPr>
            <w:tcW w:w="1350" w:type="dxa"/>
            <w:tcBorders>
              <w:top w:val="single" w:sz="6" w:space="0" w:color="000000"/>
              <w:bottom w:val="single" w:sz="6" w:space="0" w:color="000000"/>
            </w:tcBorders>
            <w:vAlign w:val="center"/>
          </w:tcPr>
          <w:p>
            <w:pPr>
              <w:spacing w:after="0" w:line="228" w:lineRule="auto"/>
            </w:pPr>
            <w:r>
              <w:rPr>
                <w:b/>
                <w:bCs/>
                <w:sz w:val="17"/>
                <w:szCs w:val="17"/>
              </w:rPr>
              <w:t xml:space="preserve">Target / model</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Shared</w:t>
            </w:r>
          </w:p>
          <w:p>
            <w:pPr>
              <w:spacing w:after="0" w:line="228" w:lineRule="auto"/>
              <w:jc w:val="center"/>
            </w:pPr>
            <w:r>
              <w:rPr>
                <w:b/>
                <w:bCs/>
                <w:sz w:val="17"/>
                <w:szCs w:val="17"/>
              </w:rPr>
              <w:t xml:space="preserve">k = 5/10/15</w:t>
            </w:r>
          </w:p>
        </w:tc>
        <w:tc>
          <w:tcPr>
            <w:tcW w:w="11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k = 5</w:t>
            </w:r>
          </w:p>
          <w:p>
            <w:pPr>
              <w:spacing w:after="0" w:line="228" w:lineRule="auto"/>
              <w:jc w:val="center"/>
            </w:pPr>
            <w:r>
              <w:rPr>
                <w:b/>
                <w:bCs/>
                <w:sz w:val="17"/>
                <w:szCs w:val="17"/>
              </w:rPr>
              <w:t xml:space="preserve">mean [min, max]</w:t>
            </w:r>
          </w:p>
        </w:tc>
        <w:tc>
          <w:tcPr>
            <w:tcW w:w="11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k = 10</w:t>
            </w:r>
          </w:p>
          <w:p>
            <w:pPr>
              <w:spacing w:after="0" w:line="228" w:lineRule="auto"/>
              <w:jc w:val="center"/>
            </w:pPr>
            <w:r>
              <w:rPr>
                <w:b/>
                <w:bCs/>
                <w:sz w:val="17"/>
                <w:szCs w:val="17"/>
              </w:rPr>
              <w:t xml:space="preserve">mean [min, max]</w:t>
            </w:r>
          </w:p>
        </w:tc>
        <w:tc>
          <w:tcPr>
            <w:tcW w:w="7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k = 15</w:t>
            </w:r>
          </w:p>
          <w:p>
            <w:pPr>
              <w:spacing w:after="0" w:line="228" w:lineRule="auto"/>
              <w:jc w:val="center"/>
            </w:pPr>
            <w:r>
              <w:rPr>
                <w:b/>
                <w:bCs/>
                <w:sz w:val="17"/>
                <w:szCs w:val="17"/>
              </w:rPr>
              <w:t xml:space="preserve">mean</w:t>
            </w:r>
          </w:p>
        </w:tc>
        <w:tc>
          <w:tcPr>
            <w:tcW w:w="1150" w:type="dxa"/>
            <w:tcBorders>
              <w:top w:val="single" w:sz="6" w:space="0" w:color="000000"/>
              <w:bottom w:val="single" w:sz="6" w:space="0" w:color="000000"/>
            </w:tcBorders>
            <w:vAlign w:val="center"/>
          </w:tcPr>
          <w:p>
            <w:pPr>
              <w:spacing w:after="0" w:line="228" w:lineRule="auto"/>
              <w:jc w:val="center"/>
            </w:pPr>
            <m:oMath>
              <m:r>
                <w:rPr>
                  <w:rFonts w:ascii="Cambria Math" w:hAnsi="Cambria Math"/>
                  <w:sz w:val="17"/>
                  <w:szCs w:val="17"/>
                </w:rPr>
                <m:t>Δ</m:t>
              </m:r>
            </m:oMath>
            <w:r>
              <w:rPr>
                <w:b/>
                <w:bCs/>
                <w:sz w:val="17"/>
                <w:szCs w:val="17"/>
              </w:rPr>
              <w:t xml:space="preserve"> k = 10, seed 1</w:t>
            </w:r>
          </w:p>
          <w:p>
            <w:pPr>
              <w:spacing w:after="0" w:line="228" w:lineRule="auto"/>
              <w:jc w:val="center"/>
            </w:pPr>
            <w:r>
              <w:rPr>
                <w:b/>
                <w:bCs/>
                <w:sz w:val="17"/>
                <w:szCs w:val="17"/>
              </w:rPr>
              <w:t xml:space="preserve">95% interval</w:t>
            </w:r>
          </w:p>
        </w:tc>
        <w:tc>
          <w:tcPr>
            <w:tcW w:w="750" w:type="dxa"/>
            <w:tcBorders>
              <w:top w:val="single" w:sz="6" w:space="0" w:color="000000"/>
              <w:bottom w:val="single" w:sz="6" w:space="0" w:color="000000"/>
            </w:tcBorders>
            <w:vAlign w:val="center"/>
          </w:tcPr>
          <w:p>
            <w:pPr>
              <w:spacing w:after="0" w:line="228" w:lineRule="auto"/>
              <w:jc w:val="center"/>
            </w:pPr>
            <w:r>
              <w:rPr>
                <w:b/>
                <w:bCs/>
                <w:sz w:val="17"/>
                <w:szCs w:val="17"/>
              </w:rPr>
              <w:t xml:space="preserve">Bottom-10</w:t>
            </w:r>
          </w:p>
        </w:tc>
        <w:tc>
          <w:tcPr>
            <w:tcW w:w="1076" w:type="dxa"/>
            <w:tcBorders>
              <w:top w:val="single" w:sz="6" w:space="0" w:color="000000"/>
              <w:bottom w:val="single" w:sz="6" w:space="0" w:color="000000"/>
            </w:tcBorders>
            <w:vAlign w:val="center"/>
          </w:tcPr>
          <w:p>
            <w:pPr>
              <w:spacing w:after="0" w:line="228" w:lineRule="auto"/>
              <w:jc w:val="center"/>
            </w:pPr>
            <w:r>
              <w:rPr>
                <w:b/>
                <w:bCs/>
                <w:sz w:val="17"/>
                <w:szCs w:val="17"/>
              </w:rPr>
              <w:t xml:space="preserve">Random-10</w:t>
            </w:r>
          </w:p>
          <w:p>
            <w:pPr>
              <w:spacing w:after="0" w:line="228" w:lineRule="auto"/>
              <w:jc w:val="center"/>
            </w:pPr>
            <w:r>
              <w:rPr>
                <w:b/>
                <w:bCs/>
                <w:sz w:val="17"/>
                <w:szCs w:val="17"/>
              </w:rPr>
              <w:t xml:space="preserve">mean [min, max]</w:t>
            </w:r>
          </w:p>
        </w:tc>
        <w:tc>
          <w:tcPr>
            <w:tcW w:w="1100" w:type="dxa"/>
            <w:tcBorders>
              <w:top w:val="single" w:sz="6" w:space="0" w:color="000000"/>
              <w:bottom w:val="single" w:sz="6" w:space="0" w:color="000000"/>
            </w:tcBorders>
            <w:vAlign w:val="center"/>
          </w:tcPr>
          <w:p>
            <w:pPr>
              <w:spacing w:after="0" w:line="228" w:lineRule="auto"/>
              <w:jc w:val="center"/>
            </w:pPr>
            <w:r>
              <w:rPr>
                <w:b/>
                <w:bCs/>
                <w:sz w:val="17"/>
                <w:szCs w:val="17"/>
              </w:rPr>
              <w:t xml:space="preserve">Beat random</w:t>
            </w:r>
          </w:p>
          <w:p>
            <w:pPr>
              <w:spacing w:after="0" w:line="228" w:lineRule="auto"/>
              <w:jc w:val="center"/>
            </w:pPr>
            <w:r>
              <w:rPr>
                <w:b/>
                <w:bCs/>
                <w:sz w:val="17"/>
                <w:szCs w:val="17"/>
              </w:rPr>
              <w:t xml:space="preserve">own / transferred</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Non-VPN / 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8.4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-0.026</w:t>
            </w:r>
          </w:p>
          <w:p>
            <w:pPr>
              <w:spacing w:after="0" w:line="228" w:lineRule="auto"/>
              <w:jc w:val="center"/>
            </w:pPr>
            <w:r>
              <w:rPr>
                <w:sz w:val="17"/>
                <w:szCs w:val="17"/>
              </w:rPr>
              <w:t xml:space="preserve">[-0.027, -0.022]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p>
            <w:pPr>
              <w:spacing w:after="0" w:line="228" w:lineRule="auto"/>
              <w:jc w:val="center"/>
            </w:pPr>
            <w:r>
              <w:rPr>
                <w:sz w:val="17"/>
                <w:szCs w:val="17"/>
              </w:rPr>
              <w:t xml:space="preserve">[-0.007, -0.003]</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[-0.018, 0.006]</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0.717</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0.887</w:t>
            </w:r>
          </w:p>
          <w:p>
            <w:pPr>
              <w:spacing w:after="0" w:line="228" w:lineRule="auto"/>
              <w:jc w:val="center"/>
            </w:pPr>
            <w:r>
              <w:rPr>
                <w:sz w:val="17"/>
                <w:szCs w:val="17"/>
              </w:rPr>
              <w:t xml:space="preserve">[0.852, 0.924]</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80% / 90%</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Non-VPN / 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7.4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-0.018</w:t>
            </w:r>
          </w:p>
          <w:p>
            <w:pPr>
              <w:spacing w:after="0" w:line="228" w:lineRule="auto"/>
              <w:jc w:val="center"/>
            </w:pPr>
            <w:r>
              <w:rPr>
                <w:sz w:val="17"/>
                <w:szCs w:val="17"/>
              </w:rPr>
              <w:t xml:space="preserve">[-0.030, -0.002]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p>
            <w:pPr>
              <w:spacing w:after="0" w:line="228" w:lineRule="auto"/>
              <w:jc w:val="center"/>
            </w:pPr>
            <w:r>
              <w:rPr>
                <w:sz w:val="17"/>
                <w:szCs w:val="17"/>
              </w:rPr>
              <w:t xml:space="preserve">[-0.003, +0.010]</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0.010]</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0.696</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0.899</w:t>
            </w:r>
          </w:p>
          <w:p>
            <w:pPr>
              <w:spacing w:after="0" w:line="228" w:lineRule="auto"/>
              <w:jc w:val="center"/>
            </w:pPr>
            <w:r>
              <w:rPr>
                <w:sz w:val="17"/>
                <w:szCs w:val="17"/>
              </w:rPr>
              <w:t xml:space="preserve">[0.854, 0.938]</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92% / 87%</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VPN / 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8.4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+0.046</w:t>
            </w:r>
          </w:p>
          <w:p>
            <w:pPr>
              <w:spacing w:after="0" w:line="228" w:lineRule="auto"/>
              <w:jc w:val="center"/>
            </w:pPr>
            <w:r>
              <w:rPr>
                <w:sz w:val="17"/>
                <w:szCs w:val="17"/>
              </w:rPr>
              <w:t xml:space="preserve">[+0.044, +0.048]</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+0.013</w:t>
            </w:r>
          </w:p>
          <w:p>
            <w:pPr>
              <w:spacing w:after="0" w:line="228" w:lineRule="auto"/>
              <w:jc w:val="center"/>
            </w:pPr>
            <w:r>
              <w:rPr>
                <w:sz w:val="17"/>
                <w:szCs w:val="17"/>
              </w:rPr>
              <w:t xml:space="preserve">[+0.007, +0.017]</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-0.003</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0.028]</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0.685</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0.818</w:t>
            </w:r>
          </w:p>
          <w:p>
            <w:pPr>
              <w:spacing w:after="0" w:line="228" w:lineRule="auto"/>
              <w:jc w:val="center"/>
            </w:pPr>
            <w:r>
              <w:rPr>
                <w:sz w:val="17"/>
                <w:szCs w:val="17"/>
              </w:rPr>
              <w:t xml:space="preserve">[0.783, 0.863]</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100% / 89%</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VPN / 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7.4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p>
            <w:pPr>
              <w:spacing w:after="0" w:line="228" w:lineRule="auto"/>
              <w:jc w:val="center"/>
            </w:pPr>
            <w:r>
              <w:rPr>
                <w:sz w:val="17"/>
                <w:szCs w:val="17"/>
              </w:rPr>
              <w:t xml:space="preserve">[-0.019, +0.002]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w:t>
            </w:r>
          </w:p>
          <w:p>
            <w:pPr>
              <w:spacing w:after="0" w:line="228" w:lineRule="auto"/>
              <w:jc w:val="center"/>
            </w:pPr>
            <w:r>
              <w:rPr>
                <w:sz w:val="17"/>
                <w:szCs w:val="17"/>
              </w:rPr>
              <w:t xml:space="preserve">[+0.002, +0.009]</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0.015]</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0.735</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0.838</w:t>
            </w:r>
          </w:p>
          <w:p>
            <w:pPr>
              <w:spacing w:after="0" w:line="228" w:lineRule="auto"/>
              <w:jc w:val="center"/>
            </w:pPr>
            <w:r>
              <w:rPr>
                <w:sz w:val="17"/>
                <w:szCs w:val="17"/>
              </w:rPr>
              <w:t xml:space="preserve">[0.808, 0.876]</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100% / 100%</w:t>
            </w:r>
          </w:p>
        </w:tc>
      </w:tr>
    </w:tbl>
    <w:p>
      <w:pPr>
        <w:keepLines/>
        <w:spacing w:before="40" w:after="160" w:line="230" w:lineRule="auto"/>
        <w:jc w:val="both"/>
      </w:pPr>
      <w:r>
        <w:rPr>
          <w:i/>
          <w:iCs/>
          <w:sz w:val="17"/>
          <w:szCs w:val="17"/>
        </w:rPr>
        <w:t xml:space="preserve">Note. </w:t>
      </w:r>
      <m:oMath>
        <m:r>
          <w:rPr>
            <w:rFonts w:ascii="Cambria Math" w:hAnsi="Cambria Math"/>
            <w:sz w:val="17"/>
            <w:szCs w:val="17"/>
          </w:rPr>
          <m:t>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keepNext/>
        <w:spacing w:before="200" w:line="240" w:lineRule="auto"/>
        <w:jc w:val="center"/>
      </w:pPr>
      <w:r>
        <w:rPr>
          <w:sz w:val="20"/>
          <w:szCs w:val="20"/>
        </w:rPr>
        <w:t>TABLE XIII</w:t>
      </w:r>
    </w:p>
    <w:p>
      <w:pPr>
        <w:keepNext/>
        <w:spacing w:after="80" w:line="240" w:lineRule="auto"/>
        <w:jc w:val="center"/>
      </w:pPr>
      <w:r>
        <w:rPr>
          <w:sz w:val="20"/>
          <w:szCs w:val="20"/>
        </w:rPr>
        <w:t xml:space="preserve">List origin by target: decomposition of the Top-k transfer</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00"/>
        <w:gridCol w:w="800"/>
        <w:gridCol w:w="3363"/>
        <w:gridCol w:w="3363"/>
      </w:tblGrid>
      <w:tr>
        <w:trPr>
          <w:cantSplit/>
          <w:tblHeader/>
          <w:jc w:val="center"/>
        </w:trPr>
        <w:tc>
          <w:tcPr>
            <w:tcW w:w="1500" w:type="dxa"/>
            <w:tcBorders>
              <w:top w:val="single" w:sz="6" w:space="0" w:color="000000"/>
              <w:bottom w:val="single" w:sz="6" w:space="0" w:color="000000"/>
            </w:tcBorders>
            <w:vAlign w:val="center"/>
          </w:tcPr>
          <w:p>
            <w:pPr>
              <w:spacing w:after="0" w:line="228" w:lineRule="auto"/>
            </w:pPr>
            <w:r>
              <w:rPr>
                <w:b/>
                <w:bCs/>
                <w:sz w:val="17"/>
                <w:szCs w:val="17"/>
              </w:rPr>
              <w:t xml:space="preserve">Model</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k</w:t>
            </w:r>
          </w:p>
        </w:tc>
        <w:tc>
          <w:tcPr>
            <w:tcW w:w="3363" w:type="dxa"/>
            <w:tcBorders>
              <w:top w:val="single" w:sz="6" w:space="0" w:color="000000"/>
              <w:bottom w:val="single" w:sz="6" w:space="0" w:color="000000"/>
            </w:tcBorders>
            <w:vAlign w:val="center"/>
          </w:tcPr>
          <w:p>
            <w:pPr>
              <w:spacing w:after="0" w:line="228" w:lineRule="auto"/>
              <w:jc w:val="center"/>
            </w:pPr>
            <w:r>
              <w:rPr>
                <w:b/>
                <w:bCs/>
                <w:sz w:val="17"/>
                <w:szCs w:val="17"/>
              </w:rPr>
              <w:t xml:space="preserve">Context-match term</w:t>
            </w:r>
          </w:p>
          <w:p>
            <w:pPr>
              <w:spacing w:after="0" w:line="228" w:lineRule="auto"/>
              <w:jc w:val="center"/>
            </w:pPr>
            <w:r>
              <w:rPr>
                <w:b/>
                <w:bCs/>
                <w:sz w:val="17"/>
                <w:szCs w:val="17"/>
              </w:rPr>
              <w:t xml:space="preserve">mean [min, max]</w:t>
            </w:r>
          </w:p>
        </w:tc>
        <w:tc>
          <w:tcPr>
            <w:tcW w:w="3363" w:type="dxa"/>
            <w:tcBorders>
              <w:top w:val="single" w:sz="6" w:space="0" w:color="000000"/>
              <w:bottom w:val="single" w:sz="6" w:space="0" w:color="000000"/>
            </w:tcBorders>
            <w:vAlign w:val="center"/>
          </w:tcPr>
          <w:p>
            <w:pPr>
              <w:spacing w:after="0" w:line="228" w:lineRule="auto"/>
              <w:jc w:val="center"/>
            </w:pPr>
            <w:r>
              <w:rPr>
                <w:b/>
                <w:bCs/>
                <w:sz w:val="17"/>
                <w:szCs w:val="17"/>
              </w:rPr>
              <w:t xml:space="preserve">VPN-list advantage</w:t>
            </w:r>
          </w:p>
          <w:p>
            <w:pPr>
              <w:spacing w:after="0" w:line="228" w:lineRule="auto"/>
              <w:jc w:val="center"/>
            </w:pPr>
            <w:r>
              <w:rPr>
                <w:b/>
                <w:bCs/>
                <w:sz w:val="17"/>
                <w:szCs w:val="17"/>
              </w:rPr>
              <w:t xml:space="preserve">mean [min, max]</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RF</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5</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+0.020 [+0.018, +0.022]</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+0.036 [+0.033, +0.037]</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RF</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10</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+0.008 [+0.004, +0.013]</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+0.009 [+0.005, +0.012]</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RF</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15</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-0.002 [-0.003, 0.000]</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-0.002 [-0.003, 0.000]</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XGB</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5</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-0.025 [-0.028, -0.021]</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+0.006 [-0.009, +0.016]</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XGB</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10</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+0.010 [-0.001, +0.018]</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+0.001 [-0.001, +0.002]</w:t>
            </w:r>
          </w:p>
        </w:tc>
      </w:tr>
      <w:tr>
        <w:trPr>
          <w:cantSplit/>
          <w:jc w:val="center"/>
        </w:trPr>
        <w:tc>
          <w:tcPr>
            <w:tcW w:w="1500" w:type="dxa"/>
            <w:tcBorders>
              <w:top w:val="single" w:sz="6" w:space="0" w:color="000000"/>
              <w:bottom w:val="single" w:sz="6" w:space="0" w:color="000000"/>
            </w:tcBorders>
            <w:vAlign w:val="center"/>
          </w:tcPr>
          <w:p>
            <w:pPr>
              <w:spacing w:after="0" w:line="228" w:lineRule="auto"/>
            </w:pPr>
            <w:r>
              <w:rPr>
                <w:sz w:val="17"/>
                <w:szCs w:val="17"/>
              </w:rPr>
              <w:t xml:space="preserve">XGB</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15</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+0.001 [0.000, +0.001]</w:t>
            </w:r>
          </w:p>
        </w:tc>
        <w:tc>
          <w:tcPr>
            <w:tcW w:w="3363" w:type="dxa"/>
            <w:tcBorders>
              <w:top w:val="single" w:sz="6" w:space="0" w:color="000000"/>
              <w:bottom w:val="single" w:sz="6" w:space="0" w:color="000000"/>
            </w:tcBorders>
            <w:vAlign w:val="center"/>
          </w:tcPr>
          <w:p>
            <w:pPr>
              <w:spacing w:after="0" w:line="228" w:lineRule="auto"/>
              <w:jc w:val="center"/>
            </w:pPr>
            <w:r>
              <w:rPr>
                <w:sz w:val="17"/>
                <w:szCs w:val="17"/>
              </w:rPr>
              <w:t xml:space="preserve">+0.001 [0.000, +0.002]</w:t>
            </w:r>
          </w:p>
        </w:tc>
      </w:tr>
    </w:tbl>
    <w:p>
      <w:pPr>
        <w:keepLines/>
        <w:spacing w:before="40" w:after="160" w:line="230" w:lineRule="auto"/>
        <w:jc w:val="both"/>
      </w:pPr>
      <w:r>
        <w:rPr>
          <w:i/>
          <w:iCs/>
          <w:sz w:val="17"/>
          <w:szCs w:val="17"/>
        </w:rPr>
        <w:t xml:space="preserve">Note. </w:t>
      </w:r>
      <w:r>
        <w:rPr>
          <w:sz w:val="17"/>
          <w:szCs w:val="17"/>
        </w:rPr>
        <w:t xml:space="preserve">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xmlns:a="http://schemas.openxmlformats.org/drawingml/2006/main" xmlns:pic="http://schemas.openxmlformats.org/drawingml/2006/picture">
      <w:pPr>
        <w:keepNext/>
        <w:spacing w:before="160" w:after="60"/>
        <w:jc w:val="center"/>
      </w:pPr>
      <w:r>
        <w:rPr>
          <w:noProof/>
        </w:rPr>
        <w:drawing>
          <wp:inline distT="0" distB="0" distL="0" distR="0">
            <wp:extent cx="5715000" cy="2044816"/>
            <wp:effectExtent l="0" t="0" r="0" b="0"/>
            <wp:docPr id="908" name="Figure 8"/>
            <wp:cNvGraphicFramePr>
              <a:graphicFrameLocks noChangeAspect="1"/>
            </wp:cNvGraphicFramePr>
            <a:graphic>
              <a:graphicData uri="http://schemas.openxmlformats.org/drawingml/2006/picture">
                <pic:pic>
                  <pic:nvPicPr>
                    <pic:cNvPr id="908" name="Figure 8"/>
                    <pic:cNvPicPr>
                      <a:picLocks noChangeAspect="1" noChangeArrowheads="1"/>
                    </pic:cNvPicPr>
                  </pic:nvPicPr>
                  <pic:blipFill>
                    <a:blip r:embed="rIdRev2Fig8"/>
                    <a:stretch>
                      <a:fillRect/>
                    </a:stretch>
                  </pic:blipFill>
                  <pic:spPr bwMode="auto">
                    <a:xfrm>
                      <a:off x="0" y="0"/>
                      <a:ext cx="5715000" cy="2044816"/>
                    </a:xfrm>
                    <a:prstGeom prst="rect">
                      <a:avLst/>
                    </a:prstGeom>
                    <a:noFill/>
                  </pic:spPr>
                </pic:pic>
              </a:graphicData>
            </a:graphic>
          </wp:inline>
        </w:drawing>
      </w:r>
    </w:p>
    <w:p>
      <w:pPr>
        <w:keepLines/>
        <w:spacing w:after="200" w:line="240" w:lineRule="auto"/>
        <w:jc w:val="both"/>
      </w:pPr>
      <w:r>
        <w:rPr>
          <w:b/>
          <w:bCs/>
          <w:sz w:val="20"/>
          <w:szCs w:val="20"/>
        </w:rPr>
        <w:t xml:space="preserve">Fig. 8. </w:t>
      </w:r>
      <w:r>
        <w:rPr>
          <w:sz w:val="20"/>
          <w:szCs w:val="20"/>
        </w:rPr>
        <w:t xml:space="preserve">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spacing w:before="280" w:after="120"/>
        <w:jc w:val="center"/>
      </w:pPr>
      <w:r>
        <w:t xml:space="preserve">IX. SENTINEL AND ROBUSTNESS CHECKS</w:t>
      </w:r>
    </w:p>
    <w:p>
      <w:pPr>
        <w:spacing w:after="100" w:line="264" w:lineRule="auto"/>
        <w:ind w:firstLine="284"/>
        <w:jc w:val="both"/>
      </w:pPr>
      <w:r>
        <w:t xml:space="preserve">Table XIV collects the sensitivity checks. The two sentinel encodings differ in macro F1 by at most 0.0085, and within one context they rank the 23 original features at </w:t>
      </w:r>
      <m:oMath>
        <m:r>
          <w:rPr>
            <w:rFonts w:ascii="Cambria Math" w:hAnsi="Cambria Math"/>
          </w:rPr>
          <m:t>ρ</m:t>
        </m:r>
      </m:oMath>
      <w: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spacing w:after="100" w:line="264" w:lineRule="auto"/>
        <w:ind w:firstLine="284"/>
        <w:jc w:val="both"/>
      </w:pPr>
      <w:r>
        <w:t xml:space="preserve">How large is the encoding effect? The S1-versus-S2 disagreement, 1 - </w:t>
      </w:r>
      <m:oMath>
        <m:r>
          <w:rPr>
            <w:rFonts w:ascii="Cambria Math" w:hAnsi="Cambria Math"/>
          </w:rPr>
          <m:t>ρ</m:t>
        </m:r>
      </m:oMath>
      <w:r>
        <w:t xml:space="preserve"> = 0.06–0.11, is about 1.5 to 4 times smaller than the cross-context disagreement on the primary split (1 - </w:t>
      </w:r>
      <m:oMath>
        <m:r>
          <w:rPr>
            <w:rFonts w:ascii="Cambria Math" w:hAnsi="Cambria Math"/>
          </w:rPr>
          <m:t>ρ</m:t>
        </m:r>
      </m:oMath>
      <w:r>
        <w:t xml:space="preserve"> = 0.17–0.21). The more relevant comparison is the disagreement between random halves of one context (1 - </w:t>
      </w:r>
      <m:oMath>
        <m:r>
          <w:rPr>
            <w:rFonts w:ascii="Cambria Math" w:hAnsi="Cambria Math"/>
          </w:rPr>
          <m:t>ρ</m:t>
        </m:r>
      </m:oMath>
      <w: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m:oMath>
        <m:r>
          <w:rPr>
            <w:rFonts w:ascii="Cambria Math" w:hAnsi="Cambria Math"/>
          </w:rPr>
          <m:t>ρ</m:t>
        </m:r>
      </m:oMath>
      <w:r>
        <w:t xml:space="preserve"> = 0.8281 under both S1 and S2 for Random Forest, and 0.7915 (S1) and 0.7806 (S2) for XGBoost. We recomputed the identical Random Forest values from the saved rankings; the two rankings differ (Kendall </w:t>
      </w:r>
      <m:oMath>
        <m:sSub>
          <m:e>
            <m:r>
              <w:rPr>
                <w:rFonts w:ascii="Cambria Math" w:hAnsi="Cambria Math"/>
              </w:rPr>
              <m:t>τ</m:t>
            </m:r>
          </m:e>
          <m:sub>
            <m:r>
              <w:rPr>
                <w:rFonts w:ascii="Cambria Math" w:hAnsi="Cambria Math"/>
              </w:rPr>
              <m:t>b</m:t>
            </m:r>
          </m:sub>
        </m:sSub>
      </m:oMath>
      <w:r>
        <w:t xml:space="preserve"> 0.6364 and 0.6285, Top-5 overlap 3 and 2), but their squared rank differences happen to sum to the same total.</w:t>
      </w:r>
    </w:p>
    <w:p>
      <w:pPr>
        <w:spacing w:after="100" w:line="264" w:lineRule="auto"/>
        <w:ind w:firstLine="284"/>
        <w:jc w:val="both"/>
      </w:pPr>
      <w:r>
        <w:t xml:space="preserve">Across the six model and TreeSHAP configurations explained on 500 records, cross-context </w:t>
      </w:r>
      <m:oMath>
        <m:r>
          <w:rPr>
            <w:rFonts w:ascii="Cambria Math" w:hAnsi="Cambria Math"/>
          </w:rPr>
          <m:t>ρ</m:t>
        </m:r>
      </m:oMath>
      <w:r>
        <w:t xml:space="preserve"> ranges from 0.681 to 0.819, and three of five leading features are shared in all six. Within one model and context, path-dependent and interventional rankings agree at </w:t>
      </w:r>
      <m:oMath>
        <m:r>
          <w:rPr>
            <w:rFonts w:ascii="Cambria Math" w:hAnsi="Cambria Math"/>
          </w:rPr>
          <m:t>ρ</m:t>
        </m:r>
      </m:oMath>
      <w:r>
        <w:t xml:space="preserve"> = 0.969–0.984. Extra Trees agrees less well with the path-dependent Random Forest (0.709–0.801). Refitting XGBoost with three other seeds gives mean within-context </w:t>
      </w:r>
      <m:oMath>
        <m:r>
          <w:rPr>
            <w:rFonts w:ascii="Cambria Math" w:hAnsi="Cambria Math"/>
          </w:rPr>
          <m:t>ρ</m:t>
        </m:r>
      </m:oMath>
      <w:r>
        <w:t xml:space="preserve"> of 0.9928 (Non-VPN) and 0.9928 (VPN), so seed noise alone is small, and max_depth = 3 or 10 leaves cross-context </w:t>
      </w:r>
      <m:oMath>
        <m:r>
          <w:rPr>
            <w:rFonts w:ascii="Cambria Math" w:hAnsi="Cambria Math"/>
          </w:rPr>
          <m:t>ρ</m:t>
        </m:r>
      </m:oMath>
      <w: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keepNext/>
        <w:spacing w:before="200" w:line="240" w:lineRule="auto"/>
        <w:jc w:val="center"/>
      </w:pPr>
      <w:r>
        <w:rPr>
          <w:sz w:val="20"/>
          <w:szCs w:val="20"/>
        </w:rPr>
        <w:t>TABLE XIV</w:t>
      </w:r>
    </w:p>
    <w:p>
      <w:pPr>
        <w:keepNext/>
        <w:spacing w:after="80" w:line="240" w:lineRule="auto"/>
        <w:jc w:val="center"/>
      </w:pPr>
      <w:r>
        <w:rPr>
          <w:sz w:val="20"/>
          <w:szCs w:val="20"/>
        </w:rPr>
        <w:t xml:space="preserve">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600"/>
        <w:gridCol w:w="900"/>
        <w:gridCol w:w="1026"/>
      </w:tblGrid>
      <w:tr>
        <w:trPr>
          <w:cantSplit/>
          <w:tblHeader/>
          <w:jc w:val="center"/>
        </w:trPr>
        <w:tc>
          <w:tcPr>
            <w:tcW w:w="2900" w:type="dxa"/>
            <w:tcBorders>
              <w:top w:val="single" w:sz="6" w:space="0" w:color="000000"/>
              <w:bottom w:val="single" w:sz="6" w:space="0" w:color="000000"/>
            </w:tcBorders>
            <w:vAlign w:val="center"/>
          </w:tcPr>
          <w:p>
            <w:pPr>
              <w:spacing w:after="0" w:line="228" w:lineRule="auto"/>
            </w:pPr>
            <w:r>
              <w:rPr>
                <w:b/>
                <w:bCs/>
                <w:sz w:val="17"/>
                <w:szCs w:val="17"/>
              </w:rPr>
              <w:t xml:space="preserve">Configuration</w:t>
            </w:r>
          </w:p>
        </w:tc>
        <w:tc>
          <w:tcPr>
            <w:tcW w:w="135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p>
            <w:pPr>
              <w:spacing w:after="0" w:line="228" w:lineRule="auto"/>
              <w:jc w:val="center"/>
            </w:pPr>
            <w:r>
              <w:rPr>
                <w:b/>
                <w:bCs/>
                <w:sz w:val="17"/>
                <w:szCs w:val="17"/>
              </w:rPr>
              <w:t xml:space="preserve">NV / VPN</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Cross-context </w:t>
            </w:r>
            <m:oMath>
              <m:r>
                <w:rPr>
                  <w:rFonts w:ascii="Cambria Math" w:hAnsi="Cambria Math"/>
                  <w:sz w:val="17"/>
                  <w:szCs w:val="17"/>
                </w:rPr>
                <m:t>ρ</m:t>
              </m:r>
            </m:oMath>
          </w:p>
        </w:tc>
        <w:tc>
          <w:tcPr>
            <w:tcW w:w="1600" w:type="dxa"/>
            <w:tcBorders>
              <w:top w:val="single" w:sz="6" w:space="0" w:color="000000"/>
              <w:bottom w:val="single" w:sz="6" w:space="0" w:color="000000"/>
            </w:tcBorders>
            <w:vAlign w:val="center"/>
          </w:tcPr>
          <w:p>
            <w:pPr>
              <w:spacing w:after="0" w:line="228" w:lineRule="auto"/>
              <w:jc w:val="center"/>
            </w:pPr>
            <w:r>
              <w:rPr>
                <w:b/>
                <w:bCs/>
                <w:sz w:val="17"/>
                <w:szCs w:val="17"/>
              </w:rPr>
              <w:t xml:space="preserve">95% interval</w:t>
            </w:r>
          </w:p>
          <w:p>
            <w:pPr>
              <w:spacing w:after="0" w:line="228" w:lineRule="auto"/>
              <w:jc w:val="center"/>
            </w:pPr>
            <w:r>
              <w:rPr>
                <w:b/>
                <w:bCs/>
                <w:sz w:val="17"/>
                <w:szCs w:val="17"/>
              </w:rPr>
              <w:t xml:space="preserve">(explained records)</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RBO</w:t>
            </w:r>
          </w:p>
        </w:tc>
        <w:tc>
          <w:tcPr>
            <w:tcW w:w="1026" w:type="dxa"/>
            <w:tcBorders>
              <w:top w:val="single" w:sz="6" w:space="0" w:color="000000"/>
              <w:bottom w:val="single" w:sz="6" w:space="0" w:color="000000"/>
            </w:tcBorders>
            <w:vAlign w:val="center"/>
          </w:tcPr>
          <w:p>
            <w:pPr>
              <w:spacing w:after="0" w:line="228" w:lineRule="auto"/>
              <w:jc w:val="center"/>
            </w:pPr>
            <w:r>
              <w:rPr>
                <w:b/>
                <w:bCs/>
                <w:sz w:val="17"/>
                <w:szCs w:val="17"/>
              </w:rPr>
              <w:t xml:space="preserve">Top-5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Primary fits and sentinel encodings (full test partitions)</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raw sentinel (primary)</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0.8300</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0.580</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S1</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0.919 / 0.855</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0.8281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0.639</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S2</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0.920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0.8281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0.564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2/5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raw sentinel (primary)</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0.7856</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0.755</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S1</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0.935 / 0.886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0.7915</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S2</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0.933 / 0.878</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0.7806</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Model and TreeSHAP formulation (500 explained records per context)</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Random Forest,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0.8192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[0.803, 0.841]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0.578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Random Forest,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0.8024</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[0.771, 0.814]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0.7955</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[0.769, 0.804]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0.658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0.7727</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[0.761, 0.794]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Extra Trees,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0.899 / 0.849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0.6808</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[0.633, 0.763]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Extra Trees,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0.899 / 0.849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0.7381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[0.661, 0.771]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0.750</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XGBoost hyperparameters (full test partitions)</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max_depth = 3</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0.928 / 0.864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0.7668</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0.727</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max_depth = 10</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0.931 / 0.872</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0.8034</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bl>
    <w:p>
      <w:pPr>
        <w:keepLines/>
        <w:spacing w:before="40" w:after="160" w:line="230" w:lineRule="auto"/>
        <w:jc w:val="both"/>
      </w:pPr>
      <w:r>
        <w:rPr>
          <w:i/>
          <w:iCs/>
          <w:sz w:val="17"/>
          <w:szCs w:val="17"/>
        </w:rPr>
        <w:t xml:space="preserve">Note. </w:t>
      </w:r>
      <w:r>
        <w:rPr>
          <w:sz w:val="17"/>
          <w:szCs w:val="17"/>
        </w:rPr>
        <w:t xml:space="preserve">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spacing w:before="280" w:after="120"/>
        <w:jc w:val="center"/>
      </w:pPr>
      <w:r>
        <w:t xml:space="preserve">X. SUMMARY AND DISCUSSION</w:t>
      </w:r>
    </w:p>
    <w:p>
      <w:pPr>
        <w:spacing w:after="100" w:line="264" w:lineRule="auto"/>
        <w:ind w:firstLine="284"/>
        <w:jc w:val="both"/>
      </w:pPr>
      <w:r>
        <w:t xml:space="preserve">Table XV collects the main quantities from Sections V to IX in one place.</w:t>
      </w:r>
    </w:p>
    <w:p>
      <w:pPr>
        <w:keepNext/>
        <w:spacing w:before="200" w:line="240" w:lineRule="auto"/>
        <w:jc w:val="center"/>
      </w:pPr>
      <w:r>
        <w:rPr>
          <w:sz w:val="20"/>
          <w:szCs w:val="20"/>
        </w:rPr>
        <w:t>TABLE XV</w:t>
      </w:r>
    </w:p>
    <w:p>
      <w:pPr>
        <w:keepNext/>
        <w:spacing w:after="80" w:line="240" w:lineRule="auto"/>
        <w:jc w:val="center"/>
      </w:pPr>
      <w:r>
        <w:rPr>
          <w:sz w:val="20"/>
          <w:szCs w:val="20"/>
        </w:rPr>
        <w:t xml:space="preserve">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300"/>
        <w:gridCol w:w="1950"/>
        <w:gridCol w:w="1950"/>
        <w:gridCol w:w="826"/>
      </w:tblGrid>
      <w:tr>
        <w:trPr>
          <w:cantSplit/>
          <w:tblHeader/>
          <w:jc w:val="center"/>
        </w:trPr>
        <w:tc>
          <w:tcPr>
            <w:tcW w:w="4300" w:type="dxa"/>
            <w:tcBorders>
              <w:top w:val="single" w:sz="6" w:space="0" w:color="000000"/>
              <w:bottom w:val="single" w:sz="6" w:space="0" w:color="000000"/>
            </w:tcBorders>
            <w:vAlign w:val="center"/>
          </w:tcPr>
          <w:p>
            <w:pPr>
              <w:spacing w:after="0" w:line="228" w:lineRule="auto"/>
            </w:pPr>
            <w:r>
              <w:rPr>
                <w:b/>
                <w:bCs/>
                <w:sz w:val="17"/>
                <w:szCs w:val="17"/>
              </w:rPr>
              <w:t xml:space="preserve">Quantity</w:t>
            </w:r>
          </w:p>
        </w:tc>
        <w:tc>
          <w:tcPr>
            <w:tcW w:w="1950" w:type="dxa"/>
            <w:tcBorders>
              <w:top w:val="single" w:sz="6" w:space="0" w:color="000000"/>
              <w:bottom w:val="single" w:sz="6" w:space="0" w:color="000000"/>
            </w:tcBorders>
            <w:vAlign w:val="center"/>
          </w:tcPr>
          <w:p>
            <w:pPr>
              <w:spacing w:after="0" w:line="228" w:lineRule="auto"/>
              <w:jc w:val="center"/>
            </w:pPr>
            <w:r>
              <w:rPr>
                <w:b/>
                <w:bCs/>
                <w:sz w:val="17"/>
                <w:szCs w:val="17"/>
              </w:rPr>
              <w:t xml:space="preserve">Random Forest</w:t>
            </w:r>
          </w:p>
        </w:tc>
        <w:tc>
          <w:tcPr>
            <w:tcW w:w="1950" w:type="dxa"/>
            <w:tcBorders>
              <w:top w:val="single" w:sz="6" w:space="0" w:color="000000"/>
              <w:bottom w:val="single" w:sz="6" w:space="0" w:color="000000"/>
            </w:tcBorders>
            <w:vAlign w:val="center"/>
          </w:tcPr>
          <w:p>
            <w:pPr>
              <w:spacing w:after="0" w:line="228" w:lineRule="auto"/>
              <w:jc w:val="center"/>
            </w:pPr>
            <w:r>
              <w:rPr>
                <w:b/>
                <w:bCs/>
                <w:sz w:val="17"/>
                <w:szCs w:val="17"/>
              </w:rPr>
              <w:t xml:space="preserve">XGBoost</w:t>
            </w:r>
          </w:p>
        </w:tc>
        <w:tc>
          <w:tcPr>
            <w:tcW w:w="826" w:type="dxa"/>
            <w:tcBorders>
              <w:top w:val="single" w:sz="6" w:space="0" w:color="000000"/>
              <w:bottom w:val="single" w:sz="6" w:space="0" w:color="000000"/>
            </w:tcBorders>
            <w:vAlign w:val="center"/>
          </w:tcPr>
          <w:p>
            <w:pPr>
              <w:spacing w:after="0" w:line="228" w:lineRule="auto"/>
              <w:jc w:val="center"/>
            </w:pPr>
            <w:r>
              <w:rPr>
                <w:b/>
                <w:bCs/>
                <w:sz w:val="17"/>
                <w:szCs w:val="17"/>
              </w:rPr>
              <w:t xml:space="preserve">Section</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Macro F1, Non-VPN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Primary cross-context </w:t>
            </w:r>
            <m:oMath>
              <m:r>
                <w:rPr>
                  <w:rFonts w:ascii="Cambria Math" w:hAnsi="Cambria Math"/>
                  <w:sz w:val="17"/>
                  <w:szCs w:val="17"/>
                </w:rPr>
                <m:t>ρ</m:t>
              </m:r>
            </m:oMath>
            <w:r>
              <w:rPr>
                <w:sz w:val="17"/>
                <w:szCs w:val="17"/>
              </w:rPr>
              <w:t xml:space="preserve"> / RBO / Top-5</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0.830 / 0.580 / 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0.786 / 0.755 / 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VI-B</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Half-split cross-context </w:t>
            </w:r>
            <m:oMath>
              <m:r>
                <w:rPr>
                  <w:rFonts w:ascii="Cambria Math" w:hAnsi="Cambria Math"/>
                  <w:sz w:val="17"/>
                  <w:szCs w:val="17"/>
                </w:rPr>
                <m:t>ρ</m:t>
              </m:r>
            </m:oMath>
            <w:r>
              <w:rPr>
                <w:sz w:val="17"/>
                <w:szCs w:val="17"/>
              </w:rPr>
              <w:t xml:space="preserve"> (mean)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random halves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+0.186 (0.036)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+0.129 (0.028)</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permutation null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+0.028 (0.019)</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-0.002 (0.009)</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grouped ~10 / ~35 / ~140 per cluster</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+0.100 / +0.042 / +0.002</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+0.079 / +0.014 / -0.015</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grouped calibrated to captures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+0.018 (0.084)</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+0.016 (0.039)</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row blocks ~10 / ~35 / ~140 per block</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+0.168 / +0.159 / +0.127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+0.113 / +0.111 / +0.079</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row blocks calibrated to captures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+0.153 (0.030)</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+0.074 (0.015)</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m:oMath>
              <m:r>
                <w:rPr>
                  <w:rFonts w:ascii="Cambria Math" w:hAnsi="Cambria Math"/>
                  <w:sz w:val="17"/>
                  <w:szCs w:val="17"/>
                </w:rPr>
                <m:t>Δ</m:t>
              </m:r>
            </m:oMath>
            <m:oMath>
              <m:r>
                <w:rPr>
                  <w:rFonts w:ascii="Cambria Math" w:hAnsi="Cambria Math"/>
                  <w:sz w:val="17"/>
                  <w:szCs w:val="17"/>
                </w:rPr>
                <m:t>ρ</m:t>
              </m:r>
            </m:oMath>
            <w:r>
              <w:rPr>
                <w:sz w:val="17"/>
                <w:szCs w:val="17"/>
              </w:rPr>
              <w:t xml:space="preserve">, row blocks first vs second half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+0.093 (0.027)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+0.033 (0.024)</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Class-mix swap: change in </w:t>
            </w:r>
            <m:oMath>
              <m:r>
                <w:rPr>
                  <w:rFonts w:ascii="Cambria Math" w:hAnsi="Cambria Math"/>
                  <w:sz w:val="17"/>
                  <w:szCs w:val="17"/>
                </w:rPr>
                <m:t>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-0.035 / -0.007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+0.008 / +0.017</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VI-D</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SHAP share of the three minimum IATs, NV / VPN (%)</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17.0 / 23.3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26.3 / 24.7</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VI-E</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Model transfer macro F1, Non-VPN to VPN / VPN to Non-VPN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0.438 / 0.606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0.430 / 0.613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VIII-A</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Top-10 list transfer, own - transferred F1 (NV / VPN target)</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-0.004 / +0.013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+0.004 / +0.006</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VIII-B</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Top-10 context-match term</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+0.008</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+0.010</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VIII-B</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Within-context </w:t>
            </w:r>
            <m:oMath>
              <m:r>
                <w:rPr>
                  <w:rFonts w:ascii="Cambria Math" w:hAnsi="Cambria Math"/>
                  <w:sz w:val="17"/>
                  <w:szCs w:val="17"/>
                </w:rPr>
                <m:t>ρ</m:t>
              </m:r>
            </m:oMath>
            <w:r>
              <w:rPr>
                <w:sz w:val="17"/>
                <w:szCs w:val="17"/>
              </w:rPr>
              <w:t xml:space="preserve">, S1 vs S2 encoding (NV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0.914 / 0.887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0.942 / 0.943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IX</w:t>
            </w:r>
          </w:p>
        </w:tc>
      </w:tr>
    </w:tbl>
    <w:p>
      <w:pPr>
        <w:keepLines/>
        <w:spacing w:before="40" w:after="160" w:line="230" w:lineRule="auto"/>
        <w:jc w:val="both"/>
      </w:pPr>
      <w:r>
        <w:rPr>
          <w:i/>
          <w:iCs/>
          <w:sz w:val="17"/>
          <w:szCs w:val="17"/>
        </w:rPr>
        <w:t xml:space="preserve">Note. </w:t>
      </w:r>
      <m:oMath>
        <m:r>
          <w:rPr>
            <w:rFonts w:ascii="Cambria Math" w:hAnsi="Cambria Math"/>
            <w:sz w:val="17"/>
            <w:szCs w:val="17"/>
          </w:rPr>
          <m:t>Δ</m:t>
        </m:r>
      </m:oMath>
      <m:oMath>
        <m:r>
          <w:rPr>
            <w:rFonts w:ascii="Cambria Math" w:hAnsi="Cambria Math"/>
            <w:sz w:val="17"/>
            <w:szCs w:val="17"/>
          </w:rPr>
          <m:t>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spacing w:before="180" w:after="80"/>
      </w:pPr>
      <w:r>
        <w:t xml:space="preserve">A. What the References Show</w:t>
      </w:r>
    </w:p>
    <w:p>
      <w:pPr>
        <w:spacing w:after="100" w:line="264" w:lineRule="auto"/>
        <w:ind w:firstLine="284"/>
        <w:jc w:val="both"/>
      </w:pPr>
      <w:r>
        <w:t xml:space="preserve">The answer to the question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shrinks the gap, but by how much depends on the proxy for related flows. Feature clusters remove most of it; at the settings that the capture counts point to the mean gap is close to zero, but the half-models are weak and the gap varies widely, and clusters also separate regions of feature space that a capture split would not. Blocks of consecutive rows in the original files do not use the features and leave the half-models accurate. At the capture-calibrated setting they reduce the gap to 0.07 for XGBoost and 0.15 for Random Forest, and even the first-versus-second-half split leaves 0.03 and 0.09, at or above zero in every repeat. The two proxies disagree, and neither is a capture split: clusters may overcorrect and blocks may undercorrect. Together they indicate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pinned down, and because the contexts are different sets of captures it cannot be attributed to tunnelling. A random within-context split, which is the usual way such references are built, would have overstated it.</w:t>
      </w:r>
    </w:p>
    <w:p>
      <w:pPr>
        <w:pStyle w:val="Heading2"/>
        <w:keepNext/>
        <w:spacing w:before="180" w:after="80"/>
      </w:pPr>
      <w:r>
        <w:t xml:space="preserve">B. Accuracy and Correlation Do Not Guarantee Consistent Explanations</w:t>
      </w:r>
    </w:p>
    <w:p>
      <w:pPr>
        <w:spacing w:after="100" w:line="264" w:lineRule="auto"/>
        <w:ind w:firstLine="284"/>
        <w:jc w:val="both"/>
      </w:pPr>
      <w:r>
        <w:t xml:space="preserve">Predictive accuracy, whole-ranking correlation and agreement among the leading features are separate properties. A cross-context Spearman of about 0.8 coexists with three shared Top-5 features and an RBO of 0.58–0.75, and the leading features themselves change with the explanation method: the minimum IATs that rise most under SHAP move much less under marginal or conditional permutation importance. Reporting performance, whole-ranking and top-weighted agreement, a within-context reference built from data that is as independent as possible, and a second importance measure gives a fuller picture than any one summary.</w:t>
      </w:r>
    </w:p>
    <w:p>
      <w:pPr>
        <w:pStyle w:val="Heading2"/>
        <w:keepNext/>
        <w:spacing w:before="180" w:after="80"/>
      </w:pPr>
      <w:r>
        <w:t xml:space="preserve">C. Correlated Features and the Role of Grouping</w:t>
      </w:r>
    </w:p>
    <w:p>
      <w:pPr>
        <w:spacing w:after="100" w:line="264" w:lineRule="auto"/>
        <w:ind w:firstLine="284"/>
        <w:jc w:val="both"/>
      </w:pPr>
      <w:r>
        <w:t xml:space="preserve">Aggregation into semantic families narrows the gaps, but a family-level ranking measures something different from a feature ranking, and the family definitions decide which differences get hidden. Summing favours large families, per-member means and correlation-based clusters give larger gaps, and moving two correlated totals into the duration family changes which family leads. Correlated features also complicate the reading of single-feature shifts: for XGBoost the three minimum IATs keep their combined share across contexts, whereas for Random Forest the block gains importance. Grouping also acts differently on families: the XGBoost summed-family gap does not shrink with clusters of about ten flows, so the reading in terms of related-flow redundancy applies to it less clearly than to the feature-level gaps. Family-level conclusions should be stated together with the grouping rule and the family sizes.</w:t>
      </w:r>
    </w:p>
    <w:p>
      <w:pPr>
        <w:pStyle w:val="Heading2"/>
        <w:keepNext/>
        <w:spacing w:before="180" w:after="80"/>
      </w:pPr>
      <w:r>
        <w:t xml:space="preserve">D. Do Explanation Differences Matter?</w:t>
      </w:r>
    </w:p>
    <w:p>
      <w:pPr>
        <w:spacing w:after="100" w:line="264" w:lineRule="auto"/>
        <w:ind w:firstLine="284"/>
        <w:jc w:val="both"/>
      </w:pPr>
      <w:r>
        <w:t xml:space="preserve">The two consequence tests point in different directions. A trained model does not survive the change of context: macro F1 falls to 0.43–0.61. A SHAP-selected feature list mostly does. At k = 10 and 15 the transferred list loses at most about 0.013 macro F1 on average across selection seeds (0.017 for the worst single seed), and for some targets it does better than the own list. Read as a list-by-target design, the effect of matching the list to its context is small at k = 10 (+0.008 for Random Forest and +0.010 for XGBoost), and the largest per-target cost, for the VPN Random Forest, mostly reflects a Non-VPN list that is weaker on both targets. At k = 5, where the lists differ in two of five features, single contrasts reach 0.05, so the conclusion holds only for moderately long lists.</w:t>
      </w:r>
    </w:p>
    <w:p>
      <w:pPr>
        <w:pStyle w:val="Heading2"/>
        <w:keepNext/>
        <w:spacing w:before="180" w:after="80"/>
      </w:pPr>
      <w:r>
        <w:t xml:space="preserve">E. Implications for Explainable Network Security Systems</w:t>
      </w:r>
    </w:p>
    <w:p>
      <w:pPr>
        <w:spacing w:after="100" w:line="264" w:lineRule="auto"/>
        <w:ind w:firstLine="284"/>
        <w:jc w:val="both"/>
      </w:pPr>
      <w:r>
        <w:t xml:space="preserve">An explanation report for a traffic classifier should name the observation context, the fitted model, the attribution formulation, the encoding of undefined statistics and any aggregation rule. Consistency claims need a reference, and that reference should be built from data that does not share sessions with itself; a random split of correlated flows will overstate within-context agreement. Where an explanation drives a decision, such as pruning features, the decision should be checked on held-out data from the target context, and a deployed model should not be expected to transfer to a differently observed context because its explanations look similar.</w:t>
      </w:r>
    </w:p>
    <w:p>
      <w:pPr>
        <w:pStyle w:val="Heading1"/>
        <w:keepNext/>
        <w:spacing w:before="280" w:after="120"/>
        <w:jc w:val="center"/>
      </w:pPr>
      <w:r>
        <w:t xml:space="preserve">XI. THREATS TO VALIDITY AND LIMITATIONS</w:t>
      </w:r>
    </w:p>
    <w:p>
      <w:pPr>
        <w:spacing w:after="100" w:line="264" w:lineRule="auto"/>
        <w:ind w:firstLine="284"/>
        <w:jc w:val="both"/>
      </w:pPr>
      <w:r>
        <w:rPr>
          <w:b/>
          <w:bCs/>
        </w:rPr>
        <w:t xml:space="preserve">Session dependence and the missing group split.</w:t>
      </w:r>
      <w:r>
        <w:t xml:space="preserve"> This is the most serious limitation, and it decides the main conclusion. The processed files carry no session or capture identifiers, so no reference in this paper is a true group split. Both groupings are proxies. Fine clusters may still let related flows cross the split, and coarse clusters also separate regions of feature space that a session split would not; at the settings the capture counts point to, the cluster half-models are weak. Blocks of consecutive rows rest on our inference, from the similarity of neighbouring rows, that the original files keep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pPr>
        <w:spacing w:after="100" w:line="264" w:lineRule="auto"/>
        <w:ind w:firstLine="284"/>
        <w:jc w:val="both"/>
      </w:pPr>
      <w:r>
        <w:rPr>
          <w:b/>
          <w:bCs/>
        </w:rPr>
        <w:t xml:space="preserve">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spacing w:after="100" w:line="264" w:lineRule="auto"/>
        <w:ind w:firstLine="284"/>
        <w:jc w:val="both"/>
      </w:pPr>
      <w:r>
        <w:rPr>
          <w:b/>
          <w:bCs/>
        </w:rPr>
        <w:t xml:space="preserve">Class distribution.</w:t>
      </w:r>
      <w: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spacing w:after="100" w:line="264" w:lineRule="auto"/>
        <w:ind w:firstLine="284"/>
        <w:jc w:val="both"/>
      </w:pPr>
      <w:r>
        <w:rPr>
          <w:b/>
          <w:bCs/>
        </w:rPr>
        <w:t xml:space="preserve">Correlated features and aggregation.</w:t>
      </w:r>
      <w: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spacing w:after="100" w:line="264" w:lineRule="auto"/>
        <w:ind w:firstLine="284"/>
        <w:jc w:val="both"/>
      </w:pPr>
      <w:r>
        <w:rPr>
          <w:b/>
          <w:bCs/>
        </w:rPr>
        <w:t xml:space="preserve">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spacing w:after="100" w:line="264" w:lineRule="auto"/>
        <w:ind w:firstLine="284"/>
        <w:jc w:val="both"/>
      </w:pPr>
      <w:r>
        <w:rPr>
          <w:b/>
          <w:bCs/>
        </w:rPr>
        <w:t xml:space="preserve">Consequence tests.</w:t>
      </w:r>
      <w: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pPr>
        <w:spacing w:after="100" w:line="264" w:lineRule="auto"/>
        <w:ind w:firstLine="284"/>
        <w:jc w:val="both"/>
      </w:pPr>
      <w:r>
        <w:rPr>
          <w:b/>
          <w:bCs/>
        </w:rPr>
        <w:t xml:space="preserve">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spacing w:after="100" w:line="264" w:lineRule="auto"/>
        <w:ind w:firstLine="284"/>
        <w:jc w:val="both"/>
      </w:pPr>
      <w:r>
        <w:rPr>
          <w:b/>
          <w:bCs/>
        </w:rPr>
        <w:t xml:space="preserve">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spacing w:before="280" w:after="120"/>
        <w:jc w:val="center"/>
      </w:pPr>
      <w:r>
        <w:t xml:space="preserve">XII. CONCLUSION AND FUTURE WORK</w:t>
      </w:r>
    </w:p>
    <w:p>
      <w:pPr>
        <w:spacing w:after="100" w:line="264" w:lineRule="auto"/>
        <w:ind w:firstLine="284"/>
        <w:jc w:val="both"/>
      </w:pPr>
      <w:r>
        <w:t xml:space="preserve">We asked whether a classifier explains the same seven application categories with the same features when traffic is observed with and without a VPN, using the ISCX VPN-nonVPN benchmark and its 23 time-related flow features.</w:t>
      </w:r>
    </w:p>
    <w:p>
      <w:pPr>
        <w:spacing w:after="100" w:line="264" w:lineRule="auto"/>
        <w:ind w:firstLine="284"/>
        <w:jc w:val="both"/>
      </w:pPr>
      <w:r>
        <w:t xml:space="preserve">Both ensembles lose performance under VPN (XGBoost macro F1 0.9340 to 0.8836, Random Forest 0.9171 to 0.8533), and a model trained in one context reaches only 0.43–0.61 macro F1 in the other. The primary SHAP rankings are related across contexts but not interchangeable: Spearman </w:t>
      </w:r>
      <m:oMath>
        <m:r>
          <w:rPr>
            <w:rFonts w:ascii="Cambria Math" w:hAnsi="Cambria Math"/>
          </w:rPr>
          <m:t>ρ</m:t>
        </m:r>
      </m:oMath>
      <w:r>
        <w:t xml:space="preserve"> is 0.83 and 0.79, RBO 0.58 and 0.75, and each model keeps three of its five leading features.</w:t>
      </w:r>
    </w:p>
    <w:p>
      <w:pPr>
        <w:spacing w:after="100" w:line="264" w:lineRule="auto"/>
        <w:ind w:firstLine="284"/>
        <w:jc w:val="both"/>
      </w:pPr>
      <w:r>
        <w:t xml:space="preserve">Whether this disagreement reflects the context depends on the reference. Against random halves of one context the feature-level gap is 0.13 for XGBoost and 0.19 for Random Forest over 11 repeats with redrawn partitions, and a permutation null that keeps the class mixes gives little or none. Keeping related flows together shrinks the gap. With clusters of similar flows it falls to 0.08–0.10 with about ten flows per cluster and 0.01–0.04 with about 35, and its mean is close to zero at the granularity suggested by the capture counts, where the half-models are weak. With blocks of consecutive flows in the original files, which do not use the features, it is 0.07 and 0.15 at that granularity and 0.03 and 0.09 when each class is split into its first and second half, at or above zero in every repeat. Top-weighted RBO gaps and the XGBoost family-level gap shrink less than the Spearman gap under clusters. Class mix explains little. The most visible shift, the rise of the minimum IATs, is largely a redistribution of Shapley credit for XGBoost, whereas for Random Forest the block of minimum IATs also gains importance. A SHAP-selected feature list transfers between contexts at a cost of at most about 0.013 macro F1 on average across selection seeds for lists of ten or more features, and the effect of matching a list to its context is small.</w:t>
      </w:r>
    </w:p>
    <w:p>
      <w:pPr>
        <w:spacing w:after="100" w:line="264" w:lineRule="auto"/>
        <w:ind w:firstLine="284"/>
        <w:jc w:val="both"/>
      </w:pPr>
      <w:r>
        <w:t xml:space="preserve">On this benchmark, then, part of the random-split gap between SHAP rankings reflects variation between groups of related flows within a context, and how much remains depends on how related flows are grouped: about none under coarse feature clusters, and a positive excess under grouping by position in the original files. None of the differences can be attributed to tunnelling, and the proxy experiments here cannot settle how large a true between-session effect is. Settling the question requires captures that keep session identifiers or a second independent capture of both contexts, more recent traffic, and class-specific explanations.</w:t>
      </w:r>
    </w:p>
    <w:p>
      <w:pPr>
        <w:pStyle w:val="Heading1"/>
        <w:keepNext/>
        <w:spacing w:before="280" w:after="120"/>
        <w:jc w:val="center"/>
      </w:pPr>
      <w:r>
        <w:t xml:space="preserve">REFERENCES</w:t>
      </w:r>
    </w:p>
    <w:p w14:paraId="02283137" w14:textId="77777777" w:rsidR="004404F3" w:rsidRDefault="00000000">
      <w:pPr>
        <w:tabs>
          <w:tab w:val="left" w:pos="460"/>
        </w:tabs>
        <w:spacing w:after="30" w:line="228" w:lineRule="auto"/>
        <w:ind w:left="460" w:hanging="460"/>
      </w:pPr>
      <w:r>
        <w:rPr>
          <w:sz w:val="18"/>
          <w:szCs w:val="18"/>
        </w:rPr>
        <w:t>[1]</w:t>
        <w:tab/>
        <w:t xml:space="preserve">P. Velan, M. Čermák, P. Čeleda, and M. Drašar, “A survey of methods for encrypted traffic classification and analysis,” </w:t>
      </w:r>
      <w:r>
        <w:rPr>
          <w:i/>
          <w:iCs/>
          <w:sz w:val="18"/>
          <w:szCs w:val="18"/>
        </w:rPr>
        <w:t xml:space="preserve">Int. J. Netw. Manage.</w:t>
      </w:r>
      <w:r>
        <w:rPr>
          <w:sz w:val="18"/>
          <w:szCs w:val="18"/>
        </w:rPr>
        <w:t xml:space="preserve">, vol. 25, no. 5, pp. 355-374, 2015, doi: 10.1002/nem.1901.</w:t>
      </w:r>
    </w:p>
    <w:p w14:paraId="5AF4C041" w14:textId="77777777" w:rsidR="004404F3" w:rsidRDefault="00000000">
      <w:pPr>
        <w:tabs>
          <w:tab w:val="left" w:pos="460"/>
        </w:tabs>
        <w:spacing w:after="30" w:line="228" w:lineRule="auto"/>
        <w:ind w:left="460" w:hanging="460"/>
      </w:pPr>
      <w:r>
        <w:rPr>
          <w:sz w:val="18"/>
          <w:szCs w:val="18"/>
        </w:rPr>
        <w:t>[2]</w:t>
        <w:tab/>
        <w:t xml:space="preserve">S. Rezaei and X. Liu, “Deep learning for encrypted traffic classification: An overview,” </w:t>
      </w:r>
      <w:r>
        <w:rPr>
          <w:i/>
          <w:iCs/>
          <w:sz w:val="18"/>
          <w:szCs w:val="18"/>
        </w:rPr>
        <w:t>IEEE Commun. Mag.</w:t>
      </w:r>
      <w:r>
        <w:rPr>
          <w:sz w:val="18"/>
          <w:szCs w:val="18"/>
        </w:rPr>
        <w:t xml:space="preserve">, vol. 57, no. 5, pp. 76-81, 2019, doi: 10.1109/MCOM.2019.1800819.</w:t>
      </w:r>
    </w:p>
    <w:p w14:paraId="7A805D12" w14:textId="77777777" w:rsidR="004404F3" w:rsidRDefault="00000000">
      <w:pPr>
        <w:tabs>
          <w:tab w:val="left" w:pos="460"/>
        </w:tabs>
        <w:spacing w:after="30" w:line="228" w:lineRule="auto"/>
        <w:ind w:left="460" w:hanging="460"/>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xml:space="preserve">, vol. 10, no. 4, pp. 56-76, 2008, doi: 10.1109/SURV.2008.080406.</w:t>
      </w:r>
    </w:p>
    <w:p w14:paraId="297F7C1E" w14:textId="77777777" w:rsidR="004404F3" w:rsidRDefault="00000000">
      <w:pPr>
        <w:tabs>
          <w:tab w:val="left" w:pos="460"/>
        </w:tabs>
        <w:spacing w:after="30" w:line="228" w:lineRule="auto"/>
        <w:ind w:left="460" w:hanging="460"/>
      </w:pPr>
      <w:r>
        <w:rPr>
          <w:sz w:val="18"/>
          <w:szCs w:val="18"/>
        </w:rPr>
        <w:t>[4]</w:t>
        <w:tab/>
        <w:t xml:space="preserve">G. Draper-Gil, A. H. Lashkari, M. S. I. Mamun, and A. A. Ghorbani, “Characterization of encrypted and VPN traffic using time-related features,” in </w:t>
      </w:r>
      <w:r>
        <w:rPr>
          <w:i/>
          <w:iCs/>
          <w:sz w:val="18"/>
          <w:szCs w:val="18"/>
        </w:rPr>
        <w:t xml:space="preserve">Proc. 2nd Int. Conf. Inf. Syst. Secur. Privacy (ICISSP)</w:t>
      </w:r>
      <w:r>
        <w:rPr>
          <w:sz w:val="18"/>
          <w:szCs w:val="18"/>
        </w:rPr>
        <w:t xml:space="preserve">, Rome, Italy, 2016, pp. 407-414, doi: 10.5220/0005740704070414.</w:t>
      </w:r>
    </w:p>
    <w:p w14:paraId="1AC9590D" w14:textId="77777777" w:rsidR="004404F3" w:rsidRDefault="00000000">
      <w:pPr>
        <w:tabs>
          <w:tab w:val="left" w:pos="460"/>
        </w:tabs>
        <w:spacing w:after="30" w:line="228" w:lineRule="auto"/>
        <w:ind w:left="460" w:hanging="460"/>
      </w:pPr>
      <w:r>
        <w:rPr>
          <w:sz w:val="18"/>
          <w:szCs w:val="18"/>
        </w:rPr>
        <w:t>[5]</w:t>
        <w:tab/>
        <w:t xml:space="preserve">W. Wang, M. Zhu, J. Wang, X. Zeng, and Z. Yang, “End-to-end encrypted traffic classification with one-dimensional convolution neural networks,” in </w:t>
      </w:r>
      <w:r>
        <w:rPr>
          <w:i/>
          <w:iCs/>
          <w:sz w:val="18"/>
          <w:szCs w:val="18"/>
        </w:rPr>
        <w:t xml:space="preserve">Proc. IEEE Int. Conf. Intell. Secur. Informat. (ISI)</w:t>
      </w:r>
      <w:r>
        <w:rPr>
          <w:sz w:val="18"/>
          <w:szCs w:val="18"/>
        </w:rPr>
        <w:t xml:space="preserve">, 2017, pp. 43-48, doi: 10.1109/ISI.2017.8004872.</w:t>
      </w:r>
    </w:p>
    <w:p w14:paraId="396A0C82" w14:textId="77777777" w:rsidR="004404F3" w:rsidRDefault="00000000">
      <w:pPr>
        <w:tabs>
          <w:tab w:val="left" w:pos="460"/>
        </w:tabs>
        <w:spacing w:after="30" w:line="228" w:lineRule="auto"/>
        <w:ind w:left="460" w:hanging="460"/>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 xml:space="preserve">IEEE Trans. Netw. Service Manag.</w:t>
      </w:r>
      <w:r>
        <w:rPr>
          <w:sz w:val="18"/>
          <w:szCs w:val="18"/>
        </w:rPr>
        <w:t xml:space="preserve">, vol. 16, no. 2, pp. 445-458, 2019, doi: 10.1109/TNSM.2019.2899085.</w:t>
      </w:r>
    </w:p>
    <w:p w14:paraId="346EA753" w14:textId="77777777" w:rsidR="004404F3" w:rsidRDefault="00000000">
      <w:pPr>
        <w:tabs>
          <w:tab w:val="left" w:pos="460"/>
        </w:tabs>
        <w:spacing w:after="30" w:line="228" w:lineRule="auto"/>
        <w:ind w:left="460" w:hanging="460"/>
      </w:pPr>
      <w:r>
        <w:rPr>
          <w:sz w:val="18"/>
          <w:szCs w:val="18"/>
        </w:rPr>
        <w:t>[7]</w:t>
        <w:tab/>
        <w:t xml:space="preserve">M. Lotfollahi, M. J. Siavoshani, R. S. H. Zade, and M. Saberian, “Deep packet: A novel approach for encrypted traffic classification using deep learning,” </w:t>
      </w:r>
      <w:r>
        <w:rPr>
          <w:i/>
          <w:iCs/>
          <w:sz w:val="18"/>
          <w:szCs w:val="18"/>
        </w:rPr>
        <w:t xml:space="preserve">Soft Comput.</w:t>
      </w:r>
      <w:r>
        <w:rPr>
          <w:sz w:val="18"/>
          <w:szCs w:val="18"/>
        </w:rPr>
        <w:t xml:space="preserve">, vol. 24, no. 3, pp. 1999-2012, 2020, doi: 10.1007/s00500-019-04030-2.</w:t>
      </w:r>
    </w:p>
    <w:p w14:paraId="1415FBAA" w14:textId="77777777" w:rsidR="004404F3" w:rsidRDefault="00000000">
      <w:pPr>
        <w:tabs>
          <w:tab w:val="left" w:pos="460"/>
        </w:tabs>
        <w:spacing w:after="30" w:line="228" w:lineRule="auto"/>
        <w:ind w:left="460" w:hanging="460"/>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2A645A70" w14:textId="77777777" w:rsidR="004404F3" w:rsidRDefault="00000000">
      <w:pPr>
        <w:tabs>
          <w:tab w:val="left" w:pos="460"/>
        </w:tabs>
        <w:spacing w:after="30" w:line="228" w:lineRule="auto"/>
        <w:ind w:left="460" w:hanging="460"/>
      </w:pPr>
      <w:r>
        <w:rPr>
          <w:sz w:val="18"/>
          <w:szCs w:val="18"/>
        </w:rPr>
        <w:t>[9]</w:t>
        <w:tab/>
        <w:t xml:space="preserve">A. Warnecke, D. Arp, C. Wressnegger, and K. Rieck, “Evaluating explanation methods for deep learning in security,” in </w:t>
      </w:r>
      <w:r>
        <w:rPr>
          <w:i/>
          <w:iCs/>
          <w:sz w:val="18"/>
          <w:szCs w:val="18"/>
        </w:rPr>
        <w:t xml:space="preserve">Proc. IEEE Eur. Symp. Secur. Privacy (EuroS&amp;P)</w:t>
      </w:r>
      <w:r>
        <w:rPr>
          <w:sz w:val="18"/>
          <w:szCs w:val="18"/>
        </w:rPr>
        <w:t>, 2020, pp. 158-174.</w:t>
      </w:r>
    </w:p>
    <w:p w14:paraId="66EE3E92" w14:textId="77777777" w:rsidR="004404F3" w:rsidRDefault="00000000">
      <w:pPr>
        <w:tabs>
          <w:tab w:val="left" w:pos="460"/>
        </w:tabs>
        <w:spacing w:after="30" w:line="228" w:lineRule="auto"/>
        <w:ind w:left="460" w:hanging="460"/>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5CE3569B" w14:textId="77777777" w:rsidR="004404F3" w:rsidRDefault="00000000">
      <w:pPr>
        <w:tabs>
          <w:tab w:val="left" w:pos="460"/>
        </w:tabs>
        <w:spacing w:after="30" w:line="228" w:lineRule="auto"/>
        <w:ind w:left="460" w:hanging="460"/>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187E63E9" w14:textId="77777777" w:rsidR="004404F3" w:rsidRDefault="00000000">
      <w:pPr>
        <w:tabs>
          <w:tab w:val="left" w:pos="460"/>
        </w:tabs>
        <w:spacing w:after="30" w:line="228" w:lineRule="auto"/>
        <w:ind w:left="460" w:hanging="460"/>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 xml:space="preserve">IEEE Trans. Netw. Service Manag.</w:t>
      </w:r>
      <w:r>
        <w:rPr>
          <w:sz w:val="18"/>
          <w:szCs w:val="18"/>
        </w:rPr>
        <w:t>, vol. 18, no. 4, pp. 4225-4246, 2021.</w:t>
      </w:r>
    </w:p>
    <w:p w14:paraId="43CB8ED4" w14:textId="77777777" w:rsidR="004404F3" w:rsidRDefault="00000000">
      <w:pPr>
        <w:tabs>
          <w:tab w:val="left" w:pos="460"/>
        </w:tabs>
        <w:spacing w:after="30" w:line="228" w:lineRule="auto"/>
        <w:ind w:left="460" w:hanging="460"/>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733322CB" w14:textId="77777777" w:rsidR="004404F3" w:rsidRDefault="00000000">
      <w:pPr>
        <w:tabs>
          <w:tab w:val="left" w:pos="460"/>
        </w:tabs>
        <w:spacing w:after="30" w:line="228" w:lineRule="auto"/>
        <w:ind w:left="460" w:hanging="460"/>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xml:space="preserve">, vol. 2, no. 1, pp. 56-67, 2020, doi: 10.1038/s42256-019-0138-9.</w:t>
      </w:r>
    </w:p>
    <w:p w14:paraId="0BCAC667" w14:textId="77777777" w:rsidR="004404F3" w:rsidRDefault="00000000">
      <w:pPr>
        <w:tabs>
          <w:tab w:val="left" w:pos="460"/>
        </w:tabs>
        <w:spacing w:after="30" w:line="228" w:lineRule="auto"/>
        <w:ind w:left="460" w:hanging="460"/>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14:paraId="7D2A0C3F" w14:textId="77777777" w:rsidR="004404F3" w:rsidRDefault="00000000">
      <w:pPr>
        <w:tabs>
          <w:tab w:val="left" w:pos="460"/>
        </w:tabs>
        <w:spacing w:after="30" w:line="228" w:lineRule="auto"/>
        <w:ind w:left="460" w:hanging="460"/>
      </w:pPr>
      <w:r>
        <w:rPr>
          <w:sz w:val="18"/>
          <w:szCs w:val="18"/>
        </w:rPr>
        <w:t>[16]</w:t>
        <w:tab/>
        <w:t xml:space="preserve">A. Ghorbani, A. Abid, and J. Zou, “Interpretation of neural networks is fragile,” in </w:t>
      </w:r>
      <w:r>
        <w:rPr>
          <w:i/>
          <w:iCs/>
          <w:sz w:val="18"/>
          <w:szCs w:val="18"/>
        </w:rPr>
        <w:t xml:space="preserve">Proc. AAAI Conf. Artif. Intell.</w:t>
      </w:r>
      <w:r>
        <w:rPr>
          <w:sz w:val="18"/>
          <w:szCs w:val="18"/>
        </w:rPr>
        <w:t>, vol. 33, 2019, pp. 3681-3688.</w:t>
      </w:r>
    </w:p>
    <w:p w14:paraId="5124BAE1" w14:textId="77777777" w:rsidR="004404F3" w:rsidRDefault="00000000">
      <w:pPr>
        <w:tabs>
          <w:tab w:val="left" w:pos="460"/>
        </w:tabs>
        <w:spacing w:after="30" w:line="228" w:lineRule="auto"/>
        <w:ind w:left="460" w:hanging="460"/>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09223C75" w14:textId="77777777" w:rsidR="004404F3" w:rsidRDefault="00000000">
      <w:pPr>
        <w:tabs>
          <w:tab w:val="left" w:pos="460"/>
        </w:tabs>
        <w:spacing w:after="30" w:line="228" w:lineRule="auto"/>
        <w:ind w:left="460" w:hanging="460"/>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xml:space="preserve">, vol. 298, Art. no. 103502, 2021, doi: 10.1016/j.artint.2021.103502.</w:t>
      </w:r>
    </w:p>
    <w:p w14:paraId="01760B81" w14:textId="77777777" w:rsidR="004404F3" w:rsidRDefault="00000000">
      <w:pPr>
        <w:tabs>
          <w:tab w:val="left" w:pos="460"/>
        </w:tabs>
        <w:spacing w:after="30" w:line="228" w:lineRule="auto"/>
        <w:ind w:left="460" w:hanging="460"/>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14:paraId="28A413C7" w14:textId="77777777" w:rsidR="004404F3" w:rsidRDefault="00000000">
      <w:pPr>
        <w:tabs>
          <w:tab w:val="left" w:pos="460"/>
        </w:tabs>
        <w:spacing w:after="30" w:line="228" w:lineRule="auto"/>
        <w:ind w:left="460" w:hanging="460"/>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399790D0" w14:textId="77777777" w:rsidR="004404F3" w:rsidRDefault="00000000">
      <w:pPr>
        <w:tabs>
          <w:tab w:val="left" w:pos="460"/>
        </w:tabs>
        <w:spacing w:after="30" w:line="228" w:lineRule="auto"/>
        <w:ind w:left="460" w:hanging="460"/>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069B408A" w14:textId="77777777" w:rsidR="004404F3" w:rsidRDefault="00000000">
      <w:pPr>
        <w:tabs>
          <w:tab w:val="left" w:pos="460"/>
        </w:tabs>
        <w:spacing w:after="30" w:line="228" w:lineRule="auto"/>
        <w:ind w:left="460" w:hanging="460"/>
      </w:pPr>
      <w:r>
        <w:rPr>
          <w:sz w:val="18"/>
          <w:szCs w:val="18"/>
        </w:rPr>
        <w:t>[22]</w:t>
        <w:tab/>
        <w:t xml:space="preserve">J. Holland, P. Schmitt, N. Feamster, and P. Mittal, “New directions in automated traffic analysis,” in </w:t>
      </w:r>
      <w:r>
        <w:rPr>
          <w:i/>
          <w:iCs/>
          <w:sz w:val="18"/>
          <w:szCs w:val="18"/>
        </w:rPr>
        <w:t xml:space="preserve">Proc. ACM SIGSAC Conf. Comput. Commun. Secur. (CCS)</w:t>
      </w:r>
      <w:r>
        <w:rPr>
          <w:sz w:val="18"/>
          <w:szCs w:val="18"/>
        </w:rPr>
        <w:t>, 2021, pp. 3366-3383.</w:t>
      </w:r>
    </w:p>
    <w:p w14:paraId="0D079626" w14:textId="77777777" w:rsidR="004404F3" w:rsidRDefault="00000000">
      <w:pPr>
        <w:tabs>
          <w:tab w:val="left" w:pos="460"/>
        </w:tabs>
        <w:spacing w:after="30" w:line="228" w:lineRule="auto"/>
        <w:ind w:left="460" w:hanging="460"/>
      </w:pPr>
      <w:r>
        <w:rPr>
          <w:sz w:val="18"/>
          <w:szCs w:val="18"/>
        </w:rPr>
        <w:t>[23]</w:t>
        <w:tab/>
        <w:t xml:space="preserve">A. S. Jacobs, R. Beltiukov, W. Willinger, R. A. Ferreira, A. Gupta, and L. Z. Granville, “AI/ML for network security: The emperor has no clothes,” in </w:t>
      </w:r>
      <w:r>
        <w:rPr>
          <w:i/>
          <w:iCs/>
          <w:sz w:val="18"/>
          <w:szCs w:val="18"/>
        </w:rPr>
        <w:t xml:space="preserve">Proc. ACM SIGSAC Conf. Comput. Commun. Secur. (CCS)</w:t>
      </w:r>
      <w:r>
        <w:rPr>
          <w:sz w:val="18"/>
          <w:szCs w:val="18"/>
        </w:rPr>
        <w:t>, 2022, pp. 1537-1551.</w:t>
      </w:r>
    </w:p>
    <w:p w14:paraId="7717E321" w14:textId="77777777" w:rsidR="004404F3" w:rsidRDefault="00000000">
      <w:pPr>
        <w:tabs>
          <w:tab w:val="left" w:pos="460"/>
        </w:tabs>
        <w:spacing w:after="30" w:line="228" w:lineRule="auto"/>
        <w:ind w:left="460" w:hanging="460"/>
      </w:pPr>
      <w:r>
        <w:rPr>
          <w:sz w:val="18"/>
          <w:szCs w:val="18"/>
        </w:rPr>
        <w:t>[24]</w:t>
        <w:tab/>
        <w:t xml:space="preserve">A. H. Lashkari, G. Draper-Gil, M. S. I. Mamun, and A. A. Ghorbani, “Characterization of Tor traffic using time based features,” in </w:t>
      </w:r>
      <w:r>
        <w:rPr>
          <w:i/>
          <w:iCs/>
          <w:sz w:val="18"/>
          <w:szCs w:val="18"/>
        </w:rPr>
        <w:t xml:space="preserve">Proc. 3rd Int. Conf. Inf. Syst. Secur. Privacy (ICISSP)</w:t>
      </w:r>
      <w:r>
        <w:rPr>
          <w:sz w:val="18"/>
          <w:szCs w:val="18"/>
        </w:rPr>
        <w:t>, Porto, Portugal, 2017, pp. 253-262.</w:t>
      </w:r>
    </w:p>
    <w:p w14:paraId="6A715316" w14:textId="77777777" w:rsidR="004404F3" w:rsidRDefault="00000000">
      <w:pPr>
        <w:tabs>
          <w:tab w:val="left" w:pos="460"/>
        </w:tabs>
        <w:spacing w:after="30" w:line="228" w:lineRule="auto"/>
        <w:ind w:left="460" w:hanging="460"/>
      </w:pPr>
      <w:r>
        <w:rPr>
          <w:sz w:val="18"/>
          <w:szCs w:val="18"/>
        </w:rPr>
        <w:t>[25]</w:t>
        <w:tab/>
        <w:t xml:space="preserve">R. Sommer and V. Paxson, “Outside the closed world: On using machine learning for network intrusion detection,” in </w:t>
      </w:r>
      <w:r>
        <w:rPr>
          <w:i/>
          <w:iCs/>
          <w:sz w:val="18"/>
          <w:szCs w:val="18"/>
        </w:rPr>
        <w:t xml:space="preserve">Proc. IEEE Symp. Secur. Privacy</w:t>
      </w:r>
      <w:r>
        <w:rPr>
          <w:sz w:val="18"/>
          <w:szCs w:val="18"/>
        </w:rPr>
        <w:t xml:space="preserve">, 2010, pp. 305-316, doi: 10.1109/SP.2010.25.</w:t>
      </w:r>
    </w:p>
    <w:p w14:paraId="188D54A0" w14:textId="77777777" w:rsidR="004404F3" w:rsidRDefault="00000000">
      <w:pPr>
        <w:tabs>
          <w:tab w:val="left" w:pos="460"/>
        </w:tabs>
        <w:spacing w:after="30" w:line="228" w:lineRule="auto"/>
        <w:ind w:left="460" w:hanging="460"/>
      </w:pPr>
      <w:r>
        <w:rPr>
          <w:sz w:val="18"/>
          <w:szCs w:val="18"/>
        </w:rPr>
        <w:t>[26]</w:t>
        <w:tab/>
        <w:t xml:space="preserve">D. Arp, E. Quiring, F. Pendlebury, A. Warnecke, F. Pierazzi, C. Wressnegger, L. Cavallaro, and K. Rieck, “Dos and don'ts of machine learning in computer security,” in </w:t>
      </w:r>
      <w:r>
        <w:rPr>
          <w:i/>
          <w:iCs/>
          <w:sz w:val="18"/>
          <w:szCs w:val="18"/>
        </w:rPr>
        <w:t xml:space="preserve">Proc. 31st USENIX Secur. Symp.</w:t>
      </w:r>
      <w:r>
        <w:rPr>
          <w:sz w:val="18"/>
          <w:szCs w:val="18"/>
        </w:rPr>
        <w:t>, 2022, pp. 3971-3988.</w:t>
      </w:r>
    </w:p>
    <w:p w14:paraId="00F44B9B" w14:textId="77777777" w:rsidR="004404F3" w:rsidRDefault="00000000">
      <w:pPr>
        <w:tabs>
          <w:tab w:val="left" w:pos="460"/>
        </w:tabs>
        <w:spacing w:after="30" w:line="228" w:lineRule="auto"/>
        <w:ind w:left="460" w:hanging="460"/>
      </w:pPr>
      <w:r>
        <w:rPr>
          <w:sz w:val="18"/>
          <w:szCs w:val="18"/>
        </w:rPr>
        <w:t>[27]</w:t>
        <w:tab/>
        <w:t xml:space="preserve">G. Apruzzese, P. Laskov, E. Montes de Oca, W. Mallouli, L. Brdalo Rapa, A. V. Grammatopoulos, and F. Di Franco, “The role of machine learning in cybersecurity,” </w:t>
      </w:r>
      <w:r>
        <w:rPr>
          <w:i/>
          <w:iCs/>
          <w:sz w:val="18"/>
          <w:szCs w:val="18"/>
        </w:rPr>
        <w:t xml:space="preserve">Digit. Threats: Res. Pract.</w:t>
      </w:r>
      <w:r>
        <w:rPr>
          <w:sz w:val="18"/>
          <w:szCs w:val="18"/>
        </w:rPr>
        <w:t>, vol. 4, no. 1, Art. no. 8, 2023.</w:t>
      </w:r>
    </w:p>
    <w:p w14:paraId="370525BE" w14:textId="77777777" w:rsidR="004404F3" w:rsidRDefault="00000000">
      <w:pPr>
        <w:tabs>
          <w:tab w:val="left" w:pos="460"/>
        </w:tabs>
        <w:spacing w:after="30" w:line="228" w:lineRule="auto"/>
        <w:ind w:left="460" w:hanging="460"/>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5B85B8D9" w14:textId="77777777" w:rsidR="004404F3" w:rsidRDefault="00000000">
      <w:pPr>
        <w:tabs>
          <w:tab w:val="left" w:pos="460"/>
        </w:tabs>
        <w:spacing w:after="30" w:line="228" w:lineRule="auto"/>
        <w:ind w:left="460" w:hanging="460"/>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3411456F" w14:textId="77777777" w:rsidR="004404F3" w:rsidRDefault="00000000">
      <w:pPr>
        <w:tabs>
          <w:tab w:val="left" w:pos="460"/>
        </w:tabs>
        <w:spacing w:after="30" w:line="228" w:lineRule="auto"/>
        <w:ind w:left="460" w:hanging="460"/>
      </w:pPr>
      <w:r>
        <w:rPr>
          <w:sz w:val="18"/>
          <w:szCs w:val="18"/>
        </w:rPr>
        <w:lastRenderedPageBreak/>
        <w:t>[30]</w:t>
        <w:tab/>
        <w:t xml:space="preserve">F. Pendlebury, F. Pierazzi, R. Jordaney, J. Kinder, and L. Cavallaro, “TESSERACT: Eliminating experimental bias in malware classification across space and time,” in </w:t>
      </w:r>
      <w:r>
        <w:rPr>
          <w:i/>
          <w:iCs/>
          <w:sz w:val="18"/>
          <w:szCs w:val="18"/>
        </w:rPr>
        <w:t xml:space="preserve">Proc. 28th USENIX Secur. Symp.</w:t>
      </w:r>
      <w:r>
        <w:rPr>
          <w:sz w:val="18"/>
          <w:szCs w:val="18"/>
        </w:rPr>
        <w:t>, 2019, pp. 729-746.</w:t>
      </w:r>
    </w:p>
    <w:p w14:paraId="15A17CAF" w14:textId="77777777" w:rsidR="004404F3" w:rsidRDefault="00000000">
      <w:pPr>
        <w:tabs>
          <w:tab w:val="left" w:pos="460"/>
        </w:tabs>
        <w:spacing w:after="30" w:line="228" w:lineRule="auto"/>
        <w:ind w:left="460" w:hanging="460"/>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6F38F261" w14:textId="77777777" w:rsidR="004404F3" w:rsidRDefault="00000000">
      <w:pPr>
        <w:tabs>
          <w:tab w:val="left" w:pos="460"/>
        </w:tabs>
        <w:spacing w:after="30" w:line="228" w:lineRule="auto"/>
        <w:ind w:left="460" w:hanging="460"/>
      </w:pPr>
      <w:r>
        <w:rPr>
          <w:sz w:val="18"/>
          <w:szCs w:val="18"/>
        </w:rPr>
        <w:t>[32]</w:t>
        <w:tab/>
        <w:t xml:space="preserve">D. Janzing, L. Minorics, and P. Blöbaum, “Feature relevance quantification in explainable AI: A causal problem,” in </w:t>
      </w:r>
      <w:r>
        <w:rPr>
          <w:i/>
          <w:iCs/>
          <w:sz w:val="18"/>
          <w:szCs w:val="18"/>
        </w:rPr>
        <w:t xml:space="preserve">Proc. 23rd Int. Conf. Artif. Intell. Statist. (AISTATS)</w:t>
      </w:r>
      <w:r>
        <w:rPr>
          <w:sz w:val="18"/>
          <w:szCs w:val="18"/>
        </w:rPr>
        <w:t>, PMLR vol. 108, 2020, pp. 2907-2916.</w:t>
      </w:r>
    </w:p>
    <w:p w14:paraId="76B764E7" w14:textId="77777777" w:rsidR="004404F3" w:rsidRDefault="00000000">
      <w:pPr>
        <w:tabs>
          <w:tab w:val="left" w:pos="460"/>
        </w:tabs>
        <w:spacing w:after="30" w:line="228" w:lineRule="auto"/>
        <w:ind w:left="460" w:hanging="460"/>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74A6E0E2" w14:textId="77777777" w:rsidR="004404F3" w:rsidRDefault="00000000">
      <w:pPr>
        <w:tabs>
          <w:tab w:val="left" w:pos="460"/>
        </w:tabs>
        <w:spacing w:after="30" w:line="228" w:lineRule="auto"/>
        <w:ind w:left="460" w:hanging="460"/>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 xml:space="preserve">Statist. Comput.</w:t>
      </w:r>
      <w:r>
        <w:rPr>
          <w:sz w:val="18"/>
          <w:szCs w:val="18"/>
        </w:rPr>
        <w:t>, vol. 31, Art. no. 82, 2021.</w:t>
      </w:r>
    </w:p>
    <w:p w14:paraId="410E3EC1" w14:textId="77777777" w:rsidR="004404F3" w:rsidRDefault="00000000">
      <w:pPr>
        <w:tabs>
          <w:tab w:val="left" w:pos="460"/>
        </w:tabs>
        <w:spacing w:after="30" w:line="228" w:lineRule="auto"/>
        <w:ind w:left="460" w:hanging="460"/>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xml:space="preserve">, vol. 8, Art. no. 25, 2007, doi: 10.1186/1471-2105-8-25.</w:t>
      </w:r>
    </w:p>
    <w:p w14:paraId="5A8A474E" w14:textId="77777777" w:rsidR="004404F3" w:rsidRDefault="00000000">
      <w:pPr>
        <w:tabs>
          <w:tab w:val="left" w:pos="460"/>
        </w:tabs>
        <w:spacing w:after="30" w:line="228" w:lineRule="auto"/>
        <w:ind w:left="460" w:hanging="460"/>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xml:space="preserve">, vol. 9, Art. no. 307, 2008, doi: 10.1186/1471-2105-9-307.</w:t>
      </w:r>
    </w:p>
    <w:p w14:paraId="05DE6956" w14:textId="77777777" w:rsidR="004404F3" w:rsidRDefault="00000000">
      <w:pPr>
        <w:tabs>
          <w:tab w:val="left" w:pos="460"/>
        </w:tabs>
        <w:spacing w:after="30" w:line="228" w:lineRule="auto"/>
        <w:ind w:left="460" w:hanging="460"/>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407BAE3B" w14:textId="77777777" w:rsidR="004404F3" w:rsidRDefault="00000000">
      <w:pPr>
        <w:tabs>
          <w:tab w:val="left" w:pos="460"/>
        </w:tabs>
        <w:spacing w:after="30" w:line="228" w:lineRule="auto"/>
        <w:ind w:left="460" w:hanging="460"/>
      </w:pPr>
      <w:r>
        <w:rPr>
          <w:sz w:val="18"/>
          <w:szCs w:val="18"/>
        </w:rPr>
        <w:t>[38]</w:t>
        <w:tab/>
        <w:t xml:space="preserve">Q. Au, J. Herbinger, C. Stachl, B. Bischl, and G. Casalicchio, “Grouped feature importance and combined features effect plot,” </w:t>
      </w:r>
      <w:r>
        <w:rPr>
          <w:i/>
          <w:iCs/>
          <w:sz w:val="18"/>
          <w:szCs w:val="18"/>
        </w:rPr>
        <w:t xml:space="preserve">Data Min. Knowl. Discov.</w:t>
      </w:r>
      <w:r>
        <w:rPr>
          <w:sz w:val="18"/>
          <w:szCs w:val="18"/>
        </w:rPr>
        <w:t>, vol. 36, pp. 1401-1450, 2022.</w:t>
      </w:r>
    </w:p>
    <w:p w14:paraId="63D7EACB" w14:textId="77777777" w:rsidR="004404F3" w:rsidRDefault="00000000">
      <w:pPr>
        <w:tabs>
          <w:tab w:val="left" w:pos="460"/>
        </w:tabs>
        <w:spacing w:after="30" w:line="228" w:lineRule="auto"/>
        <w:ind w:left="460" w:hanging="460"/>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6D575405" w14:textId="77777777" w:rsidR="004404F3" w:rsidRDefault="00000000">
      <w:pPr>
        <w:tabs>
          <w:tab w:val="left" w:pos="460"/>
        </w:tabs>
        <w:spacing w:after="30" w:line="228" w:lineRule="auto"/>
        <w:ind w:left="460" w:hanging="460"/>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4A3F41B2" w14:textId="77777777" w:rsidR="004404F3" w:rsidRDefault="00000000">
      <w:pPr>
        <w:tabs>
          <w:tab w:val="left" w:pos="460"/>
        </w:tabs>
        <w:spacing w:after="30" w:line="228" w:lineRule="auto"/>
        <w:ind w:left="460" w:hanging="460"/>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xml:space="preserve">, 2020, pp. 180-186, doi: 10.1145/3375627.3375830.</w:t>
      </w:r>
    </w:p>
    <w:p w14:paraId="77C8297F" w14:textId="77777777" w:rsidR="004404F3" w:rsidRDefault="00000000">
      <w:pPr>
        <w:tabs>
          <w:tab w:val="left" w:pos="460"/>
        </w:tabs>
        <w:spacing w:after="30" w:line="228" w:lineRule="auto"/>
        <w:ind w:left="460" w:hanging="460"/>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4ECD330" w14:textId="77777777" w:rsidR="004404F3" w:rsidRDefault="00000000">
      <w:pPr>
        <w:tabs>
          <w:tab w:val="left" w:pos="460"/>
        </w:tabs>
        <w:spacing w:after="30" w:line="228" w:lineRule="auto"/>
        <w:ind w:left="460" w:hanging="460"/>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14:paraId="1C6EC16A" w14:textId="77777777" w:rsidR="004404F3" w:rsidRDefault="00000000">
      <w:pPr>
        <w:tabs>
          <w:tab w:val="left" w:pos="460"/>
        </w:tabs>
        <w:spacing w:after="30" w:line="228" w:lineRule="auto"/>
        <w:ind w:left="460" w:hanging="460"/>
      </w:pPr>
      <w:r>
        <w:rPr>
          <w:sz w:val="18"/>
          <w:szCs w:val="18"/>
        </w:rPr>
        <w:t>[44]</w:t>
        <w:tab/>
        <w:t xml:space="preserve">M. G. Kendall, “A new measure of rank correlation,” </w:t>
      </w:r>
      <w:r>
        <w:rPr>
          <w:i/>
          <w:iCs/>
          <w:sz w:val="18"/>
          <w:szCs w:val="18"/>
        </w:rPr>
        <w:t>Biometrika</w:t>
      </w:r>
      <w:r>
        <w:rPr>
          <w:sz w:val="18"/>
          <w:szCs w:val="18"/>
        </w:rPr>
        <w:t>, vol. 30, no. 1/2, pp. 81-93, 1938.</w:t>
      </w:r>
    </w:p>
    <w:p w14:paraId="5FFEC557" w14:textId="77777777" w:rsidR="004404F3" w:rsidRDefault="00000000">
      <w:pPr>
        <w:tabs>
          <w:tab w:val="left" w:pos="460"/>
        </w:tabs>
        <w:spacing w:after="30" w:line="228" w:lineRule="auto"/>
        <w:ind w:left="460" w:hanging="460"/>
      </w:pPr>
      <w:r>
        <w:rPr>
          <w:sz w:val="18"/>
          <w:szCs w:val="18"/>
        </w:rPr>
        <w:t>[45]</w:t>
        <w:tab/>
        <w:t xml:space="preserve">W. Webber, A. Moffat, and J. Zobel, “A similarity measure for indefinite rankings,” </w:t>
      </w:r>
      <w:r>
        <w:rPr>
          <w:i/>
          <w:iCs/>
          <w:sz w:val="18"/>
          <w:szCs w:val="18"/>
        </w:rPr>
        <w:t>ACM Trans. Inf. Syst.</w:t>
      </w:r>
      <w:r>
        <w:rPr>
          <w:sz w:val="18"/>
          <w:szCs w:val="18"/>
        </w:rPr>
        <w:t xml:space="preserve">, vol. 28, no. 4, Art. no. 20, 2010, doi: 10.1145/1852102.1852106.</w:t>
      </w:r>
    </w:p>
    <w:p w14:paraId="4BE57F89" w14:textId="77777777" w:rsidR="004404F3" w:rsidRDefault="00000000">
      <w:pPr>
        <w:tabs>
          <w:tab w:val="left" w:pos="460"/>
        </w:tabs>
        <w:spacing w:after="30" w:line="228" w:lineRule="auto"/>
        <w:ind w:left="460" w:hanging="460"/>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14:paraId="3E5A77F2" w14:textId="77777777" w:rsidR="004404F3" w:rsidRDefault="00000000">
      <w:pPr>
        <w:tabs>
          <w:tab w:val="left" w:pos="460"/>
        </w:tabs>
        <w:spacing w:after="30" w:line="228" w:lineRule="auto"/>
        <w:ind w:left="460" w:hanging="460"/>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14:paraId="1A1A30CE" w14:textId="77777777" w:rsidR="004404F3" w:rsidRDefault="00000000">
      <w:pPr>
        <w:tabs>
          <w:tab w:val="left" w:pos="460"/>
        </w:tabs>
        <w:spacing w:after="30" w:line="228" w:lineRule="auto"/>
        <w:ind w:left="460" w:hanging="460"/>
      </w:pPr>
      <w:r>
        <w:rPr>
          <w:sz w:val="18"/>
          <w:szCs w:val="18"/>
        </w:rPr>
        <w:t>[48]</w:t>
        <w:tab/>
        <w:t xml:space="preserve">S. Layeghy and M. Portmann, “Explainable cross-domain evaluation of ML-based network intrusion detection systems,” </w:t>
      </w:r>
      <w:r>
        <w:rPr>
          <w:i/>
          <w:iCs/>
          <w:sz w:val="18"/>
          <w:szCs w:val="18"/>
        </w:rPr>
        <w:t xml:space="preserve">Comput. Electr. Eng.</w:t>
      </w:r>
      <w:r>
        <w:rPr>
          <w:sz w:val="18"/>
          <w:szCs w:val="18"/>
        </w:rPr>
        <w:t xml:space="preserve">, vol. 108, Art. no. 108692, 2023, doi: 10.1016/j.compeleceng.2023.108692.</w:t>
      </w:r>
    </w:p>
    <w:p w14:paraId="79CEFD37" w14:textId="77777777" w:rsidR="004404F3" w:rsidRDefault="00000000">
      <w:pPr>
        <w:tabs>
          <w:tab w:val="left" w:pos="460"/>
        </w:tabs>
        <w:spacing w:after="30" w:line="228" w:lineRule="auto"/>
        <w:ind w:left="460" w:hanging="460"/>
      </w:pPr>
      <w:r>
        <w:rPr>
          <w:sz w:val="18"/>
          <w:szCs w:val="18"/>
        </w:rPr>
        <w:t>[49]</w:t>
        <w:tab/>
        <w:t xml:space="preserve">S. Mali, S. Agarwal, R. Chintawar, and A. K. Cherukuri, “Analyzing encrypted traffic analysis using explainable AI,” </w:t>
      </w:r>
      <w:r>
        <w:rPr>
          <w:i/>
          <w:iCs/>
          <w:sz w:val="18"/>
          <w:szCs w:val="18"/>
        </w:rPr>
        <w:t xml:space="preserve">Ann. Math. Comput. Sci.</w:t>
      </w:r>
      <w:r>
        <w:rPr>
          <w:sz w:val="18"/>
          <w:szCs w:val="18"/>
        </w:rPr>
        <w:t xml:space="preserve">, vol. 31, pp. 1–22, 2025, doi: 10.56947/amcs.v31.660.</w:t>
      </w:r>
    </w:p>
    <w:p w14:paraId="79CEFD37" w14:textId="77777777" w:rsidR="004404F3" w:rsidRDefault="00000000">
      <w:pPr>
        <w:tabs>
          <w:tab w:val="left" w:pos="460"/>
        </w:tabs>
        <w:spacing w:after="30" w:line="228" w:lineRule="auto"/>
        <w:ind w:left="460" w:hanging="460"/>
      </w:pPr>
      <w:r>
        <w:rPr>
          <w:sz w:val="18"/>
          <w:szCs w:val="18"/>
        </w:rPr>
        <w:t>[50]</w:t>
        <w:tab/>
        <w:t>Canadian Institute for Cybersecurity, “VPN-nonVPN dataset (ISCXVPN2016),” University of New Brunswick. [Online]. Available: https://www.unb.ca/cic/datasets/vpn.html</w:t>
      </w:r>
    </w:p>
    <w:p w14:paraId="2FB85C33" w14:textId="77777777" w:rsidR="004404F3" w:rsidRDefault="00000000">
      <w:pPr>
        <w:tabs>
          <w:tab w:val="left" w:pos="460"/>
        </w:tabs>
        <w:spacing w:after="30" w:line="228" w:lineRule="auto"/>
        <w:ind w:left="460" w:hanging="460"/>
      </w:pPr>
      <w:r>
        <w:rPr>
          <w:sz w:val="18"/>
          <w:szCs w:val="18"/>
        </w:rPr>
        <w:t>[51]</w:t>
        <w:tab/>
        <w:t xml:space="preserve">L. Breiman, “Random forests,” </w:t>
      </w:r>
      <w:r>
        <w:rPr>
          <w:i/>
          <w:iCs/>
          <w:sz w:val="18"/>
          <w:szCs w:val="18"/>
        </w:rPr>
        <w:t>Mach. Learn.</w:t>
      </w:r>
      <w:r>
        <w:rPr>
          <w:sz w:val="18"/>
          <w:szCs w:val="18"/>
        </w:rPr>
        <w:t xml:space="preserve">, vol. 45, no. 1, pp. 5-32, 2001, doi: 10.1023/A:1010933404324.</w:t>
      </w:r>
    </w:p>
    <w:p w14:paraId="4EB5EFD6" w14:textId="77777777" w:rsidR="004404F3" w:rsidRDefault="00000000">
      <w:pPr>
        <w:tabs>
          <w:tab w:val="left" w:pos="460"/>
        </w:tabs>
        <w:spacing w:after="30" w:line="228" w:lineRule="auto"/>
        <w:ind w:left="460" w:hanging="460"/>
      </w:pPr>
      <w:r>
        <w:rPr>
          <w:sz w:val="18"/>
          <w:szCs w:val="18"/>
        </w:rPr>
        <w:t>[52]</w:t>
        <w:tab/>
        <w:t xml:space="preserve">T. Chen and C. Guestrin, “XGBoost: A scalable tree boosting system,” in </w:t>
      </w:r>
      <w:r>
        <w:rPr>
          <w:i/>
          <w:iCs/>
          <w:sz w:val="18"/>
          <w:szCs w:val="18"/>
        </w:rPr>
        <w:t xml:space="preserve">Proc. 22nd ACM SIGKDD Int. Conf. Knowl. Discov. Data Min.</w:t>
      </w:r>
      <w:r>
        <w:rPr>
          <w:sz w:val="18"/>
          <w:szCs w:val="18"/>
        </w:rPr>
        <w:t xml:space="preserve">, 2016, pp. 785-794, doi: 10.1145/2939672.2939785.</w:t>
      </w:r>
    </w:p>
    <w:p w14:paraId="34BEC061" w14:textId="77777777" w:rsidR="004404F3" w:rsidRDefault="00000000">
      <w:pPr>
        <w:tabs>
          <w:tab w:val="left" w:pos="460"/>
        </w:tabs>
        <w:spacing w:after="30" w:line="228" w:lineRule="auto"/>
        <w:ind w:left="460" w:hanging="460"/>
      </w:pPr>
      <w:r>
        <w:rPr>
          <w:sz w:val="18"/>
          <w:szCs w:val="18"/>
        </w:rPr>
        <w:t>[53]</w:t>
        <w:tab/>
        <w:t xml:space="preserve">P. Geurts, D. Ernst, and L. Wehenkel, “Extremely randomized trees,” </w:t>
      </w:r>
      <w:r>
        <w:rPr>
          <w:i/>
          <w:iCs/>
          <w:sz w:val="18"/>
          <w:szCs w:val="18"/>
        </w:rPr>
        <w:t>Mach. Learn.</w:t>
      </w:r>
      <w:r>
        <w:rPr>
          <w:sz w:val="18"/>
          <w:szCs w:val="18"/>
        </w:rPr>
        <w:t xml:space="preserve">, vol. 63, no. 1, pp. 3-42, 2006, doi: 10.1007/s10994-006-6226-1.</w:t>
      </w:r>
    </w:p>
    <w:p w14:paraId="14E728B3" w14:textId="77777777" w:rsidR="004404F3" w:rsidRDefault="00000000">
      <w:pPr>
        <w:tabs>
          <w:tab w:val="left" w:pos="460"/>
        </w:tabs>
        <w:spacing w:after="30" w:line="228" w:lineRule="auto"/>
        <w:ind w:left="460" w:hanging="460"/>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03111E3E" w14:textId="77777777" w:rsidR="004404F3" w:rsidRDefault="00000000">
      <w:pPr>
        <w:tabs>
          <w:tab w:val="left" w:pos="460"/>
        </w:tabs>
        <w:spacing w:after="30" w:line="228" w:lineRule="auto"/>
        <w:ind w:left="460" w:hanging="460"/>
      </w:pPr>
      <w:r>
        <w:rPr>
          <w:sz w:val="18"/>
          <w:szCs w:val="18"/>
        </w:rPr>
        <w:t>[55]</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42C1E160" w14:textId="77777777" w:rsidR="004404F3" w:rsidRDefault="00000000">
      <w:pPr>
        <w:tabs>
          <w:tab w:val="left" w:pos="460"/>
        </w:tabs>
        <w:spacing w:after="30" w:line="228" w:lineRule="auto"/>
        <w:ind w:left="460" w:hanging="460"/>
      </w:pPr>
      <w:r>
        <w:rPr>
          <w:sz w:val="18"/>
          <w:szCs w:val="18"/>
        </w:rPr>
        <w:t>[56]</w:t>
        <w:tab/>
        <w:t xml:space="preserve">S. Kaufman, S. Rosset, C. Perlich, and O. Stitelman, “Leakage in data mining: Formulation, detection, and avoidance,” </w:t>
      </w:r>
      <w:r>
        <w:rPr>
          <w:i/>
          <w:iCs/>
          <w:sz w:val="18"/>
          <w:szCs w:val="18"/>
        </w:rPr>
        <w:t xml:space="preserve">ACM Trans. Knowl. Discov. Data</w:t>
      </w:r>
      <w:r>
        <w:rPr>
          <w:sz w:val="18"/>
          <w:szCs w:val="18"/>
        </w:rPr>
        <w:t>, vol. 6, no. 4, Art. no. 15, 2012.</w:t>
      </w:r>
    </w:p>
    <w:p w14:paraId="22F00A34" w14:textId="77777777" w:rsidR="004404F3" w:rsidRDefault="00000000">
      <w:pPr>
        <w:tabs>
          <w:tab w:val="left" w:pos="460"/>
        </w:tabs>
        <w:spacing w:after="30" w:line="228" w:lineRule="auto"/>
        <w:ind w:left="460" w:hanging="460"/>
      </w:pPr>
      <w:r>
        <w:rPr>
          <w:sz w:val="18"/>
          <w:szCs w:val="18"/>
        </w:rPr>
        <w:t>[57]</w:t>
        <w:tab/>
        <w:t xml:space="preserve">S. Kapoor and A. Narayanan, “Leakage and the reproducibility crisis in machine-learning-based science,” </w:t>
      </w:r>
      <w:r>
        <w:rPr>
          <w:i/>
          <w:iCs/>
          <w:sz w:val="18"/>
          <w:szCs w:val="18"/>
        </w:rPr>
        <w:t>Patterns</w:t>
      </w:r>
      <w:r>
        <w:rPr>
          <w:sz w:val="18"/>
          <w:szCs w:val="18"/>
        </w:rPr>
        <w:t>, vol. 4, no. 9, Art. no. 100804, 2023.</w:t>
      </w:r>
    </w:p>
    <w:sectPr w:rsidR="004404F3">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33AA" w14:textId="77777777" w:rsidR="00345D10" w:rsidRDefault="00345D10">
      <w:pPr>
        <w:spacing w:line="240" w:lineRule="auto"/>
      </w:pPr>
      <w:r>
        <w:separator/>
      </w:r>
    </w:p>
  </w:endnote>
  <w:endnote w:type="continuationSeparator" w:id="0">
    <w:p w14:paraId="7BE353B5" w14:textId="77777777" w:rsidR="00345D10" w:rsidRDefault="00345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715D"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EA03"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8AF5"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ECB7" w14:textId="77777777" w:rsidR="00345D10" w:rsidRDefault="00345D10">
      <w:pPr>
        <w:spacing w:line="240" w:lineRule="auto"/>
      </w:pPr>
      <w:r>
        <w:separator/>
      </w:r>
    </w:p>
  </w:footnote>
  <w:footnote w:type="continuationSeparator" w:id="0">
    <w:p w14:paraId="7A3A435A" w14:textId="77777777" w:rsidR="00345D10" w:rsidRDefault="00345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1DD5"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ED71" w14:textId="77777777" w:rsidR="004404F3" w:rsidRDefault="004404F3">
    <w:pPr>
      <w:jc w:val="right"/>
      <w:rPr>
        <w:i/>
        <w:iCs/>
        <w:sz w:val="16"/>
        <w:szCs w:val="16"/>
      </w:rPr>
    </w:pPr>
  </w:p>
  <w:p w14:paraId="5A5BC20B"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5DE" w14:textId="77777777" w:rsidR="004404F3" w:rsidRDefault="004404F3">
    <w:pPr>
      <w:jc w:val="right"/>
      <w:rPr>
        <w:i/>
        <w:iCs/>
        <w:sz w:val="16"/>
        <w:szCs w:val="16"/>
      </w:rPr>
    </w:pPr>
  </w:p>
  <w:p w14:paraId="7728FCC9"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345D10"/>
    <w:rsid w:val="004404F3"/>
    <w:rsid w:val="007816E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BBD619"/>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bandrevu.jeevan2024@vitstudent.ac.in" TargetMode="External"/><Relationship Id="rId25"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Rev2Fig2" Type="http://schemas.openxmlformats.org/officeDocument/2006/relationships/image" Target="media/rev2_fig2.png"/><Relationship Id="rIdRev2Fig3" Type="http://schemas.openxmlformats.org/officeDocument/2006/relationships/image" Target="media/rev2_fig3.png"/><Relationship Id="rIdRev2Fig4" Type="http://schemas.openxmlformats.org/officeDocument/2006/relationships/image" Target="media/rev2_fig4.png"/><Relationship Id="rIdRev2Fig5" Type="http://schemas.openxmlformats.org/officeDocument/2006/relationships/image" Target="media/rev2_fig5.png"/><Relationship Id="rIdRev2Fig7" Type="http://schemas.openxmlformats.org/officeDocument/2006/relationships/image" Target="media/rev2_fig7.png"/><Relationship Id="rIdRev2Fig8" Type="http://schemas.openxmlformats.org/officeDocument/2006/relationships/image" Target="media/rev2_fig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14409</Words>
  <Characters>82137</Characters>
  <Application>Microsoft Office Word</Application>
  <DocSecurity>0</DocSecurity>
  <Lines>684</Lines>
  <Paragraphs>192</Paragraphs>
  <ScaleCrop>false</ScaleCrop>
  <Company/>
  <LinksUpToDate>false</LinksUpToDate>
  <CharactersWithSpaces>96354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Cross-context consistency of TreeSHAP rankings on ISCX VPN-nonVPN</dc:subject>
  <dc:creator>B JEEVAN SAI REDDY</dc:creator>
  <dc:description/>
  <cp:lastModifiedBy>Piyush Kothari</cp:lastModifiedBy>
  <cp:revision>1</cp:revision>
  <dcterms:created xsi:type="dcterms:W3CDTF">2026-10-12T13:58:00Z</dcterms:created>
  <dcterms:modified xsi:type="dcterms:W3CDTF">2026-10-12T19:59:00Z</dcterms:modified>
  <dc:language>en-US</dc:language>
</cp:coreProperties>
</file>