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the reviewer</w:t>
      </w:r>
    </w:p>
    <w:p>
      <w:r>
        <w:t>Manuscript: Cross-Context Consistency of SHAP-Based Feature Importance for Application Classification Across VPN and Non-VPN Traffic (revised version v10)</w:t>
      </w:r>
    </w:p>
    <w:p>
      <w:r>
        <w:t>We thank the reviewer for another careful report. This revision adds a calibrated grouping design, a second grouping proxy based on the row order of the original ARFF files, block-summed SHAP shares with a conditional permutation check, a list-origin by target decomposition of the feature-list transfer, a family-share table and spreads for the class-mix swap. All revision history has been moved out of the manuscript and is collected at the end of this letter. Section and table numbers refer to the revised manuscript, which now has 15 tables and 8 figures.</w:t>
      </w:r>
    </w:p>
    <w:p>
      <w:pPr>
        <w:pStyle w:val="Heading1"/>
      </w:pPr>
      <w:r>
        <w:t>Remaining concerns</w:t>
      </w:r>
    </w:p>
    <w:p>
      <w:pPr>
        <w:pStyle w:val="Heading2"/>
      </w:pPr>
      <w:r>
        <w:t>1. The session proxy is uncalibrated, and the conclusion depends on the granularity</w:t>
      </w:r>
    </w:p>
    <w:p>
      <w:r>
        <w:rPr>
          <w:b/>
        </w:rPr>
        <w:t xml:space="preserve">Reviewer: </w:t>
      </w:r>
      <w:r>
        <w:rPr>
          <w:i/>
        </w:rPr>
        <w:t>A cheap estimate would be the number of source captures versus the number of flows... At the coarsest setting, half-model macro F1 is only 0.53–0.61 and RF Δ has SD 0.111... use "cannot be attributed to tunnelling" throughout.</w:t>
      </w:r>
    </w:p>
    <w:p>
      <w:r>
        <w:rPr>
          <w:b/>
        </w:rPr>
        <w:t xml:space="preserve">Response: </w:t>
      </w:r>
      <w:r>
        <w:t>We followed the suggestion (Section IV-D, new paragraph "Calibrating the grouping"). The processed files carry no capture identifier, but the released captures can be counted: the capture-file prefix list in the public Deep Packet code [7] names 109 Non-VPN and 30 VPN capture files for CHAT, FT, MAIL, STREAMING and VOIP (plus one VPN P2P capture). Dividing each class's flows in the 15 s files by its number of captures gives 25–83 flows per capture without a VPN and 95–324 with one, about 80% of which falls in a training partition. Non-VPN captures are therefore closest to the ~35-flow setting and VPN captures to the coarsest setting or beyond. The paper states this and also lists why the estimate is rough (third-party prefix list, a single P2P capture, captures are not sessions, and a 15 s timeout splits long sessions).</w:t>
      </w:r>
    </w:p>
    <w:p>
      <w:r>
        <w:t>We also added a calibrated design in which each class gets as many clusters as it has capture files (Table VII, Fig. 7). Its mean gap is +0.016 for XGBoost (SD 0.039) and +0.018 for Random Forest (SD 0.084), with half-model macro F1 of 0.68/0.55 and 0.66/0.53.</w:t>
      </w:r>
    </w:p>
    <w:p>
      <w:r>
        <w:t>We agree that this is weak evidence: at the coarse and calibrated cluster settings the half-models are weak and the gap varies widely between repeats. Because clusters are built from the same features the models use, we also suspected that at coarse settings they separate regions of feature space rather than captures, so we added a second proxy that does not use the features.</w:t>
      </w:r>
    </w:p>
    <w:p>
      <w:r>
        <w:t>Row-order blocks (Section IV-D, new paragraph "Row-order blocks"; Table VII; Fig. 7). In the original Scenario A2 ARFF files, flows are sorted by class and then kept in the order the flow meter wrote them. Every deduplicated flow in our data matches exactly one ARFF row, so its position is known. Neighbouring rows are much more alike than random rows of the same class (nearest of the 40 rows within 20 positions at 0.30–0.65 of the random distance, in every class and context), which suggests that flows of one capture sit together. We therefore formed halves from contiguous blocks of rows within each class: about 10, 35 and 140 flows per block, as many blocks as capture files, and the first versus the second half of each class. Under this proxy the half-models stay accurate, and the gap does not vanish: +0.074 for XGBoost and +0.153 for Random Forest with blocks calibrated to the capture counts, and +0.033 and +0.093 with the first-versus-second-half split, at or above zero in all 11 repeats for both models.</w:t>
      </w:r>
    </w:p>
    <w:p>
      <w:r>
        <w:t>This changes the conclusion of the paper, and the abstract, Sections VI-C, VI-F, VII, X-A, XI and XII now report both proxies. The two disagree, and neither is a capture split: clusters may overcorrect, and blocks may undercorrect where a capture crosses a block boundary. Read together, they show that part of the random-split gap reflects related flows and that some excess probably remains. Its size cannot be pinned down without capture identifiers, and because the two contexts are different sets of captures it cannot be attributed to tunnelling. Splitting by capture file after regenerating flows from the raw PCAPs remains the way to settle it, and Section XI says so.</w:t>
      </w:r>
    </w:p>
    <w:p>
      <w:r>
        <w:t>The overcorrected sentences are gone. "They should not be read as an effect of the VPN" and similar wording are replaced by "cannot be attributed to tunnelling" throughout, and Section VI-C notes that the Random Forest gap is still positive in all 11 repeats at about 35 flows per cluster (0.042, minimum 0.015).</w:t>
      </w:r>
    </w:p>
    <w:p>
      <w:pPr>
        <w:pStyle w:val="Heading2"/>
      </w:pPr>
      <w:r>
        <w:t>2. The min-IAT credit-redistribution conclusion holds for XGBoost but not clearly for RF</w:t>
      </w:r>
    </w:p>
    <w:p>
      <w:r>
        <w:rPr>
          <w:b/>
        </w:rPr>
        <w:t xml:space="preserve">Reviewer: </w:t>
      </w:r>
      <w:r>
        <w:rPr>
          <w:i/>
        </w:rPr>
        <w:t>Please report block-summed SHAP shares in Table IX and temper the sentence for RF. Also, permutation importance is not a neutral arbiter with correlated features (ref. [34]).</w:t>
      </w:r>
    </w:p>
    <w:p>
      <w:r>
        <w:rPr>
          <w:b/>
        </w:rPr>
        <w:t xml:space="preserve">Response: </w:t>
      </w:r>
      <w:r>
        <w:t>Table IX now has a column with the summed SHAP share of the three minima, and Section VI-E opens with it. The reviewer's reading is confirmed: for XGBoost the block keeps its share (26.3% without a VPN and 24.7% with one), while for Random Forest it grows from 17.0% to 23.3% (half-split means 16.3% and 24.5%). The summary sentence now says that for XGBoost the visible shift is largely redistribution of credit among correlated timing features, whereas for Random Forest the block itself gains about six percentage points under VPN, so part of that shift is a change in what the model relies on.</w:t>
      </w:r>
    </w:p>
    <w:p>
      <w:r>
        <w:t>On permutation importance, Section VI-E now states, citing [34], that marginal permutation importance evaluates the model off the data distribution when features are correlated and is not a neutral arbiter. We added a conditional permutation check in the spirit of Strobl et al. [36]: each minimum IAT is permuted within quintile cells of its two most correlated features. Its ranks for the three minima (2–4 in every model and context) are reported in Table IX next to the marginal ranks. Both permutation measures move the minima less than SHAP does, and the text presents this as a second view rather than as a verdict, since conditional permutation depends on the conditioning scheme.</w:t>
      </w:r>
    </w:p>
    <w:p>
      <w:pPr>
        <w:pStyle w:val="Heading2"/>
      </w:pPr>
      <w:r>
        <w:t>3. The feature-list transfer should be read as a 2×2 (list × target)</w:t>
      </w:r>
    </w:p>
    <w:p>
      <w:r>
        <w:rPr>
          <w:b/>
        </w:rPr>
        <w:t xml:space="preserve">Reviewer: </w:t>
      </w:r>
      <w:r>
        <w:rPr>
          <w:i/>
        </w:rPr>
        <w:t>So the "cost of transfer" at the VPN target mostly reflects that the Non-VPN list is a worse list overall... Report this interaction term, and soften "a measurable cost".</w:t>
      </w:r>
    </w:p>
    <w:p>
      <w:r>
        <w:rPr>
          <w:b/>
        </w:rPr>
        <w:t xml:space="preserve">Response: </w:t>
      </w:r>
      <w:r>
        <w:t>Agreed. Section VIII-B and the new Table XIII decompose the transfer into list origin and target. For each model, k and selection seed, the context-match term is the sum of the two own-minus-transferred contrasts, and the VPN-list advantage is the mean over both targets of the VPN list's macro F1 minus the Non-VPN list's. For Random Forest the VPN-derived list is better on both targets (+0.009 at k = 10 and +0.036 at k = 5, averaged over targets and seeds), and the context-match term is small: +0.008 (Random Forest) and +0.010 (XGBoost) at k = 10, +0.020 and −0.025 at k = 5, and within 0.003 of zero at k = 15.</w:t>
      </w:r>
    </w:p>
    <w:p>
      <w:r>
        <w:t>"A measurable cost" has been removed. The text now says that most of the apparent per-target cost for the VPN Random Forest reflects a weaker Non-VPN list rather than a mismatch between list and context, and that the effect of matching a list to its context is small for lists of ten or more features. The summary table (Table XV), Section X-D and the conclusion use the same framing.</w:t>
      </w:r>
    </w:p>
    <w:p>
      <w:pPr>
        <w:pStyle w:val="Heading2"/>
      </w:pPr>
      <w:r>
        <w:t>4. The XGBoost family-level gap does not shrink under grouping</w:t>
      </w:r>
    </w:p>
    <w:p>
      <w:r>
        <w:rPr>
          <w:b/>
        </w:rPr>
        <w:t xml:space="preserve">Reviewer: </w:t>
      </w:r>
      <w:r>
        <w:rPr>
          <w:i/>
        </w:rPr>
        <w:t>It needs a sentence of discussion, and the abstract's "gap shrinks substantially" should be scoped to feature level.</w:t>
      </w:r>
    </w:p>
    <w:p>
      <w:r>
        <w:rPr>
          <w:b/>
        </w:rPr>
        <w:t xml:space="preserve">Response: </w:t>
      </w:r>
      <w:r>
        <w:t>Section VII now has a paragraph on this (after Table XI). For Random Forest the summed-family gap falls from 0.112 to +0.005 with clusters of about ten flows. For XGBoost it does not shrink at that setting (0.075 versus 0.077, and similarly for the correlation clusters) and falls only at about 35 flows per cluster (0.014) or under the calibrated grouping (+0.016). The paragraph says that part of the XGBoost difference survives fine grouping at the family level although it shrinks at the feature level, so the redundancy reading applies less clearly to XGBoost families.</w:t>
      </w:r>
    </w:p>
    <w:p>
      <w:r>
        <w:t>The abstract now states the shrinkage only for the Spearman gap between feature rankings, and Section XII calls it the feature-level gap. The family-level result is named in the summary of Section X-C. Section VII also reports that under the row-order blocks the summed-family gaps stay positive for both models.</w:t>
      </w:r>
    </w:p>
    <w:p>
      <w:pPr>
        <w:pStyle w:val="Heading2"/>
      </w:pPr>
      <w:r>
        <w:t>5. The model-transfer comparison is loose</w:t>
      </w:r>
    </w:p>
    <w:p>
      <w:r>
        <w:rPr>
          <w:b/>
        </w:rPr>
        <w:t xml:space="preserve">Reviewer: </w:t>
      </w:r>
      <w:r>
        <w:rPr>
          <w:i/>
        </w:rPr>
        <w:t>These protocols differ... and class mix and sessions are confounded in the transfer. Hedge it.</w:t>
      </w:r>
    </w:p>
    <w:p>
      <w:r>
        <w:rPr>
          <w:b/>
        </w:rPr>
        <w:t xml:space="preserve">Response: </w:t>
      </w:r>
      <w:r>
        <w:t>Section VIII-A no longer says that the contexts differ "at least as much" as distant clusters. It now says that the transfer scores fall in the same range as the cluster-grouped cross-validation but that the comparison is only indicative, names the protocol differences (50 clusters and 80% of one context's training data versus a full model of the other context), and states that the change of context also changes class mix and capture sessions, which this test cannot separate. The practical conclusion (a model must be retrained) is kept, because it does not depend on that comparison.</w:t>
      </w:r>
    </w:p>
    <w:p>
      <w:pPr>
        <w:pStyle w:val="Heading1"/>
      </w:pPr>
      <w:r>
        <w:t>Minor and presentational points</w:t>
      </w:r>
    </w:p>
    <w:p>
      <w:pPr>
        <w:pStyle w:val="ListBullet"/>
      </w:pPr>
      <w:r>
        <w:rPr>
          <w:i/>
        </w:rPr>
        <w:t xml:space="preserve">Revision history in the manuscript. </w:t>
      </w:r>
      <w:r>
        <w:t>Removed. The manuscript no longer refers to earlier versions in Sections III-D, IV-D, IV-G, VI-C, VI-D or IX (or anywhere else); a text search for "previous version", "earlier version" and "earlier reading" returns nothing. The notes that were there are collected below.</w:t>
      </w:r>
    </w:p>
    <w:p>
      <w:pPr>
        <w:pStyle w:val="ListBullet"/>
      </w:pPr>
      <w:r>
        <w:rPr>
          <w:i/>
        </w:rPr>
        <w:t xml:space="preserve">Abstract length. </w:t>
      </w:r>
      <w:r>
        <w:t>Shortened from about 300 to about 225 words. It keeps the headline contrast (random halves, the two grouping proxies, permutation null, model transfer and list transfer) and leaves the remaining numbers to the summary table, which is now Table XV.</w:t>
      </w:r>
    </w:p>
    <w:p>
      <w:pPr>
        <w:pStyle w:val="ListBullet"/>
      </w:pPr>
      <w:r>
        <w:rPr>
          <w:i/>
        </w:rPr>
        <w:t xml:space="preserve">Class-mix swap spreads and range. </w:t>
      </w:r>
      <w:r>
        <w:t>Table VIII now gives mean (SD) over the 3–5 draws for every entry, plus a column for the agreement between natural-mix and swapped-mix models of the same draw. The text now quotes the two ranges separately: 0.924–0.977 for natural versus swapped models (last column) and 0.936–0.986 for agreement with the context's primary ranking, which match the table.</w:t>
      </w:r>
    </w:p>
    <w:p>
      <w:pPr>
        <w:pStyle w:val="ListBullet"/>
      </w:pPr>
      <w:r>
        <w:rPr>
          <w:i/>
        </w:rPr>
        <w:t xml:space="preserve">RF explained on 800 records. </w:t>
      </w:r>
      <w:r>
        <w:t>Confirmed for half-models. We refitted eight Random Forest half-models (two repeats, both contexts, both halves) and explained each on its full test partition and on the 800-record sample: the rankings agree at ρ ≥ 0.998, with the same five leading features in all 8 cases. Section IV-D states this.</w:t>
      </w:r>
    </w:p>
    <w:p>
      <w:pPr>
        <w:pStyle w:val="ListBullet"/>
      </w:pPr>
      <w:r>
        <w:rPr>
          <w:i/>
        </w:rPr>
        <w:t xml:space="preserve">Bottom-10 range. </w:t>
      </w:r>
      <w:r>
        <w:t>The text now gives the means over seeds, 0.685–0.735, as in the table.</w:t>
      </w:r>
    </w:p>
    <w:p>
      <w:pPr>
        <w:pStyle w:val="ListBullet"/>
      </w:pPr>
      <w:r>
        <w:rPr>
          <w:i/>
        </w:rPr>
        <w:t xml:space="preserve">Family shares. </w:t>
      </w:r>
      <w:r>
        <w:t>A compact table of family shares with ranks for both models and contexts is added (Table X), and Section VII quotes its values.</w:t>
      </w:r>
    </w:p>
    <w:p>
      <w:pPr>
        <w:pStyle w:val="Heading1"/>
      </w:pPr>
      <w:r>
        <w:t>Revision notes moved out of the manuscript</w:t>
      </w:r>
    </w:p>
    <w:p>
      <w:r>
        <w:t>These statements were previously in the manuscript and are recorded here instead.</w:t>
      </w:r>
    </w:p>
    <w:p>
      <w:pPr>
        <w:pStyle w:val="ListBullet"/>
      </w:pPr>
      <w:r>
        <w:t>Logistic Regression was used as a linear baseline in earlier versions. It was dropped because it was a weak baseline on these features; Section III-D now says only that no linear baseline is used.</w:t>
      </w:r>
    </w:p>
    <w:p>
      <w:pPr>
        <w:pStyle w:val="ListBullet"/>
      </w:pPr>
      <w:r>
        <w:t>All results were recomputed in a single environment (Python 3.13.16, scikit-learn 1.9.1, XGBoost 3.4.1, SHAP 0.53.0). Random Forest results did not change; XGBoost single fits moved by at most 0.006 macro F1. In an earlier version, two tables reported values for the same XGBoost experiment that differed by 0.011, which this rerun removed.</w:t>
      </w:r>
    </w:p>
    <w:p>
      <w:pPr>
        <w:pStyle w:val="ListBullet"/>
      </w:pPr>
      <w:r>
        <w:t>The training-bootstrap reference and its tables and figures were removed. Percentile intervals are now used everywhere.</w:t>
      </w:r>
    </w:p>
    <w:p>
      <w:pPr>
        <w:pStyle w:val="ListBullet"/>
      </w:pPr>
      <w:r>
        <w:t>In the feature-list transfer, k = 15 was the originally planned cutoff. k = 5, 10 and 15 are now reported with equal weight.</w:t>
      </w:r>
    </w:p>
    <w:p>
      <w:pPr>
        <w:pStyle w:val="ListBullet"/>
      </w:pPr>
      <w:r>
        <w:t>Redrawing the 80/20 partition in every repeat roughly doubled the SDs of the half-split gaps compared with the version that used one fixed partition.</w:t>
      </w:r>
    </w:p>
    <w:p>
      <w:pPr>
        <w:pStyle w:val="ListBullet"/>
      </w:pPr>
      <w:r>
        <w:t>An earlier version drew a stronger conclusion from the sentinel comparison than the data support. It was withdrawn: Section IX now compares the encoding effect with random-half retraining variation.</w:t>
      </w:r>
    </w:p>
    <w:p>
      <w:pPr>
        <w:pStyle w:val="ListBullet"/>
      </w:pPr>
      <w:r>
        <w:t>An earlier version read the cross-context ρ of about 0.85 for class-matched 1,330-flow models as support for a class-mix explanation. With a same-size within-context reference (about 0.95), that reading was withdrawn, and Section VI-D explains that small training sets agree more with everything.</w:t>
      </w:r>
    </w:p>
    <w:p>
      <w:pPr>
        <w:pStyle w:val="Heading1"/>
      </w:pPr>
      <w:r>
        <w:t>Note on the manuscript file</w:t>
      </w:r>
    </w:p>
    <w:p>
      <w:r>
        <w:t>The submission system flagged the previous file for an unsupported language and for characters from other alphabets. We checked the file character by character. It contained no hidden or substituted letters, but it did contain mathematical symbols typed as plain text: Greek letters such as ρ, τ, κ and Δ, Unicode minus signs (U+2212), non-breaking spaces and arrows. The style sheet also declared Chinese and Hindi for the East Asian and complex-script language slots. In this version every mathematical symbol is set as a Word equation object, minus signs, non-breaking spaces and arrows are replaced with their ASCII equivalents, and the document language is English (US) throughout. Outside equations, the running text now contains only ASCII characters, typographic quotes and dashes, and the accented letters of author names in the reference list. The wording of the manuscript is unchanged by this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