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reviewer</w:t>
      </w:r>
    </w:p>
    <w:p>
      <w:r>
        <w:t>Manuscript: Cross-Context Consistency of SHAP-Based Feature Importance for Application Classification Across VPN and Non-VPN Traffic (revised version v7)</w:t>
      </w:r>
    </w:p>
    <w:p>
      <w:r>
        <w:t>We thank the reviewer for a careful and constructive report. Every result in the revised manuscript was recomputed in a single software environment, and several new analyses were added. Two of them changed the main conclusion: with cluster-grouped half-splits as the within-context reference, the cross-context gap largely disappears, and we no longer present the gap as a context effect. Section numbers below refer to the revised manuscript.</w:t>
      </w:r>
    </w:p>
    <w:p>
      <w:pPr>
        <w:pStyle w:val="Heading1"/>
      </w:pPr>
      <w:r>
        <w:t>Major concerns</w:t>
      </w:r>
    </w:p>
    <w:p>
      <w:pPr>
        <w:pStyle w:val="Heading2"/>
      </w:pPr>
      <w:r>
        <w:t>1. The within-context reference cannot support the context-effect reading</w:t>
      </w:r>
    </w:p>
    <w:p>
      <w:r>
        <w:rPr>
          <w:b/>
        </w:rPr>
        <w:t xml:space="preserve">Reviewer: </w:t>
      </w:r>
      <w:r>
        <w:rPr>
          <w:i/>
        </w:rPr>
        <w:t>Both references split randomly within one capture pool... the gap Δ overstates what context alone does. Rebuild flows from the raw PCAPs... At minimum, use cluster-grouped half-splits as the reference. Add a permutation null.</w:t>
      </w:r>
    </w:p>
    <w:p>
      <w:r>
        <w:rPr>
          <w:b/>
        </w:rPr>
        <w:t xml:space="preserve">Response: </w:t>
      </w:r>
      <w:r>
        <w:t>We agree, and this concern led to the largest change in the paper. We added two of the three suggested analyses and could not do the third. (i) Cluster-grouped half-splits (Section IV-D, Table VII, Fig. 7): training flows of each class are clustered with k-means on log(x + 2)-standardised features and whole clusters are assigned to one half. Because the true session structure is unknown, we used three granularities (about 10, 35 and 140 flows per cluster). The XGBoost gap falls from 0.129 (random halves) to 0.079, 0.014 and −0.015; the Random Forest gap from 0.186 to 0.100, 0.042 and +0.002.</w:t>
      </w:r>
    </w:p>
    <w:p>
      <w:r>
        <w:rPr>
          <w:b/>
        </w:rPr>
      </w:r>
      <w:r>
        <w:t>(ii) Permutation null (Section IV-D): flows are pooled within class and reassigned at random to two pseudo-contexts that keep the Non-VPN and VPN class counts. The same half-split gap is −0.002 for XGBoost and +0.028 for Random Forest, so neither the procedure nor the class-mix difference produces the random-split gap.</w:t>
      </w:r>
    </w:p>
    <w:p>
      <w:r>
        <w:rPr>
          <w:b/>
        </w:rPr>
      </w:r>
      <w:r>
        <w:t>(iii) Rebuilding flows from the raw PCAPs and splitting by capture file was not possible within this revision: the captures are distributed separately as large archives, and regenerating the 23 features would also have changed the published feature set. Section III-C and the first limitation in Section XI say so explicitly and name it as the way to settle the question.</w:t>
      </w:r>
    </w:p>
    <w:p>
      <w:r>
        <w:rPr>
          <w:b/>
        </w:rPr>
      </w:r>
      <w:r>
        <w:t>The abstract, Section VI-C, Section X-A and the conclusion now state that the cross-context difference cannot be distinguished from between-session (between-cluster) variation, and that the random-split gap should not be read as a context effect.</w:t>
      </w:r>
    </w:p>
    <w:p>
      <w:pPr>
        <w:pStyle w:val="Heading2"/>
      </w:pPr>
      <w:r>
        <w:t>2. Uncertainty language is inconsistent with the paper's own stance</w:t>
      </w:r>
    </w:p>
    <w:p>
      <w:r>
        <w:rPr>
          <w:b/>
        </w:rPr>
        <w:t xml:space="preserve">Reviewer: </w:t>
      </w:r>
      <w:r>
        <w:rPr>
          <w:i/>
        </w:rPr>
        <w:t>Please remove the “10 SD” framing and report RF with its n = 3 caveat in the abstract.</w:t>
      </w:r>
    </w:p>
    <w:p>
      <w:r>
        <w:rPr>
          <w:b/>
        </w:rPr>
        <w:t xml:space="preserve">Response: </w:t>
      </w:r>
      <w:r>
        <w:t>The “10 standard deviations” sentence has been removed, and Section IV-I now states that ratios of Δ to its spread are not test statistics and are not reported.</w:t>
      </w:r>
    </w:p>
    <w:p>
      <w:r>
        <w:rPr>
          <w:b/>
        </w:rPr>
      </w:r>
      <w:r>
        <w:t>Instead of adding a caveat to n = 3, we raised Random Forest to 11 repeats for every design, the same as XGBoost (Random Forest explanations use an 800-record test sample per repeat; for the primary models this changes rankings by at most ρ = 0.003). To bring partition-level uncertainty into the spread, every repeat now redraws the stratified 80/20 partition, so repeats no longer share one training partition and one test set. The spreads are correspondingly larger (XGBoost SD 0.028, Random Forest 0.036). The abstract gives the number of repeats and the SD for both models, and Table VII gives the SD and range of every gap.</w:t>
      </w:r>
    </w:p>
    <w:p>
      <w:pPr>
        <w:pStyle w:val="Heading2"/>
      </w:pPr>
      <w:r>
        <w:t>3. The consequence test is nearly guaranteed to find nothing</w:t>
      </w:r>
    </w:p>
    <w:p>
      <w:r>
        <w:rPr>
          <w:b/>
        </w:rPr>
        <w:t xml:space="preserve">Reviewer: </w:t>
      </w:r>
      <w:r>
        <w:rPr>
          <w:i/>
        </w:rPr>
        <w:t>k = 10 was chosen after the planned k = 15... random-subset controls number 3, 6 and 20... the 67–100% figure is not shown... the VPN RF contrast is a measurable cost... direct model transfer would be more convincing.</w:t>
      </w:r>
    </w:p>
    <w:p>
      <w:r>
        <w:rPr>
          <w:b/>
        </w:rPr>
        <w:t xml:space="preserve">Response: </w:t>
      </w:r>
      <w:r>
        <w:t>Direct model transfer has been added (Section VIII-A, Fig. 8a). It shows a large effect: models trained in one context reach 0.430/0.438 (XGBoost/Random Forest) macro F1 on VPN test flows and 0.613/0.606 on Non-VPN flows. The introduction's practical motivation is now answered directly: a model needs retraining.</w:t>
      </w:r>
    </w:p>
    <w:p>
      <w:r>
        <w:rPr>
          <w:b/>
        </w:rPr>
      </w:r>
      <w:r>
        <w:t>The feature-list test was redesigned (Section IV-G, Table XI): k = 5, 10 and 15 are run for both models with equal weight; selection is repeated over five inner-split seeds; one set of 20 random 10-feature lists is drawn once and used for every model and target; the share of random lists beaten is reported in Table XI; and the text notes that k = 15 was the originally planned cutoff.</w:t>
      </w:r>
    </w:p>
    <w:p>
      <w:r>
        <w:rPr>
          <w:b/>
        </w:rPr>
      </w:r>
      <w:r>
        <w:t>The VPN Random Forest contrast is now described as a measurable cost: +0.013 on average, positive for all five seeds (+0.007 to +0.017), with a first-seed interval that excludes zero. The abstract no longer says “less than 0.01”; it reports the range of the mean effects (−0.013 to +0.004). We also note that each contrast rests on the 1–3 features that differ, and that at k = 5 the effects are larger and of either sign.</w:t>
      </w:r>
    </w:p>
    <w:p>
      <w:pPr>
        <w:pStyle w:val="Heading2"/>
      </w:pPr>
      <w:r>
        <w:t>4. Numerical noise is comparable to the effects interpreted</w:t>
      </w:r>
    </w:p>
    <w:p>
      <w:r>
        <w:rPr>
          <w:b/>
        </w:rPr>
        <w:t xml:space="preserve">Reviewer: </w:t>
      </w:r>
      <w:r>
        <w:rPr>
          <w:i/>
        </w:rPr>
        <w:t>Table XIV and Table XV report different XGBoost values for the same experiment... Please rerun everything in a single environment.</w:t>
      </w:r>
    </w:p>
    <w:p>
      <w:r>
        <w:rPr>
          <w:b/>
        </w:rPr>
        <w:t xml:space="preserve">Response: </w:t>
      </w:r>
      <w:r>
        <w:t>Done. Every result was recomputed under Python 3.13.16, scikit-learn 1.9.1, XGBoost 3.4.1 and SHAP 0.53.0 (Linux), as stated in Table III, including the XGBoost version. The two former tables are replaced by one consequence table, so each condition now has a single value. Random Forest results are identical to the previous version; XGBoost single fits moved by at most 0.006 macro F1 (for example, VPN XGBoost macro F1 is now 0.8836). Repeated selection seeds now show the variation of the feature-list contrasts directly, and the text interprets only effects that are consistent across seeds.</w:t>
      </w:r>
    </w:p>
    <w:p>
      <w:pPr>
        <w:pStyle w:val="Heading2"/>
      </w:pPr>
      <w:r>
        <w:t>5. The sentinel conclusion is overstated</w:t>
      </w:r>
    </w:p>
    <w:p>
      <w:r>
        <w:rPr>
          <w:b/>
        </w:rPr>
        <w:t xml:space="preserve">Reviewer: </w:t>
      </w:r>
      <w:r>
        <w:rPr>
          <w:i/>
        </w:rPr>
        <w:t>S1-vs-S2 agreement is similar to the within-context half-split ρ, which is a better comparison. The RF cross-context ρ of 0.8281 is identical under S1 and S2 to four decimals. Please verify.</w:t>
      </w:r>
    </w:p>
    <w:p>
      <w:r>
        <w:rPr>
          <w:b/>
        </w:rPr>
        <w:t xml:space="preserve">Response: </w:t>
      </w:r>
      <w:r>
        <w:t>We agree. Section IX now states that the S1-versus-S2 disagreement (1 − ρ = 0.06–0.11) is about 1.5 to 4 times smaller than the cross-context disagreement (the reviewer's 0.17–0.22 becomes 0.17–0.21 with the single-environment XGBoost refit) and is comparable to the disagreement between random halves of one context, and it explicitly withdraws the earlier statement.</w:t>
      </w:r>
    </w:p>
    <w:p>
      <w:r>
        <w:rPr>
          <w:b/>
        </w:rPr>
      </w:r>
      <w:r>
        <w:t>We recomputed the Random Forest values in the new environment and obtained ρ = 0.8281 under both encodings again. It is not a copy error: the two rankings differ (Kendall τb 0.6364 versus 0.6285; Top-5 overlap 3 versus 2), but the sums of squared rank differences coincide. This is now explained in the text.</w:t>
      </w:r>
    </w:p>
    <w:p>
      <w:pPr>
        <w:pStyle w:val="Heading2"/>
      </w:pPr>
      <w:r>
        <w:t>6. The class-mix control is indirect</w:t>
      </w:r>
    </w:p>
    <w:p>
      <w:r>
        <w:rPr>
          <w:b/>
        </w:rPr>
        <w:t xml:space="preserve">Reviewer: </w:t>
      </w:r>
      <w:r>
        <w:rPr>
          <w:i/>
        </w:rPr>
        <w:t>Class-matched models use only 1,330 training flows, and no matching within-context reference at that size is given... resample the Non-VPN training set to the VPN class mix (and vice versa)... BROWSING has exactly 2,000 train and 500 test flows in both contexts.</w:t>
      </w:r>
    </w:p>
    <w:p>
      <w:r>
        <w:rPr>
          <w:b/>
        </w:rPr>
        <w:t xml:space="preserve">Response: </w:t>
      </w:r>
      <w:r>
        <w:t>The direct test has been added (Section IV-E, Section VI-D, Table VIII). Each context's training partition is resampled to 3,400 flows with the other context's class proportions, and with its own proportions as a control. Agreement with the other context's ranking changes by at most +0.02 in ρ, and for Random Forest on Non-VPN it decreases. The permutation null of Concern 1 is a second direct test, because it keeps both class mixes and removes everything else.</w:t>
      </w:r>
    </w:p>
    <w:p>
      <w:r>
        <w:rPr>
          <w:b/>
        </w:rPr>
      </w:r>
      <w:r>
        <w:t>A same-size within-context reference was added for the 1,330-flow design: two disjoint natural-mix draws agree at ρ = 0.946/0.945, against cross-context 0.853 (natural) and 0.857 (matched). The reviewer's reading is confirmed: the higher cross-context ρ at that size reflects small training sets, and the gap at that size is still about 0.09.</w:t>
      </w:r>
    </w:p>
    <w:p>
      <w:r>
        <w:rPr>
          <w:b/>
        </w:rPr>
      </w:r>
      <w:r>
        <w:t>BROWSING: we checked the original Scenario A2 ARFF files. Every file, for all four flow timeouts and both contexts, contains exactly 2,500 BROWSING flows, and every Non-VPN file contains exactly 1,000 P2P flows; the other classes vary with the timeout. The cap is therefore part of the dataset release, not of our preprocessing. None of the BROWSING rows in the 15 s files is an exact duplicate, so deduplication kept all 2,500 (80/20 split: 2,000/500), while 59 duplicate Non-VPN P2P rows were removed. Section III-B now reports this and states that the two capped frequencies are not interpreted; the counts are saved in revision2/results/arff_class_counts.csv.</w:t>
      </w:r>
    </w:p>
    <w:p>
      <w:pPr>
        <w:pStyle w:val="Heading2"/>
      </w:pPr>
      <w:r>
        <w:t>7. Interpretation of the minimum-IAT shifts goes slightly beyond the evidence</w:t>
      </w:r>
    </w:p>
    <w:p>
      <w:r>
        <w:rPr>
          <w:b/>
        </w:rPr>
        <w:t xml:space="preserve">Reviewer: </w:t>
      </w:r>
      <w:r>
        <w:rPr>
          <w:i/>
        </w:rPr>
        <w:t>The 0.60 upper bound does not appear in Section VI-B... the entries below −1 are never examined... a drop-one or grouped-retraining check, or a permutation-importance comparison, would test this more directly.</w:t>
      </w:r>
    </w:p>
    <w:p>
      <w:r>
        <w:rPr>
          <w:b/>
        </w:rPr>
        <w:t xml:space="preserve">Response: </w:t>
      </w:r>
      <w:r>
        <w:t>All three pairwise correlations are now given in Section VI-B; the 0.60 value is the min_fiat–min_biat correlation (0.60 Non-VPN, 0.60 VPN), which was missing before. The claim that the shifts are “not just credit passing between redundant features” has been removed.</w:t>
      </w:r>
    </w:p>
    <w:p>
      <w:r>
        <w:rPr>
          <w:b/>
        </w:rPr>
      </w:r>
      <w:r>
        <w:t>Section VI-E and Table IX add both suggested checks. Drop-one retraining costs little macro F1 for any single minimum but 0.012–0.028 for all three, and credit moves among the three when one is removed. Permutation importance ranks min_fiat and min_biat high already without a VPN and shifts them by only one or two places, so the large SHAP rises are not reproduced. We now conclude that a substantial part of the most visible SHAP shift is redistribution of Shapley credit among correlated timing features.</w:t>
      </w:r>
    </w:p>
    <w:p>
      <w:r>
        <w:rPr>
          <w:b/>
        </w:rPr>
      </w:r>
      <w:r>
        <w:t>The entries below −1 are examined: all are negative min_flowiat values (55 and 43 training flows, mainly FT and P2P), carry about 1% or less of the min_flowiat attribution on the test sets, and removing them from training leaves the rankings at ρ ≥ 0.986 with the primary ranking.</w:t>
      </w:r>
    </w:p>
    <w:p>
      <w:pPr>
        <w:pStyle w:val="Heading1"/>
      </w:pPr>
      <w:r>
        <w:t>Minor points</w:t>
      </w:r>
    </w:p>
    <w:p>
      <w:pPr>
        <w:pStyle w:val="ListBullet"/>
      </w:pPr>
      <w:r>
        <w:rPr>
          <w:i/>
        </w:rPr>
        <w:t xml:space="preserve">“Provided partitions” is a misnomer. </w:t>
      </w:r>
      <w:r>
        <w:t>Renamed to “primary partitions” throughout, and Section III-A states that the 80/20 split is our own.</w:t>
      </w:r>
    </w:p>
    <w:p>
      <w:pPr>
        <w:pStyle w:val="ListBullet"/>
      </w:pPr>
      <w:r>
        <w:rPr>
          <w:i/>
        </w:rPr>
        <w:t xml:space="preserve">Duplicate handling: 4 and 15 duplicate feature vectors remain. </w:t>
      </w:r>
      <w:r>
        <w:t>Section III-A now explains that these are 2 and 11 feature vectors (4 and 15 surplus rows), all with conflicting labels, which is why exact-row deduplication kept them.</w:t>
      </w:r>
    </w:p>
    <w:p>
      <w:pPr>
        <w:pStyle w:val="ListBullet"/>
      </w:pPr>
      <w:r>
        <w:rPr>
          <w:i/>
        </w:rPr>
        <w:t xml:space="preserve">κ_k is defined but never reported. </w:t>
      </w:r>
      <w:r>
        <w:t>κ_5 and κ_10 are reported in Table VI, Δκ_5 in the half-split analysis, and Section IV-C gives the correspondence between κ and shared features.</w:t>
      </w:r>
    </w:p>
    <w:p>
      <w:pPr>
        <w:pStyle w:val="ListBullet"/>
      </w:pPr>
      <w:r>
        <w:rPr>
          <w:i/>
        </w:rPr>
        <w:t xml:space="preserve">Family design: total_fiat and total_biat sit in the directional family. </w:t>
      </w:r>
      <w:r>
        <w:t>An alternative grouping that moves both totals into a duration-and-totals family is added (Section IV-F, Table X). It changes the primary summary (for XGBoost, the leading family differs between contexts), and the text now says that the “steadier summary” depends on the grouping.</w:t>
      </w:r>
    </w:p>
    <w:p>
      <w:pPr>
        <w:pStyle w:val="ListBullet"/>
      </w:pPr>
      <w:r>
        <w:rPr>
          <w:i/>
        </w:rPr>
        <w:t xml:space="preserve">VPN rankings are more stable despite lower accuracy, without explanation. </w:t>
      </w:r>
      <w:r>
        <w:t>Section VI-F shows that the pattern holds only under random flow-level splits and reverses under cluster-grouped splits, which points to redundancy among related VPN flows; class balance is discussed as a smaller possible contributor.</w:t>
      </w:r>
    </w:p>
    <w:p>
      <w:pPr>
        <w:pStyle w:val="ListBullet"/>
      </w:pPr>
      <w:r>
        <w:rPr>
          <w:i/>
        </w:rPr>
        <w:t xml:space="preserve">The Logistic Regression baseline is weak. </w:t>
      </w:r>
      <w:r>
        <w:t>Dropped. Section III-D gives one sentence on its log-transformed macro F1 and why it was removed.</w:t>
      </w:r>
    </w:p>
    <w:p>
      <w:pPr>
        <w:pStyle w:val="ListBullet"/>
      </w:pPr>
      <w:r>
        <w:rPr>
          <w:i/>
        </w:rPr>
        <w:t xml:space="preserve">The abstract mixes single-fit numbers with half-split gaps. </w:t>
      </w:r>
      <w:r>
        <w:t>The abstract now gives the half-split mean cross-context ρ next to the single-fit values.</w:t>
      </w:r>
    </w:p>
    <w:p>
      <w:pPr>
        <w:pStyle w:val="ListBullet"/>
      </w:pPr>
      <w:r>
        <w:rPr>
          <w:i/>
        </w:rPr>
        <w:t xml:space="preserve">log(1 + x + 1) should be written log(x + 2). </w:t>
      </w:r>
      <w:r>
        <w:t>Corrected throughout.</w:t>
      </w:r>
    </w:p>
    <w:p>
      <w:pPr>
        <w:pStyle w:val="ListBullet"/>
      </w:pPr>
      <w:r>
        <w:rPr>
          <w:i/>
        </w:rPr>
        <w:t xml:space="preserve">IEEE numbering. </w:t>
      </w:r>
      <w:r>
        <w:t>References are renumbered by first appearance (automatically checked; all 57 are cited).</w:t>
      </w:r>
    </w:p>
    <w:p>
      <w:pPr>
        <w:pStyle w:val="ListBullet"/>
      </w:pPr>
      <w:r>
        <w:rPr>
          <w:i/>
        </w:rPr>
        <w:t xml:space="preserve">Length and redundancy. </w:t>
      </w:r>
      <w:r>
        <w:t>Sections VI and VII are merged into one section on explanation consistency; Section X opens with a single summary table (Table XIII); the training-bootstrap reference and its tables and figures were removed; limitations are condensed from 15 to 8 paragraphs. The paper now has 13 tables (was 17) and 8 figures (was 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