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40"/>
        <w:jc w:val="center"/>
        <w:rPr>
          <w:rStyle w:val="Hyperlink"/>
          <w:sz w:val="36"/>
          <w:szCs w:val="36"/>
          <w:vertAlign w:val="superscript"/>
        </w:rPr>
      </w:pPr>
      <w:r>
        <w:rPr>
          <w:sz w:val="24"/>
          <w:szCs w:val="24"/>
          <w:vertAlign w:val="superscript"/>
        </w:rPr>
        <w:t>*Corresponding author.</w:t>
      </w:r>
    </w:p>
    <w:p>
      <w:pPr>
        <w:pStyle w:val="Normal"/>
        <w:spacing w:lineRule="auto" w:line="264" w:before="240" w:after="120"/>
        <w:jc w:val="both"/>
        <w:rPr/>
      </w:pPr>
      <w:r>
        <w:rPr>
          <w:b/>
          <w:bCs/>
          <w:i/>
          <w:iCs/>
        </w:rPr>
        <w:t>Abstract—</w:t>
      </w:r>
      <w:r>
        <w:rP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We do not try to improve a classifier on this benchmark. We keep the classifier family fixed and ask whether its explanation is consistent across the two observation contexts that the dataset was built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 xml:space="preserve">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a single change in observation conditions. Guidelines for evaluating machine learning in security call for protection against sampling bias, data snooping and spurious correlations [26, 30], and the same care should apply when models are interpreted.</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the standard rank correlations and treat all positions alike, whereas rank-biased overlap [45] gives more weight to the top of a ranking. Bootstrap resampling can put confidence bounds around a ranking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Rows identical in all 23 features and the label were removed (271 Non-VPN and 413 VPN rows), leaving 8,694 Non-VPN and 9,380 VPN flows. We then split each context once into stratified 80% training and 20% test partitions. This split is our own, not one supplied with the dataset; we call it the primary split and its parts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flows, while VOIP decreases from 32.5% to 24.2%. MAIL is the smallest class in both contexts but grows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before training any model.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Because the labels disagree, memorising these vectors cannot raise test accuracy. These collisions make up at most 0.7% of the rows in the VPN test set, and we kept them.</w:t>
      </w:r>
    </w:p>
    <w:p>
      <w:pPr>
        <w:pStyle w:val="Normal"/>
        <w:spacing w:lineRule="auto" w:line="264" w:before="0" w:after="100"/>
        <w:ind w:firstLine="284"/>
        <w:jc w:val="both"/>
        <w:rPr>
          <w:lang w:val="en-US"/>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(three initialisations, fixed seed)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4"/>
        <w:gridCol w:w="1602"/>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4"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2"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tree_method = auto (library default, identical to hist here);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Except in the feature-selection step of Section IV-G, explanations are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Spearman and Kendall weight a swap between ranks 20 and 21 as heavily as one between ranks 1 and 2, and the bottom third of each list carries only about 0.2–3% of importance per feature (Section VI-A).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w:r>
        <w:rPr/>
      </w:r>
      <m:oMath xmlns:m="http://schemas.openxmlformats.org/officeDocument/2006/math">
        <m:r>
          <m:t xml:space="preserve">ρ</m:t>
        </m:r>
      </m:oMath>
      <w:r>
        <w:rPr/>
        <w:t>|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For five grouped designs (clusters of about 10 and 35 flows, calibrated clusters, calibrated row blocks and the first-versus-second-half split) we build the null in two ways, because neither is neutral on its own.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w:r>
        <w:rPr/>
      </w:r>
      <m:oMath xmlns:m="http://schemas.openxmlformats.org/officeDocument/2006/math">
        <m:r>
          <m:t xml:space="preserve">Δ</m:t>
        </m:r>
      </m:oMath>
      <w:r>
        <w:rP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w:r>
        <w:rPr/>
      </w:r>
      <m:oMath xmlns:m="http://schemas.openxmlformats.org/officeDocument/2006/math">
        <m:r>
          <m:t xml:space="preserve">Δ</m:t>
        </m:r>
      </m:oMath>
      <w:r>
        <w:rP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Without the per-file split, the two halves of a pseudo-context could hold very different shares of Non-VPN and VPN rows.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we refit the random-halves design with the same seeds and explain every half-model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We run k = 5, 10 and 15 for both models and repeat the selection 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separates a context-match effect from a difference in overall list quality.</w:t>
      </w:r>
    </w:p>
    <w:p>
      <w:pPr>
        <w:pStyle w:val="Normal"/>
        <w:spacing w:lineRule="auto" w:line="264" w:before="0" w:after="100"/>
        <w:ind w:firstLine="284"/>
        <w:jc w:val="both"/>
        <w:rPr/>
      </w:pPr>
      <w:r>
        <w:rPr/>
        <w:t>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evidence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8"/>
        <w:gridCol w:w="700"/>
        <w:gridCol w:w="782"/>
        <w:gridCol w:w="898"/>
        <w:gridCol w:w="808"/>
        <w:gridCol w:w="804"/>
        <w:gridCol w:w="808"/>
        <w:gridCol w:w="806"/>
        <w:gridCol w:w="804"/>
        <w:gridCol w:w="808"/>
        <w:gridCol w:w="806"/>
      </w:tblGrid>
      <w:tr>
        <w:trPr>
          <w:tblHeader w:val="true"/>
          <w:cantSplit w:val="true"/>
        </w:trPr>
        <w:tc>
          <w:tcPr>
            <w:tcW w:w="998"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2"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8"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5"/>
        <w:gridCol w:w="2109"/>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9"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w:r>
        <w:rPr/>
      </w:r>
      <m:oMath xmlns:m="http://schemas.openxmlformats.org/officeDocument/2006/math">
        <m:r>
          <m:t xml:space="preserve">ρ</m:t>
        </m:r>
      </m:oMath>
      <w:r>
        <w:rPr/>
        <w:t xml:space="preserve"> between the weighted and unweighted rankings 0.976–0.998), and cross-context </w:t>
      </w:r>
      <w:r>
        <w:rPr/>
      </w:r>
      <m:oMath xmlns:m="http://schemas.openxmlformats.org/officeDocument/2006/math">
        <m:r>
          <m:t xml:space="preserve">ρ</m:t>
        </m:r>
      </m:oMath>
      <w:r>
        <w:rPr/>
        <w:t xml:space="preserve"> stays at about the same level (0.821 and 0.792). The top-weighted measures move more: for Random Forest, RBO rises from 0.580 to 0.732 and the L1 distance falls from 0.333 to 0.270, and the Top-10 overlap drops by one feature for both models (Table VI).</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Normal"/>
        <w:spacing w:lineRule="auto" w:line="264" w:before="0" w:after="100"/>
        <w:ind w:firstLine="284"/>
        <w:jc w:val="both"/>
        <w:rPr/>
      </w:pPr>
      <w:r>
        <w:rPr/>
        <w:t>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8"/>
        <w:gridCol w:w="802"/>
        <w:gridCol w:w="1248"/>
        <w:gridCol w:w="1302"/>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2"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8"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2"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w:r>
        <w:rPr/>
      </w:r>
      <m:oMath xmlns:m="http://schemas.openxmlformats.org/officeDocument/2006/math">
        <m:r>
          <m:t xml:space="preserve">Δ</m:t>
        </m:r>
      </m:oMath>
      <w:r>
        <w:rPr/>
        <w:t xml:space="preserve"> of -0.001 for XGBoost (range -0.019 to 0.009) and +0.028 for Random Forest (range -0.010 to 0.052). Nor does the gap come mainly from explaining the two contexts on different records. When every half-model is explained on the same records, </w:t>
      </w:r>
      <w:r>
        <w:rPr/>
      </w:r>
      <m:oMath xmlns:m="http://schemas.openxmlformats.org/officeDocument/2006/math">
        <m:r>
          <m:t xml:space="preserve">Δ</m:t>
        </m:r>
      </m:oMath>
      <w:r>
        <w:rP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w:r>
        <w:rPr/>
      </w:r>
      <m:oMath xmlns:m="http://schemas.openxmlformats.org/officeDocument/2006/math">
        <m:r>
          <m:t xml:space="preserve">ρ</m:t>
        </m:r>
      </m:oMath>
      <w:r>
        <w:rPr/>
        <w:t xml:space="preserve">, although the RBO gap falls from 0.152 to 0.121–0.149. For Random Forest they account for about 21–28% of the gap, and the RBO gap falls from 0.302 to 0.161–0.189. The primary models agree: on common records their cross-context </w:t>
      </w:r>
      <w:r>
        <w:rPr/>
      </w:r>
      <m:oMath xmlns:m="http://schemas.openxmlformats.org/officeDocument/2006/math">
        <m:r>
          <m:t xml:space="preserve">ρ</m:t>
        </m:r>
      </m:oMath>
      <w:r>
        <w:rPr/>
        <w:t xml:space="preserve"> is 0.863–0.883 for Random Forest and 0.771–0.787 for XGBoost, against 0.830 and 0.786 on their own test partitions.</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The grouped null separates the two proxies (Table VII). For row blocks, both versions of the null give a mean </w:t>
      </w:r>
      <w:r>
        <w:rPr/>
      </w:r>
      <m:oMath xmlns:m="http://schemas.openxmlformats.org/officeDocument/2006/math">
        <m:r>
          <m:t xml:space="preserve">Δ</m:t>
        </m:r>
      </m:oMath>
      <w:r>
        <w:rP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w:r>
        <w:rPr/>
      </w:r>
      <m:oMath xmlns:m="http://schemas.openxmlformats.org/officeDocument/2006/math">
        <m:r>
          <m:t xml:space="preserve">Δ</m:t>
        </m:r>
      </m:oMath>
      <w:r>
        <w:rPr/>
        <w:t xml:space="preserve"> is negative (-0.095 to -0.009). In the group-level version, the pseudo-contexts agree less with each other than the real contexts do in all six model and cluster settings (for Random Forest with clusters of about 10 flows, cross-context </w:t>
      </w:r>
      <w:r>
        <w:rPr/>
      </w:r>
      <m:oMath xmlns:m="http://schemas.openxmlformats.org/officeDocument/2006/math">
        <m:r>
          <m:t xml:space="preserve">ρ</m:t>
        </m:r>
      </m:oMath>
      <w:r>
        <w:rPr/>
        <w:t xml:space="preserve"> 0.600 against 0.730), so </w:t>
      </w:r>
      <w:r>
        <w:rPr/>
      </w:r>
      <m:oMath xmlns:m="http://schemas.openxmlformats.org/officeDocument/2006/math">
        <m:r>
          <m:t xml:space="preserve">Δ</m:t>
        </m:r>
      </m:oMath>
      <w:r>
        <w:rP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pPr>
        <w:pStyle w:val="Normal"/>
        <w:spacing w:lineRule="auto" w:line="264" w:before="0" w:after="100"/>
        <w:ind w:firstLine="284"/>
        <w:jc w:val="both"/>
        <w:rPr/>
      </w:pPr>
      <w:r>
        <w:rPr/>
        <w:t>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8"/>
        <w:gridCol w:w="1452"/>
        <w:gridCol w:w="800"/>
        <w:gridCol w:w="798"/>
        <w:gridCol w:w="778"/>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8"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p>
            <w:pPr>
              <w:pStyle w:val="Normal"/>
              <w:spacing w:lineRule="auto" w:line="228"/>
              <w:jc w:val="center"/>
              <w:rPr/>
            </w:pPr>
            <w:r>
              <w:rPr>
                <w:sz w:val="17"/>
                <w:szCs w:val="17"/>
              </w:rPr>
              <w:t>-0.019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0.720 / 0.746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-0.009 (0.015)</w:t>
            </w:r>
          </w:p>
          <w:p>
            <w:pPr>
              <w:pStyle w:val="Normal"/>
              <w:spacing w:lineRule="auto" w:line="228"/>
              <w:jc w:val="center"/>
              <w:rPr/>
            </w:pPr>
            <w:r>
              <w:rPr>
                <w:sz w:val="17"/>
                <w:szCs w:val="17"/>
              </w:rPr>
              <w:t>-0.034 to 0.007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0.645 / 0.675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-0.029 (0.028)</w:t>
            </w:r>
          </w:p>
          <w:p>
            <w:pPr>
              <w:pStyle w:val="Normal"/>
              <w:spacing w:lineRule="auto" w:line="228"/>
              <w:jc w:val="center"/>
              <w:rPr/>
            </w:pPr>
            <w:r>
              <w:rPr>
                <w:sz w:val="17"/>
                <w:szCs w:val="17"/>
              </w:rPr>
              <w:t>-0.071 to 0.021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0.609 / 0.646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(0.024)</w:t>
            </w:r>
          </w:p>
          <w:p>
            <w:pPr>
              <w:pStyle w:val="Normal"/>
              <w:spacing w:lineRule="auto" w:line="228"/>
              <w:jc w:val="center"/>
              <w:rPr/>
            </w:pPr>
            <w:r>
              <w:rPr>
                <w:sz w:val="17"/>
                <w:szCs w:val="17"/>
              </w:rPr>
              <w:t>-0.064 to 0.002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0.788 / 0.798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0.931</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-0.004 (0.009)</w:t>
            </w:r>
          </w:p>
          <w:p>
            <w:pPr>
              <w:pStyle w:val="Normal"/>
              <w:spacing w:lineRule="auto" w:line="228"/>
              <w:jc w:val="center"/>
              <w:rPr/>
            </w:pPr>
            <w:r>
              <w:rPr>
                <w:sz w:val="17"/>
                <w:szCs w:val="17"/>
              </w:rPr>
              <w:t>-0.021 to 0.014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(0.013)</w:t>
            </w:r>
          </w:p>
          <w:p>
            <w:pPr>
              <w:pStyle w:val="Normal"/>
              <w:spacing w:lineRule="auto" w:line="228"/>
              <w:jc w:val="center"/>
              <w:rPr/>
            </w:pPr>
            <w:r>
              <w:rPr>
                <w:sz w:val="17"/>
                <w:szCs w:val="17"/>
              </w:rPr>
              <w:t>-0.019 to 0.023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+0.097 (0.079)</w:t>
            </w:r>
          </w:p>
          <w:p>
            <w:pPr>
              <w:pStyle w:val="Normal"/>
              <w:spacing w:lineRule="auto" w:line="228"/>
              <w:jc w:val="center"/>
              <w:rPr/>
            </w:pPr>
            <w:r>
              <w:rPr>
                <w:sz w:val="17"/>
                <w:szCs w:val="17"/>
              </w:rPr>
              <w:t>-0.017 to 0.291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0.717 / 0.706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0.794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+0.041 (0.058)</w:t>
            </w:r>
          </w:p>
          <w:p>
            <w:pPr>
              <w:pStyle w:val="Normal"/>
              <w:spacing w:lineRule="auto" w:line="228"/>
              <w:jc w:val="center"/>
              <w:rPr/>
            </w:pPr>
            <w:r>
              <w:rPr>
                <w:sz w:val="17"/>
                <w:szCs w:val="17"/>
              </w:rPr>
              <w:t>-0.025 to 0.186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0.645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0.797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+0.040 (0.075)</w:t>
            </w:r>
          </w:p>
          <w:p>
            <w:pPr>
              <w:pStyle w:val="Normal"/>
              <w:spacing w:lineRule="auto" w:line="228"/>
              <w:jc w:val="center"/>
              <w:rPr/>
            </w:pPr>
            <w:r>
              <w:rPr>
                <w:sz w:val="17"/>
                <w:szCs w:val="17"/>
              </w:rPr>
              <w:t>-0.061 to 0.234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+0.041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0.804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(0.022)</w:t>
            </w:r>
          </w:p>
          <w:p>
            <w:pPr>
              <w:pStyle w:val="Normal"/>
              <w:spacing w:lineRule="auto" w:line="228"/>
              <w:jc w:val="center"/>
              <w:rPr/>
            </w:pPr>
            <w:r>
              <w:rPr>
                <w:sz w:val="17"/>
                <w:szCs w:val="17"/>
              </w:rPr>
              <w:t>-0.024 to 0.050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0.792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(0.021)</w:t>
            </w:r>
          </w:p>
          <w:p>
            <w:pPr>
              <w:pStyle w:val="Normal"/>
              <w:spacing w:lineRule="auto" w:line="228"/>
              <w:jc w:val="center"/>
              <w:rPr/>
            </w:pPr>
            <w:r>
              <w:rPr>
                <w:sz w:val="17"/>
                <w:szCs w:val="17"/>
              </w:rPr>
              <w:t>-0.031 to 0.037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+0.168 (0.030)</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0.694 / 0.721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-0.026 (0.021)</w:t>
            </w:r>
          </w:p>
          <w:p>
            <w:pPr>
              <w:pStyle w:val="Normal"/>
              <w:spacing w:lineRule="auto" w:line="228"/>
              <w:jc w:val="center"/>
              <w:rPr/>
            </w:pPr>
            <w:r>
              <w:rPr>
                <w:sz w:val="17"/>
                <w:szCs w:val="17"/>
              </w:rPr>
              <w:t>-0.054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-0.30</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0.620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-0.064 (0.027)</w:t>
            </w:r>
          </w:p>
          <w:p>
            <w:pPr>
              <w:pStyle w:val="Normal"/>
              <w:spacing w:lineRule="auto" w:line="228"/>
              <w:jc w:val="center"/>
              <w:rPr/>
            </w:pPr>
            <w:r>
              <w:rPr>
                <w:sz w:val="17"/>
                <w:szCs w:val="17"/>
              </w:rPr>
              <w:t>-0.120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-0.066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0.594 / 0.625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0.693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-0.095 (0.042)</w:t>
            </w:r>
          </w:p>
          <w:p>
            <w:pPr>
              <w:pStyle w:val="Normal"/>
              <w:spacing w:lineRule="auto" w:line="228"/>
              <w:jc w:val="center"/>
              <w:rPr/>
            </w:pPr>
            <w:r>
              <w:rPr>
                <w:sz w:val="17"/>
                <w:szCs w:val="17"/>
              </w:rPr>
              <w:t>-0.193 to -0.034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-1.00</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0.894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-0.007 (0.025)</w:t>
            </w:r>
          </w:p>
          <w:p>
            <w:pPr>
              <w:pStyle w:val="Normal"/>
              <w:spacing w:lineRule="auto" w:line="228"/>
              <w:jc w:val="center"/>
              <w:rPr/>
            </w:pPr>
            <w:r>
              <w:rPr>
                <w:sz w:val="17"/>
                <w:szCs w:val="17"/>
              </w:rPr>
              <w:t>-0.053 to 0.030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0.748 / 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-0.022 (0.019)</w:t>
            </w:r>
          </w:p>
          <w:p>
            <w:pPr>
              <w:pStyle w:val="Normal"/>
              <w:spacing w:lineRule="auto" w:line="228"/>
              <w:jc w:val="center"/>
              <w:rPr/>
            </w:pPr>
            <w:r>
              <w:rPr>
                <w:sz w:val="17"/>
                <w:szCs w:val="17"/>
              </w:rPr>
              <w:t>-0.050 to 0.004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-0.45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+0.265 (0.184)</w:t>
            </w:r>
          </w:p>
          <w:p>
            <w:pPr>
              <w:pStyle w:val="Normal"/>
              <w:spacing w:lineRule="auto" w:line="228"/>
              <w:jc w:val="center"/>
              <w:rPr/>
            </w:pPr>
            <w:r>
              <w:rPr>
                <w:sz w:val="17"/>
                <w:szCs w:val="17"/>
              </w:rPr>
              <w:t>0.040 to 0.616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+0.187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+0.249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0.686 / 0.677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0.656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0.791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+0.115 (0.120)</w:t>
            </w:r>
          </w:p>
          <w:p>
            <w:pPr>
              <w:pStyle w:val="Normal"/>
              <w:spacing w:lineRule="auto" w:line="228"/>
              <w:jc w:val="center"/>
              <w:rPr/>
            </w:pPr>
            <w:r>
              <w:rPr>
                <w:sz w:val="17"/>
                <w:szCs w:val="17"/>
              </w:rPr>
              <w:t>-0.019 to 0.305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+0.82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+0.109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0.631 / 0.624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0.589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0.472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+0.080 (0.132)</w:t>
            </w:r>
          </w:p>
          <w:p>
            <w:pPr>
              <w:pStyle w:val="Normal"/>
              <w:spacing w:lineRule="auto" w:line="228"/>
              <w:jc w:val="center"/>
              <w:rPr/>
            </w:pPr>
            <w:r>
              <w:rPr>
                <w:sz w:val="17"/>
                <w:szCs w:val="17"/>
              </w:rPr>
              <w:t>-0.097 to 0.356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0.784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0.878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+0.023 (0.031)</w:t>
            </w:r>
          </w:p>
          <w:p>
            <w:pPr>
              <w:pStyle w:val="Normal"/>
              <w:spacing w:lineRule="auto" w:line="228"/>
              <w:jc w:val="center"/>
              <w:rPr/>
            </w:pPr>
            <w:r>
              <w:rPr>
                <w:sz w:val="17"/>
                <w:szCs w:val="17"/>
              </w:rPr>
              <w:t>-0.043 to 0.060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0.764 / 0.769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0.872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0.854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-0.017 (0.025)</w:t>
            </w:r>
          </w:p>
          <w:p>
            <w:pPr>
              <w:pStyle w:val="Normal"/>
              <w:spacing w:lineRule="auto" w:line="228"/>
              <w:jc w:val="center"/>
              <w:rPr/>
            </w:pPr>
            <w:r>
              <w:rPr>
                <w:sz w:val="17"/>
                <w:szCs w:val="17"/>
              </w:rPr>
              <w:t>-0.053 to 0.022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of XGBoost gives the same answer when it is compared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8"/>
        <w:gridCol w:w="1150"/>
        <w:gridCol w:w="1250"/>
        <w:gridCol w:w="1250"/>
        <w:gridCol w:w="1251"/>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8"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1"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also report a simplified conditional variant inspired by [36], which permutes each feature only within the cells formed by the training-data quintiles of the two features most correlated with it (absolute Spearman correlation on the training partition).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w:r>
        <w:rPr/>
      </w:r>
      <m:oMath xmlns:m="http://schemas.openxmlformats.org/officeDocument/2006/math">
        <m:r>
          <m:t xml:space="preserve">ρ</m:t>
        </m:r>
      </m:oMath>
      <w:r>
        <w:rPr/>
        <w:t xml:space="preserve"> is 0.523 (Random 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pPr>
        <w:pStyle w:val="Normal"/>
        <w:spacing w:lineRule="auto" w:line="264" w:before="0" w:after="100"/>
        <w:ind w:firstLine="284"/>
        <w:jc w:val="both"/>
        <w:rPr/>
      </w:pPr>
      <w:r>
        <w:rPr/>
        <w:t>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w:r>
        <w:rPr/>
      </w:r>
      <m:oMath xmlns:m="http://schemas.openxmlformats.org/officeDocument/2006/math">
        <m:r>
          <m:t xml:space="preserve">ρ</m:t>
        </m:r>
      </m:oMath>
      <w:r>
        <w:rPr/>
        <w:t xml:space="preserve"> with the main ranking 0.986–0.997), so they are not responsible for the minimum-IAT changes.</w:t>
      </w:r>
    </w:p>
    <w:p>
      <w:pPr>
        <w:pStyle w:val="Normal"/>
        <w:spacing w:lineRule="auto" w:line="264" w:before="0" w:after="100"/>
        <w:ind w:firstLine="284"/>
        <w:jc w:val="both"/>
        <w:rPr/>
      </w:pPr>
      <w:r>
        <w:rPr/>
        <w:t>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799"/>
        <w:gridCol w:w="802"/>
        <w:gridCol w:w="948"/>
        <w:gridCol w:w="802"/>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8"/>
        <w:gridCol w:w="1500"/>
        <w:gridCol w:w="1500"/>
        <w:gridCol w:w="1502"/>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8"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2"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spacing w:lineRule="auto" w:line="264" w:before="0" w:after="100"/>
        <w:ind w:firstLine="284"/>
        <w:jc w:val="both"/>
        <w:rPr/>
      </w:pPr>
      <w:r>
        <w:rPr>
          <w:lang w:val="en-US"/>
        </w:rP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w:r>
        <w:rPr/>
      </w:r>
      <m:oMath xmlns:m="http://schemas.openxmlformats.org/officeDocument/2006/math">
        <m:r>
          <m:t xml:space="preserve">ρ</m:t>
        </m:r>
      </m:oMath>
      <w:r>
        <w:rPr>
          <w:lang w:val="en-US"/>
        </w:rPr>
        <w:t xml:space="preserve"> by about 0.06. The eight-member directional family ranks first in every comparison, partly because it is the largest.</w:t>
      </w:r>
    </w:p>
    <w:p>
      <w:pPr>
        <w:pStyle w:val="Normal"/>
        <w:spacing w:lineRule="auto" w:line="264" w:before="0" w:after="100"/>
        <w:ind w:firstLine="284"/>
        <w:jc w:val="both"/>
        <w:rPr/>
      </w:pPr>
      <w:r>
        <w:rPr>
          <w:lang w:val="en-US"/>
        </w:rPr>
        <w:t>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spacing w:lineRule="auto" w:line="264" w:before="0" w:after="100"/>
        <w:ind w:firstLine="284"/>
        <w:jc w:val="both"/>
        <w:rPr/>
      </w:pPr>
      <w:r>
        <w:rPr>
          <w:lang w:val="en-US"/>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spacing w:lineRule="auto" w:line="264" w:before="0" w:after="100"/>
        <w:ind w:firstLine="284"/>
        <w:jc w:val="both"/>
        <w:rPr/>
      </w:pPr>
      <w:r>
        <w:rPr>
          <w:lang w:val="en-US"/>
        </w:rPr>
        <w:t>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therefore does not explain the XGBoost family-level difference at the finest grouping, though it may at coarser ones. When we say that grouping reduces the gap, we mean the feature-level gap, and a family summary should be read together with its grouping rule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4"/>
        <w:gridCol w:w="1001"/>
        <w:gridCol w:w="951"/>
        <w:gridCol w:w="949"/>
        <w:gridCol w:w="899"/>
        <w:gridCol w:w="1001"/>
        <w:gridCol w:w="1001"/>
      </w:tblGrid>
      <w:tr>
        <w:trPr>
          <w:tblHeader w:val="true"/>
          <w:cantSplit w:val="true"/>
        </w:trPr>
        <w:tc>
          <w:tcPr>
            <w:tcW w:w="3224"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US"/>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US"/>
        </w:rPr>
        <w:t>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8"/>
        <w:gridCol w:w="752"/>
        <w:gridCol w:w="1148"/>
        <w:gridCol w:w="752"/>
        <w:gridCol w:w="1074"/>
        <w:gridCol w:w="1102"/>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2"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4"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2"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8"/>
        <w:gridCol w:w="3364"/>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w:r>
        <w:rPr/>
      </w:r>
      <m:oMath xmlns:m="http://schemas.openxmlformats.org/officeDocument/2006/math">
        <m:r>
          <m:t xml:space="preserve">ρ</m:t>
        </m:r>
      </m:oMath>
      <w:r>
        <w:rPr/>
        <w:t xml:space="preserve"> = 0.730–0.801 when both are explained with the path-dependent formulation and 0.731–0.743 when both use the interventional one).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8"/>
        <w:gridCol w:w="900"/>
        <w:gridCol w:w="1028"/>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8"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8"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49"/>
        <w:gridCol w:w="1952"/>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49"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2"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on common records (range)</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0.134–0.147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0.123–0.130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 first vs second half, on common records (both test sets)</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+0.114 / +0.068</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+0.066 / +0.032</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w:t>
            </w:r>
            <w:r>
              <w:rPr>
                <w:sz w:val="17"/>
                <w:szCs w:val="17"/>
              </w:rPr>
              <w:t>minus group-level null, row blocks calibrated / first vs second half</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+0.130 / +0.111</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+0.069 / +0.035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spacing w:lineRule="auto" w:line="264" w:before="0" w:after="100"/>
        <w:ind w:firstLine="284"/>
        <w:jc w:val="both"/>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spacing w:lineRule="auto" w:line="264" w:before="0" w:after="100"/>
        <w:ind w:firstLine="284"/>
        <w:jc w:val="both"/>
        <w:rPr/>
      </w:pPr>
      <w:r>
        <w:rPr/>
        <w:t>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pPr>
        <w:pStyle w:val="Heading2"/>
        <w:keepNext w:val="true"/>
        <w:spacing w:before="180" w:after="80"/>
        <w:rPr/>
      </w:pPr>
      <w:r>
        <w:rPr/>
        <w:t>C. Correlated Features and the Role of Grouping</w:t>
      </w:r>
    </w:p>
    <w:p>
      <w:pPr>
        <w:pStyle w:val="Normal"/>
        <w:spacing w:lineRule="auto" w:line="264" w:before="0" w:after="100"/>
        <w:ind w:firstLine="284"/>
        <w:jc w:val="both"/>
        <w:rPr/>
      </w:pPr>
      <w:r>
        <w:rPr>
          <w:lang w:val="en-US"/>
        </w:rPr>
        <w:t>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spacing w:lineRule="auto" w:line="264" w:before="0" w:after="100"/>
        <w:ind w:firstLine="284"/>
        <w:jc w:val="both"/>
        <w:rPr/>
      </w:pPr>
      <w:r>
        <w:rPr>
          <w:lang w:val="en-US"/>
        </w:rPr>
        <w:t>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same under clusters of about ten flows, so related-flow redundancy explains it less clearly than it explains the feature-level gap, and family-level conclusions depend on the grouping rule and family sizes (Section VII).</w:t>
      </w:r>
    </w:p>
    <w:p>
      <w:pPr>
        <w:pStyle w:val="Heading2"/>
        <w:keepNext w:val="true"/>
        <w:spacing w:before="180" w:after="80"/>
        <w:rPr/>
      </w:pPr>
      <w:r>
        <w:rPr/>
        <w:t>D. Do Explanation Differences Matter?</w:t>
      </w:r>
    </w:p>
    <w:p>
      <w:pPr>
        <w:pStyle w:val="Normal"/>
        <w:spacing w:lineRule="auto" w:line="264" w:before="0" w:after="100"/>
        <w:ind w:firstLine="284"/>
        <w:jc w:val="both"/>
        <w:rPr/>
      </w:pPr>
      <w:r>
        <w:rPr>
          <w:lang w:val="en-US"/>
        </w:rPr>
        <w:t>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spacing w:lineRule="auto" w:line="264" w:before="0" w:after="100"/>
        <w:ind w:firstLine="284"/>
        <w:jc w:val="both"/>
        <w:rPr/>
      </w:pPr>
      <w:r>
        <w:rPr>
          <w:lang w:val="en-US"/>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Heading2"/>
        <w:keepNext w:val="true"/>
        <w:spacing w:before="180" w:after="80"/>
        <w:rPr/>
      </w:pPr>
      <w:r>
        <w:rPr/>
        <w:t>E. Implications for Explainable Network Security Systems</w:t>
      </w:r>
    </w:p>
    <w:p>
      <w:pPr>
        <w:pStyle w:val="Normal"/>
        <w:spacing w:lineRule="auto" w:line="264" w:before="0" w:after="100"/>
        <w:ind w:firstLine="284"/>
        <w:jc w:val="both"/>
        <w:rPr/>
      </w:pPr>
      <w:r>
        <w:rPr>
          <w:b w:val="false"/>
          <w:bCs w:val="false"/>
          <w:lang w:val="en-US"/>
        </w:rPr>
        <w:t xml:space="preserve">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When two sets of rankings are compared, it helps to know how much of the difference comes only from explaining the models on different records: under random halves this accounts for about 21–28% of the Random Forest gap here and for almost none of the XGBoost gap. Explaining a model on the other context's records evaluates it outside its own data, so this is a diagnostic, not a better ranking. When explanations drive a decision, such as which features to keep, that decision should be tested on held-out data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0.43–0.61 macro F1 in the other. The SHAP rankings of the two contexts are correlated but not interchangeable: Spearman's </w:t>
      </w:r>
      <w:r>
        <w:rPr/>
      </w:r>
      <m:oMath xmlns:m="http://schemas.openxmlformats.org/officeDocument/2006/math">
        <m:r>
          <m:t xml:space="preserve">ρ</m:t>
        </m:r>
      </m:oMath>
      <w:r>
        <w:rPr/>
        <w:t xml:space="preserve"> is 0.83 for Random Forest and 0.79 for XGBoost, RBO is 0.58 and 0.75, and each model keeps three of its five leading features.</w:t>
      </w:r>
    </w:p>
    <w:p>
      <w:pPr>
        <w:pStyle w:val="Normal"/>
        <w:spacing w:lineRule="auto" w:line="264" w:before="0" w:after="100"/>
        <w:ind w:firstLine="284"/>
        <w:jc w:val="both"/>
        <w:rPr/>
      </w:pPr>
      <w:r>
        <w:rPr/>
        <w:t>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pPr>
        <w:pStyle w:val="Normal"/>
        <w:spacing w:lineRule="auto" w:line="264" w:before="0" w:after="100"/>
        <w:ind w:firstLine="284"/>
        <w:jc w:val="both"/>
        <w:rPr/>
      </w:pPr>
      <w:r>
        <w:rPr/>
        <w:t>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pPr>
        <w:pStyle w:val="Normal"/>
        <w:spacing w:lineRule="auto" w:line="264" w:before="0" w:after="100"/>
        <w:ind w:firstLine="284"/>
        <w:jc w:val="both"/>
        <w:rPr/>
      </w:pPr>
      <w:r>
        <w:rPr/>
        <w:t>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pPr>
        <w:pStyle w:val="Heading1"/>
        <w:keepNext w:val="true"/>
        <w:spacing w:before="280" w:after="120"/>
        <w:jc w:val="center"/>
        <w:rPr/>
      </w:pPr>
      <w:r>
        <w:rPr/>
        <w:t>DATA AND CODE AVAILABILITY</w:t>
      </w:r>
    </w:p>
    <w:p>
      <w:pPr>
        <w:pStyle w:val="Normal"/>
        <w:spacing w:lineRule="auto" w:line="264" w:before="0" w:after="100"/>
        <w:ind w:firstLine="284"/>
        <w:jc w:val="both"/>
        <w:rPr/>
      </w:pPr>
      <w:r>
        <w:rPr/>
        <w:t>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 xml:space="preserve">[55]M. G. Kendall, “The treatment of ties in ranking problems,” Biometrika,</w:t>
        <w:tab/>
      </w:r>
      <w:r>
        <w:rPr>
          <w:i/>
          <w:iCs/>
          <w:sz w:val="18"/>
          <w:szCs w:val="18"/>
        </w:rPr>
        <w:t xml:space="preserve"/>
      </w:r>
      <w:r>
        <w:rPr>
          <w:sz w:val="18"/>
          <w:szCs w:val="18"/>
        </w:rPr>
        <w:t xml:space="preserve">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[56]munhouiani, “Deep-Packet: PyTorch implementation of Deep Packet,” GitHub repository. Accessed: Oct. 15, 2026. [Online]. Available: https://github.com/munhouiani/Deep-Packet</w:t>
        <w:tab/>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LibreOffice/26.2.1.2$Windows_X86_64 LibreOffice_project/620$Build-2</Application>
  <AppVersion>15.0000</AppVersion>
  <Pages>36</Pages>
  <Words>20764</Words>
  <Characters>108877</Characters>
  <CharactersWithSpaces>128144</CharactersWithSpaces>
  <Paragraphs>1543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2026-10-20T21:03:52Z</dcterms:modified>
  <cp:revision>6</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