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 xml:space="preserve">piyush.kothari2024@vitstudent.ac.in </w:t>
      </w:r>
    </w:p>
    <w:p>
      <w:pPr>
        <w:pStyle w:val="Normal"/>
        <w:spacing w:lineRule="auto" w:line="240"/>
        <w:jc w:val="center"/>
        <w:rPr>
          <w:rStyle w:val="Hyperlink"/>
          <w:sz w:val="36"/>
          <w:szCs w:val="36"/>
          <w:vertAlign w:val="superscript"/>
        </w:rPr>
      </w:pPr>
      <w:r>
        <w:rPr>
          <w:sz w:val="24"/>
          <w:szCs w:val="24"/>
          <w:vertAlign w:val="superscript"/>
        </w:rPr>
        <w:t>*Corresponding author.</w:t>
      </w:r>
    </w:p>
    <w:p>
      <w:pPr>
        <w:pStyle w:val="Normal"/>
        <w:spacing w:lineRule="auto" w:line="264" w:before="240" w:after="120"/>
        <w:jc w:val="both"/>
        <w:rPr/>
      </w:pPr>
      <w:r>
        <w:rPr>
          <w:b/>
          <w:bCs/>
          <w:i/>
          <w:iCs/>
        </w:rPr>
        <w:t>Abstract—</w:t>
      </w:r>
      <w:r>
        <w:rPr/>
        <w:t>Global SHAP rankings are commonly interpreted as a guide to encrypted traffic, but a ranking learned in one observation context may not apply elsewhere. This is evaluated on the seven-class application task of the ISCX VPN-nonVPN benchmark, using TreeSHAP to explain Random Forest and XGBoost models trained separately on Non-VPN and VPN flows. Each model keeps only three of its five leading features across contexts. Compared with models trained on random halves of one context, cross-context Spearman agreement is lower by 0.13 (XGBoost) and 0.19 (Random Forest), which a permutation null preserving both class mixes does not replicate. Keeping related flows in the same half reduces the gap by an amount that depends on the proxy for capture sessions: to about zero on average with clusters of similar flows roughly the size of the capture files, where the half-models are weak and opposite gaps in the two contexts cancel, but only to 0.07 and 0.15 with blocks of consecutive flows in the original files, and to 0.03 and 0.09 with first- and second-half splits. A model trained in one context reaches only 0.43–0.61 macro F1 in the other, while a SHAP-chosen Top-10 feature list loses little macro F1 when transferred, in a test of limited power. Part of the random-split gap reflects related flows; at the two row-block settings tested, a smaller gap remains on common explained records and above a grouped permutation null, but the contexts are different capture sets, so none of it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 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Correlated features are a known weak point of Shapley values: credit is divided according to the fitted model, not the data distribution [18–20], and flow features are strongly correlated, since the minimum, mean, maximum and total inter-arrival times of a flow tend to move together. When two similar models rank such features differently, the cause may be a real difference in what the models learned or simply training randomness.</w:t>
      </w:r>
    </w:p>
    <w:p>
      <w:pPr>
        <w:pStyle w:val="Normal"/>
        <w:spacing w:lineRule="auto" w:line="264" w:before="0" w:after="100"/>
        <w:ind w:firstLine="284"/>
        <w:jc w:val="both"/>
        <w:rPr/>
      </w:pPr>
      <w:r>
        <w:rPr/>
        <w:t xml:space="preserve">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w:t>
      </w:r>
      <w:r>
        <w:rPr/>
        <w:t xml:space="preserve">This paper investigates </w:t>
      </w:r>
      <w:r>
        <w:rPr/>
        <w:t>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run with random and with grouped halves. It also checks whether the gap survives when the models of both contexts are explained on the same records.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As encryption spread, traffic classification moved from port and payload analysis to statistical and learning-based methods, as several surveys report [1–3]. Encryption does not remove all information about a flow: inter-arrival times, packet sizes, byte and packet rates and flow duration remain observable and can serve as features. Classical learners on such features perform well on many tasks [3, 4], and deep models that take packet sequences or raw bytes as input [5–8, 21] have done better in some settings. Comparing these methods is difficult because studies prepare, split and label their data differently [22, 23]. VPN traffic adds another layer. Draper-Gil et al. [4] captured traffic from several application categories inside and outside a VPN and showed that time-related features can both detect VPN traffic and identify the application inside the tunnel; the companion paper [24] used similar features to recognise Tor traffic. The same dataset was later used to evaluate deep learning models that take packet- or byte-level input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ISCX VPN-nonVPN is a popular benchmark for encrypted and VPN traffic classification. Some studies use its time-related features [4]; others rebuild packet- or byte-level input from the raw captures [5, 7, 8]. Two properties of the benchmark matter here: it is old, and it has been used heavily. Jacobs et al. [23] distilled network-security classifiers into interpretable surrogate models and found that several relied on spurious, context-dependent patterns that would probably not hold outside the benchmark. Their warning applies directly to reading benchmark explanations as general facts about network traffic. There is no attempt to improve a classifier on this benchmark. Instead, the classifier family is kept fixed, and the consistency of its explanations is examined across the two observation contexts that the dataset was built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Security classifiers are increasingly expected to explain their decisions, both to support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this study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a single change in observation conditions. Guidelines for evaluating machine learning in security call for protection against sampling bias, data snooping and spurious correlations [26, 30], and the same care should apply when models are interpreted.</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In SHAP the model output is treated as the payoff of a cooperative game, and each feature receives its Shapley value [31] in that game. For a single instance the values sum to the difference between the model's prediction and a baseline value [13]. TreeSHAP [14] computes these values efficiently for tree ensembles, in two common formulations. The tree-path-dependent version takes its reference behaviour from the cover statistics stored in the trees, so it needs no background dataset. The interventional version averages over a background sample, which breaks the dependence between features and yields a marginal (interventional) value function [19, 32]. The two versions answer different questions, and neither makes a claim about causal relationships in the data-generating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This study does neither. The analysis adds up mean absolute SHAP importances already computed for each member feature. This descriptive quantity is called aggregated feature-family importance and is not equated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input perturbations [15, 16], sampling in local surrogate methods [40], adversarial manipulation of explanations [41] or disagreement between explanation methods [17]. Fisher et al. [42] observe that models with roughly equal performance can have substantially different importance profiles, so the profile of one model is only one member of a set of plausible profiles. Comparing feature rankings calls for rank statistics, such as the number of features shared by the top of two rankings. Spearman's </w:t>
      </w:r>
      <w:r>
        <w:rPr/>
      </w:r>
      <m:oMath xmlns:m="http://schemas.openxmlformats.org/officeDocument/2006/math">
        <m:r>
          <m:t xml:space="preserve">ρ</m:t>
        </m:r>
      </m:oMath>
      <w:r>
        <w:rPr/>
        <w:t xml:space="preserve"> [43] and Kendall's </w:t>
      </w:r>
      <w:r>
        <w:rPr/>
      </w:r>
      <m:oMath xmlns:m="http://schemas.openxmlformats.org/officeDocument/2006/math">
        <m:r>
          <m:t xml:space="preserve">τ</m:t>
        </m:r>
      </m:oMath>
      <w:r>
        <w:rPr/>
        <w:t xml:space="preserve"> [44] are the standard rank correlations and treat all positions alike, whereas rank-biased overlap [45] gives more weight to the top of a ranking. Bootstrap resampling can put confidence bounds around a ranking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 xml:space="preserve">SHAP has been used before to explain the cross-domain performance of network intrusion detection [48], and explainable traffic-analysis studies have looked at encrypted-traffic datasets, ISCX VPN-nonVPN among them [49]. </w:t>
      </w:r>
      <w:r>
        <w:rPr/>
        <w:t>T</w:t>
      </w:r>
      <w:r>
        <w:rPr/>
        <w:t xml:space="preserve">he question is narrower. Within the shared ISCX feature schema and the same seven-class application task, do the global SHAP rankings of VPN and Non-VPN traffic differ by more than the rankings of models trained on different, and suitably independent, data from one context? Importance is aggregated into six predefined feature families, and the change in predictive performance is measured when a trained model, or a Top-k feature list, is carried from one context to the other. The contribution is tied to this benchmark and this evaluation design, and it is not offered as the first SHAP study to span domains. </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pPr>
      <w:r>
        <w:rPr/>
        <w:t xml:space="preserve">The input is the time-related feature release of the ISCX VPN-nonVPN dataset [4], distributed by the Canadian Institute for Cybersecurity at the University of New Brunswick [50]. The Scenario A2 files are used for the 15 s flow timeout (TimeBasedFeatures-Dataset-15s-NO-VPN.arff and TimeBasedFeatures-Dataset-15s-VPN.arff), containing 8,965 and 9,793 flows, respectively. Rows identical in all 23 features and the label were removed (271 Non-VPN and 413 VPN rows), leaving 8,694 Non-VPN and 9,380 VPN flows. </w:t>
      </w:r>
      <w:r>
        <w:rPr/>
        <w:t>Each context was then split once into stratified training and test partitions with 80% of the data used for training and 20% for testing. This split was created for the present study and is not supplied with the dataset; it is referred to hereafter as the primary split, and its two parts as the primary partitions. Every processed record was also verified to map back to a row of the original ARFF files.</w:t>
      </w:r>
    </w:p>
    <w:p>
      <w:pPr>
        <w:pStyle w:val="Normal"/>
        <w:spacing w:lineRule="auto" w:line="264" w:before="0" w:after="100"/>
        <w:ind w:firstLine="284"/>
        <w:jc w:val="both"/>
        <w:rPr/>
      </w:pPr>
      <w:r>
        <w:rPr/>
        <w:t>Some feature vectors occur more than once within a training partition, even after that step: two vectors account for 6 Non-VPN training rows (4 surplus rows) and 11 vectors for 26 VPN training rows (15 surplus rows). Each of them occurs with more than one label, which is why exact-row deduplication kept them.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two separate seven-class problems are solved.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give the class distribution of the primary partitions. Within each context, training and test have the same profile (total variation distance 0.001 in both contexts), as a stratified split should. Across contexts they differ. FT takes up 9.9% of Non-VPN training flows and 20.1% of VPN training flows, while VOIP decreases from 32.5% to 24.2%. MAIL is the smallest class in both contexts but grows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The largest class is 11.9 times the size of the smallest in Non-VPN and 5.8 times in VPN. A model fitted to one class distribution can attribute importance differently from a model fitted to another, even when the flows within each class look the same, so class mix is treated as a potential confounder and is tested directly in Section VI-D.</w:t>
      </w:r>
    </w:p>
    <w:p>
      <w:pPr>
        <w:pStyle w:val="Normal"/>
        <w:spacing w:lineRule="auto" w:line="264" w:before="0" w:after="100"/>
        <w:ind w:firstLine="284"/>
        <w:jc w:val="both"/>
        <w:rPr/>
      </w:pPr>
      <w:r>
        <w:rPr/>
        <w:t xml:space="preserve">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the deduplication kept all of them; 59 of the 1,000 Non-VPN P2P rows were duplicates, leaving 941. The frequencies of these two classes are therefore set by how the benchmark was assembled, not by the traffic, </w:t>
      </w:r>
      <w:r>
        <w:rPr/>
        <w:t>and are not interpreted in this study.</w:t>
      </w:r>
      <w:r>
        <w:rPr/>
        <w:t xml:space="preserve">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training sizes used for class-matched training of XGBoost in Section VI-D; matched models are explained on the full test partition, so there is no matched test set.</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pPr>
      <w:r>
        <w:rPr/>
        <w:t xml:space="preserve">The partitions were audited before training any model. Counting each repeated row within a partition only once, Non-VPN has 6,951 distinct feature vectors in the training set and 1,737 in the test set, and exactly one vector appears in both. VPN has 7,489 and 1,875, with thirteen shared. </w:t>
      </w:r>
      <w:r>
        <w:rPr/>
        <w:t xml:space="preserve">Each shared vector has one label in the training set and another in the test set, so these cases are referred to as feature-vector collisions rather than copies. </w:t>
      </w:r>
      <w:r>
        <w:rPr/>
        <w:t xml:space="preserve">Because the labels disagree, memorising these vectors cannot raise test accuracy. </w:t>
      </w:r>
      <w:r>
        <w:rPr/>
        <w:t xml:space="preserve">These collisions make up at most 0.7% of the rows in the VPN test set and were retained for the analysis. </w:t>
      </w: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Therefore the audit was repeated after a log transform, log(x + 2) with values clipped at -1 so that the sentinel maps to zero, followed by standardisation, and after a rank (quantile) transform, both fitted on training data only. For each record the distance was measured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pPr>
      <w:r>
        <w:rPr/>
        <w:t xml:space="preserve">Test records are as close to the training data as training records are to each other. That is what a random split of correlated flows produces, so the audit rules out gross copying but not dependence between related flows. </w:t>
      </w:r>
      <w:r>
        <w:rPr/>
        <w:t>As a proxy for session grouping, the log-transformed training flows in each context were clustered into 50 k-means clusters using three initialisations and a fixed seed. Five-fold cross-validation that kept the clusters intact was then compared with ordinary stratified five-fold cross-validation.</w:t>
      </w:r>
      <w:r>
        <w:rPr/>
        <w:t xml:space="preserve">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pPr>
      <w:r>
        <w:rPr/>
        <w:t xml:space="preserve">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t>
      </w:r>
      <w:r>
        <w:rPr/>
        <w:t>The primary partitions are therefore retained for single fits, while half-splits that keep either clusters of similar flows or blocks of consecutive rows from the original files together are used as within-context references (Section IV-D). This limitation is revisited in Section XI.</w:t>
      </w:r>
    </w:p>
    <w:p>
      <w:pPr>
        <w:pStyle w:val="Heading2"/>
        <w:keepNext w:val="true"/>
        <w:spacing w:before="180" w:after="80"/>
        <w:rPr/>
      </w:pPr>
      <w:r>
        <w:rPr/>
        <w:t>D. Models and Implementation</w:t>
      </w:r>
    </w:p>
    <w:p>
      <w:pPr>
        <w:pStyle w:val="Normal"/>
        <w:spacing w:lineRule="auto" w:line="264" w:before="0" w:after="100"/>
        <w:ind w:firstLine="284"/>
        <w:jc w:val="both"/>
        <w:rPr/>
      </w:pPr>
      <w:r>
        <w:rPr/>
        <w:t xml:space="preserve">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t>
      </w:r>
      <w:r>
        <w:rPr/>
        <w:t>The linear baseline was not retained. Even after a log(x + 2) transformation, multinomial Logistic Regression achieved macro F1 scores of 0.754 (Non-VPN) and 0.724 (VPN), compared with 0.85–0.93 for the ensemble models.</w:t>
      </w:r>
    </w:p>
    <w:p>
      <w:pPr>
        <w:pStyle w:val="Normal"/>
        <w:spacing w:lineRule="auto" w:line="264" w:before="0" w:after="100"/>
        <w:ind w:firstLine="284"/>
        <w:jc w:val="both"/>
        <w:rPr/>
      </w:pPr>
      <w:r>
        <w:rPr/>
        <w:t>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3"/>
        <w:gridCol w:w="1603"/>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3"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3"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3"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3"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3" w:type="dxa"/>
            <w:tcBorders>
              <w:top w:val="single" w:sz="6" w:space="0" w:color="000000"/>
              <w:bottom w:val="single" w:sz="6" w:space="0" w:color="000000"/>
            </w:tcBorders>
            <w:vAlign w:val="center"/>
          </w:tcPr>
          <w:p>
            <w:pPr>
              <w:pStyle w:val="Normal"/>
              <w:spacing w:lineRule="auto" w:line="228"/>
              <w:jc w:val="center"/>
              <w:rPr/>
            </w:pPr>
            <w:r>
              <w:rPr>
                <w:sz w:val="17"/>
                <w:szCs w:val="17"/>
              </w:rPr>
              <w:t>200 estimators; multi:softprob, 7 classes; max_depth = 6; learning_rate = 0.1; subsample = 0.8; colsample_bytree = 0.8; min_child_weight = 1; eval_metric = mlogloss; tree_method = auto (library default, identical to hist here); random_state = 42</w:t>
            </w:r>
          </w:p>
        </w:tc>
        <w:tc>
          <w:tcPr>
            <w:tcW w:w="1603"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3"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3"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3"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3"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pPr>
      <w:r>
        <w:rPr/>
        <w:t xml:space="preserve">Fig. 2 sketches the analysis. Primary models and rankings are fitted on the primary partitions. Three within-context references describe how much rankings move without any change of context (Section IV-D). </w:t>
      </w:r>
      <w:r>
        <w:rPr/>
        <w:t>In addition, class composition is tested directly, models are retrained excluding the minimum-IAT features and compared to permutation importance, importance is aggregated to feature families, two practical consequences of explanation differences are measured, and both sentinel and robustness checks are carried out.</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3"/>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w:t>
      </w:r>
      <w:r>
        <w:rPr/>
        <w:t xml:space="preserve">The tree-path-dependent form of TreeSHAP [14] is used for the primary analysis. </w:t>
      </w:r>
      <w:r>
        <w:rPr/>
        <w:t xml:space="preserve">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w:t>
      </w:r>
      <w:r>
        <w:rPr/>
        <w:t xml:space="preserve">As a result, raw attribution sizes cannot be directly compared between the two models. Wherever such comparisons are made, ranks or normalised shares computed within each model are used instead. </w:t>
      </w:r>
      <w:r>
        <w:rPr/>
        <w:t xml:space="preserve">Except in the feature-selection step of Section IV-G, explanations are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 xml:space="preserve">Averaging over output classes leaves one global ranking for each model and context. That is not the same as balancing the true classes among the explained records. Each test record is counted once, so frequent classes contribute more records. Importance is therefore also reported with the true classes weighted equally. Neither version, however, captures class-specific or instance-level consistency. 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A ranking is therefore treated as a description of what a model relies on, and </w:t>
      </w:r>
      <w:r>
        <w:rPr/>
        <w:t>c</w:t>
      </w:r>
      <w:r>
        <w:rPr/>
        <w:t xml:space="preserve">omparisons across contexts are comparisons of that reliance.  </w:t>
      </w:r>
    </w:p>
    <w:p>
      <w:pPr>
        <w:pStyle w:val="Heading2"/>
        <w:keepNext w:val="true"/>
        <w:spacing w:before="180" w:after="80"/>
        <w:rPr/>
      </w:pPr>
      <w:r>
        <w:rPr/>
        <w:t>C. Ranking Agreement Measures</w:t>
      </w:r>
    </w:p>
    <w:p>
      <w:pPr>
        <w:pStyle w:val="Normal"/>
        <w:spacing w:lineRule="auto" w:line="264" w:before="0" w:after="100"/>
        <w:jc w:val="both"/>
        <w:rPr/>
      </w:pPr>
      <w:r>
        <w:rPr/>
        <w:t>The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[55],</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Its denominator corrects for ties. Both coefficients are computed on ranks in which tied values receive their average rank; Spearman's coefficient is then the correlation of these ranks, which equals (3) when there are no ties. SHAP importances contain no ties, and ties arise only for permutation importance (Section VI-E).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Mean absolute rank displacement, the average distance a feature's rank moves between the two lists, is also reported. It expresses disagreement in rank positions, which the correlations do not.</w:t>
      </w:r>
    </w:p>
    <w:p>
      <w:pPr>
        <w:pStyle w:val="Normal"/>
        <w:spacing w:lineRule="auto" w:line="264" w:before="0" w:after="100"/>
        <w:ind w:firstLine="284"/>
        <w:jc w:val="both"/>
        <w:rPr/>
      </w:pPr>
      <w:r>
        <w:rPr/>
        <w:t xml:space="preserve">Spearman and Kendall weight a swap between ranks 20 and 21 as heavily as one between ranks 1 and 2, and the bottom third of each list carries only about 0.2–3% of importance per feature (Section VI-A). </w:t>
      </w:r>
      <w:r>
        <w:rPr/>
        <w:t>Two measures that emphasise the top of the rankings are therefore included</w:t>
      </w:r>
      <w:r>
        <w:rPr/>
        <w:t>. Rank-biased overlap [45] averages the overlap of the two Top-d sets with depth weights (1 - p)p</w:t>
      </w:r>
      <w:r>
        <w:rPr>
          <w:vertAlign w:val="superscript"/>
        </w:rPr>
        <w:t>d-1</w:t>
      </w:r>
      <w:r>
        <w:rPr/>
        <w:t>, which shrink by a factor p at each further depth d. The extrapolated form is used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the reported measures include Spearman, Kendall, Top-k overlap and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Three designs serve as this reference,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(scikit-learn k-means with three initialisations and a seed fixed per repeat, context and class). Whole clusters are then assigned to the halves greedily: from the largest to the smallest, with clusters of equal size in random order, each goes to the half that currently holds fewer flows.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(Section VI-C).</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list of capture-file prefixes in a public, independent implementation of Deep Packet [7, 56] names 109 Non-VPN and 30 VPN capture files for CHAT, FT, MAIL, STREAMING and VOIP and one VPN P2P capture; it lists no Non-VPN P2P capture and no dedicated BROWSING captures. Dividing each class's flows in the 15 s files by its number of captures gives 25–83 flows per capture without a VPN (median 44.5) and 95–324 with one (median 245.5), and about 80% of that in a training partition. Non-VPN captures are therefore closest to the setting of about 35 flows per cluster, and VPN captures to the coarsest setting or beyond. A calibrated design was added in which the number of clusters for each class equals its number of capture files (at least four), and BROWSING gets as many clusters as its flows divided by the context's median flows per capture. Non-VPN P2P, which the list omits, is counted as one capture; with the minimum of four clusters this has no effect. The estimate is rough: the prefix list comes from third-party code, it lists at most one P2P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is not built from the features. In the released Scenario A2 ARFF files, flows are sorted by class and, within a class, appear to be in the order in which the flow meter wrote them. Every deduplicated flow matches exactly one ARFF row, so its position in the file is known. Neighbouring rows are more alike than random rows of the same class, though not equally in every class. Over the deduplicated flows, the nearest of the 40 rows within 20 positions lies at about 0.36–0.76 times the distance of the nearest of 40 random rows (the exact range depends on which random rows are drawn), so some local structure exists in every class. Adjacent rows, however, are almost as different as random pairs for VPN FT, MAIL, P2P and VOIP (median distance ratio 0.81–0.99, against 0.11–0.77 in the other classes), and within a class the row position is itself correlated with some features (|</w:t>
      </w:r>
      <w:r>
        <w:rPr/>
      </w:r>
      <m:oMath xmlns:m="http://schemas.openxmlformats.org/officeDocument/2006/math">
        <m:r>
          <m:t xml:space="preserve">ρ</m:t>
        </m:r>
      </m:oMath>
      <w:r>
        <w:rPr/>
        <w:t>| up to 0.68). The files therefore seem to keep many flows of one capture close together, but the evidence is weak for those four VPN classes, and the dataset documentation does not describe the row order. Halves are formed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The resulting halves hold 3,264–3,476 training flows (3,264 with blocks of about 140 flows), against 3,476–3,477 for random halves. This grouping has its own weaknesses. Equal-sized blocks do not follow capture boundaries, so a capture can straddle two blocks and reach both halves, and the first-versus-second-half split may also separate different applications within a class. BROWSING and P2P, which hold 34–40% of the training flows, cannot be divided by capture with the information available: BROWSING has no capture files of its own in the prefix list, so its flows cannot be traced to captures, and P2P has at most one listed capture per context. The row-order blocks are a proxy for related flows, not a capture split, and they do not establish session independence.</w:t>
      </w:r>
    </w:p>
    <w:p>
      <w:pPr>
        <w:pStyle w:val="Normal"/>
        <w:spacing w:lineRule="auto" w:line="264" w:before="0" w:after="100"/>
        <w:ind w:firstLine="284"/>
        <w:jc w:val="both"/>
        <w:rPr/>
      </w:pPr>
      <w:r>
        <w:rPr>
          <w:i/>
          <w:iCs/>
        </w:rPr>
        <w:t>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t xml:space="preserve">For five grouped designs (clusters of about 10 and 35 flows, calibrated clusters, calibrated row blocks and the first-versus-second-half split) </w:t>
      </w:r>
      <w:r>
        <w:rPr/>
        <w:t>t</w:t>
      </w:r>
      <w:r>
        <w:rPr/>
        <w:t xml:space="preserve">he null is built in two ways, because neither is neutral on its own. In the flow-level version, flows are reassigned one by one as above and the grouped design is then applied within each pseudo-context. Flows of one capture then sit in both pseudo-contexts, so the pseudo cross pairs share more related flows than the grouped within pairs do, which pushes </w:t>
      </w:r>
      <w:r>
        <w:rPr/>
      </w:r>
      <m:oMath xmlns:m="http://schemas.openxmlformats.org/officeDocument/2006/math">
        <m:r>
          <m:t xml:space="preserve">Δ</m:t>
        </m:r>
      </m:oMath>
      <w:r>
        <w:rPr/>
        <w:t xml:space="preserve"> down. In the group-level version, whole capture-sized groups move instead: within each class and source file, the pooled flows are divided into the calibrated clusters (for the cluster designs) or the calibrated row blocks (for the row-block designs), and the groups are taken in random order, each going to the pseudo-context that is further below its original share of the class. Because whole groups move, class counts are matched only approximately. Calibrated clusters are regions of feature space, so for the cluster designs this version also gives the two pseudo-contexts different feature distributions, which pushes </w:t>
      </w:r>
      <w:r>
        <w:rPr/>
      </w:r>
      <m:oMath xmlns:m="http://schemas.openxmlformats.org/officeDocument/2006/math">
        <m:r>
          <m:t xml:space="preserve">Δ</m:t>
        </m:r>
      </m:oMath>
      <w:r>
        <w:rPr/>
        <w:t xml:space="preserve"> up. Row blocks are not built from the features, but row position is correlated with some of them, and the blocks of a pseudo-context need not coincide with the moved groups; both would raise the group-level row-block null slightly, so an excess measured against it is conservative. In both versions the grouped design runs separately on the flows of each source file, so that both halves hold the same mix of Non-VPN and VPN rows, and in the calibrated designs the number of groups is scaled to the share of the file's flows that a pseudo-context holds, so that groups stay about capture-sized. With these constraints the halves hold 2,409–3,589 training flows in the group-level version and 2,981–3,475 in the flow-level version, against 3,457–3,476 in the real grouped designs. Without the per-file split, the two halves of a pseudo-context could hold very different shares of Non-VPN and VPN rows.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Within-context pairs are thus explained on the same test records, whereas cross-context pairs are explained on the two contexts' different test partitions. Part of the cross-context disagreement could therefore come from the difference in explained records rather than from the models. To measure this, the random-halves design is refit with the same seeds and every half-model is explained on the explained records of both contexts, so that within- and cross-context pairs can be compared on one common record set: the Non-VPN records, the VPN records, or both together. Each refitted half-model reproduces the stored explanation on its own records exactly. The permutation null shares the asymmetry, since each pseudo-context is explained on its own test partition, but there the records of the two pseudo-contexts are exchangeable. Importance is also computed with true classes weighted equally. The repeats share one dataset and overlap in their test records, so they are not independent replications. The standard deviation and range of </w:t>
      </w:r>
      <w:r>
        <w:rPr/>
      </w:r>
      <m:oMath xmlns:m="http://schemas.openxmlformats.org/officeDocument/2006/math">
        <m:r>
          <m:t xml:space="preserve">Δ</m:t>
        </m:r>
      </m:oMath>
      <w:r>
        <w:rPr/>
        <w:t xml:space="preserve"> across repeats are used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run for XGBoost only,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the global importances  I</w:t>
      </w:r>
      <w:r>
        <w:rPr>
          <w:vertAlign w:val="subscript"/>
        </w:rPr>
        <w:t>j</w:t>
      </w:r>
      <w:r>
        <w:rPr/>
        <w:t xml:space="preserve">  of its members from (2) are added up and then normalised across the six families. 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families are therefore also ranked by the mean importance of their members. And the grouping is a choice: total_fiat and total_biat correlate with duration at Spearman 0.89–0.95 yet sit in the directional family, while duration forms a family of one.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are therefore also used. Family-level agreement is computed on the primary fits and in every half-split repeat. </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t>
      </w:r>
      <w:r>
        <w:rPr/>
        <w:t>T</w:t>
      </w:r>
      <w:r>
        <w:rPr/>
        <w:t xml:space="preserve">wo actions are tested.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In the feature-list transfer, features are selected from the training data only [57–59]. Each training partition is split, stratified by class, into an 80% inner-training part and a 20% inner-validation part. A selector model is fitted on the inner-training part, its TreeSHAP importance is computed on the inner-validation part (for Random Forest on a stratified sample of 800 inner-validation records), and the k most important features are kept. The reduced model is then refitted on the whole training partition with these features and evaluated on the test partition. The own list comes from the target context, and the transferred list comes from the other context with the same inner-split seed. </w:t>
      </w:r>
      <w:r>
        <w:rPr/>
        <w:t>Values of</w:t>
      </w:r>
      <w:r>
        <w:rPr/>
        <w:t xml:space="preserve"> k = 5, 10 and 15 are run for both models, and</w:t>
      </w:r>
      <w:r>
        <w:rPr/>
      </w:r>
      <w:r>
        <w:rPr/>
        <w:t xml:space="preserve"> the selection </w:t>
      </w:r>
      <w:r>
        <w:rPr/>
        <w:t xml:space="preserve">is repeated </w:t>
      </w:r>
      <w:r>
        <w:rPr/>
        <w:t xml:space="preserve">with five inner-split seeds. Since each list is scored on both targets, the four scores of a model form a 2 </w:t>
      </w:r>
      <w:r>
        <w:rPr/>
      </w:r>
      <m:oMath xmlns:m="http://schemas.openxmlformats.org/officeDocument/2006/math">
        <m:r>
          <m:t xml:space="preserve">×</m:t>
        </m:r>
      </m:oMath>
      <w:r>
        <w:rPr/>
        <w:t xml:space="preserve"> 2 design of list origin by target, which separates a context-match effect from a difference in overall list quality.</w:t>
      </w:r>
    </w:p>
    <w:p>
      <w:pPr>
        <w:pStyle w:val="Normal"/>
        <w:spacing w:lineRule="auto" w:line="264" w:before="0" w:after="100"/>
        <w:ind w:firstLine="284"/>
        <w:jc w:val="both"/>
        <w:rPr/>
      </w:pPr>
      <w:r>
        <w:rPr/>
        <w:t>Two control selections show whether SHAP-based selection matters at all: the bottom-10 list, made of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In S2, -1 is replaced by NaN in every feature,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XGBoost </w:t>
      </w:r>
      <w:r>
        <w:rPr/>
        <w:t xml:space="preserve">is also refit </w:t>
      </w:r>
      <w:r>
        <w:rPr/>
        <w:t>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Effect sizes and their spread are reported,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they are not reported.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Macro F1 is preferred because class mixes differ between contexts and BROWSING and VOIP fill over half of each test partition.</w:t>
      </w:r>
    </w:p>
    <w:p>
      <w:pPr>
        <w:pStyle w:val="Normal"/>
        <w:spacing w:lineRule="auto" w:line="264" w:before="0" w:after="100"/>
        <w:ind w:firstLine="284"/>
        <w:jc w:val="both"/>
        <w:rPr/>
      </w:pPr>
      <w:r>
        <w:rPr/>
        <w:t xml:space="preserve">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t>
      </w:r>
      <w:r>
        <w:rPr/>
        <w:t>T</w:t>
      </w:r>
      <w:r>
        <w:rPr/>
        <w:t xml:space="preserve">his is not read as evidence that a VPN makes streaming easier to identify; the captured streaming sessions or the classes streaming is confused with might differ between contexts, and a flow-level dataset cannot separate these explanations. </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7"/>
        <w:gridCol w:w="700"/>
        <w:gridCol w:w="783"/>
        <w:gridCol w:w="897"/>
        <w:gridCol w:w="809"/>
        <w:gridCol w:w="804"/>
        <w:gridCol w:w="808"/>
        <w:gridCol w:w="806"/>
        <w:gridCol w:w="803"/>
        <w:gridCol w:w="809"/>
        <w:gridCol w:w="806"/>
      </w:tblGrid>
      <w:tr>
        <w:trPr>
          <w:tblHeader w:val="true"/>
          <w:cantSplit w:val="true"/>
        </w:trPr>
        <w:tc>
          <w:tcPr>
            <w:tcW w:w="997"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3"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7"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9"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4"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3"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9"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7"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3"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7"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7"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3"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7"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7"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3"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7"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7"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3"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7"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4"/>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4"/>
        <w:gridCol w:w="2110"/>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4"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1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5"/>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about one sixth of the total importance changes hands, and the mean absolute rank change is 3.04 and 3.39 positions.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changes the rankings within contexts very little (</w:t>
      </w:r>
      <w:r>
        <w:rPr/>
      </w:r>
      <m:oMath xmlns:m="http://schemas.openxmlformats.org/officeDocument/2006/math">
        <m:r>
          <m:t xml:space="preserve">ρ</m:t>
        </m:r>
      </m:oMath>
      <w:r>
        <w:rPr/>
        <w:t xml:space="preserve"> between the weighted and unweighted rankings 0.976–0.998), and cross-context </w:t>
      </w:r>
      <w:r>
        <w:rPr/>
      </w:r>
      <m:oMath xmlns:m="http://schemas.openxmlformats.org/officeDocument/2006/math">
        <m:r>
          <m:t xml:space="preserve">ρ</m:t>
        </m:r>
      </m:oMath>
      <w:r>
        <w:rPr/>
        <w:t xml:space="preserve"> stays at about the same level (0.821 and 0.792). The top-weighted measures move more: for Random Forest, RBO rises from 0.580 to 0.732 and the L1 distance falls from 0.333 to 0.270, and the Top-10 overlap drops by one feature for both models (Table VI).</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Normal"/>
        <w:spacing w:lineRule="auto" w:line="264" w:before="0" w:after="100"/>
        <w:ind w:firstLine="284"/>
        <w:jc w:val="both"/>
        <w:rPr/>
      </w:pPr>
      <w:r>
        <w:rPr/>
        <w:t>Several of the features that move are correlated with others (Fig. 6), and that matters for how SHAP divides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Their Spearman correlation is 0.60 in both contexts between min_fiat and min_biat, 0.11 and 0.41 between min_fiat and min_flowiat, and 0.19 and 0.24 between min_biat and min_flowiat. By construction min_flowiat never exceeds the smaller of min_fiat and min_biat, but among the training flows in which at least one directional minimum is defined, it equals that minimum in only 48% (Non-VPN) and 34% (VPN) of cases (43% and 31% of all training flows), because interleaved forward and backward packets create shorter gaps. Moderate and non-monotone dependence of this kind can still redistribute SHAP credit, so Section VI-E tests the minimum-IAT shifts by retraining.</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8"/>
        <w:gridCol w:w="802"/>
        <w:gridCol w:w="1247"/>
        <w:gridCol w:w="1303"/>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8"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2"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7"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3"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7"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3"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7"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3"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7"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3"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7"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3"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6"/>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7"/>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 xml:space="preserve">The permutation null shows that the gap is not caused by either the half-split method or the class-mix difference alone. Allocating flows at random between two pseudo-contexts with the same Non-VPN and VPN class mixes gives a </w:t>
      </w:r>
      <w:r>
        <w:rPr/>
      </w:r>
      <m:oMath xmlns:m="http://schemas.openxmlformats.org/officeDocument/2006/math">
        <m:r>
          <m:t xml:space="preserve">Δ</m:t>
        </m:r>
      </m:oMath>
      <w:r>
        <w:rPr/>
        <w:t xml:space="preserve"> of -0.001 for XGBoost (range -0.019 to 0.009) and +0.028 for Random Forest (range -0.010 to 0.052). Nor does the gap come mainly from explaining the two contexts on different records. When every half-model is explained on the same records, </w:t>
      </w:r>
      <w:r>
        <w:rPr/>
      </w:r>
      <m:oMath xmlns:m="http://schemas.openxmlformats.org/officeDocument/2006/math">
        <m:r>
          <m:t xml:space="preserve">Δ</m:t>
        </m:r>
      </m:oMath>
      <w:r>
        <w:rPr/>
        <w:t xml:space="preserve"> is 0.123–0.130 for XGBoost and 0.134–0.147 for Random Forest across the three common record sets (the Non-VPN records, the VPN records and both together), against 0.129 and 0.186 when each model is explained on its own context's records, and it is positive in all 11 repeats for both models. For XGBoost the explained records make little difference to </w:t>
      </w:r>
      <w:r>
        <w:rPr/>
      </w:r>
      <m:oMath xmlns:m="http://schemas.openxmlformats.org/officeDocument/2006/math">
        <m:r>
          <m:t xml:space="preserve">ρ</m:t>
        </m:r>
      </m:oMath>
      <w:r>
        <w:rPr/>
        <w:t xml:space="preserve">, although the RBO gap falls from 0.152 to 0.121–0.149. For Random Forest they account for about 21–28% of the gap, and the RBO gap falls from 0.302 to 0.161–0.189. The primary models agree: on common records their cross-context </w:t>
      </w:r>
      <w:r>
        <w:rPr/>
      </w:r>
      <m:oMath xmlns:m="http://schemas.openxmlformats.org/officeDocument/2006/math">
        <m:r>
          <m:t xml:space="preserve">ρ</m:t>
        </m:r>
      </m:oMath>
      <w:r>
        <w:rPr/>
        <w:t xml:space="preserve"> is 0.863–0.883 for Random Forest and 0.771–0.787 for XGBoost, against 0.830 and 0.786 on their own test partitions.</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changes little for XGBoost (0.832 against 0.825) but falls for Random Forest (0.730 against 0.766),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0.752 for XGBoost and 0.297 for Random Forest) and half-model macro F1 is 0.53–0.68. The near-zero mean also hides opposite signs. For Random Forest, within-Non-VPN agreement exceeds cross-context agreement by 0.228, whereas within-VPN agreement lies 0.193 below it (XGBoost: +0.067 and -0.035). The calibrated mean therefore does not show that the gap disappears in either context; it averages a positive and a negative gap.</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far more accurate than under coarse clusters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+0.047. Under every row-order setting the Spearman gap is at or above zero in all 11 repeats for both models, but this is a weak observation. The repeats are not independent replications: they share one dataset, and in the first-versus-second-half split every repeat uses nearly the same two halves of each class, so what changes from repeat to repeat is mainly the outer partition, the subsample drawn from each half and the seeds. The smallest XGBoost value there is 0.0002, and the RBO and Top-5 gaps are negative in some of these repeats (RBO in 1 of 11 for XGBoost and 2 of 11 for Random Forest, Top-5 in 3 and 2).</w:t>
      </w:r>
    </w:p>
    <w:p>
      <w:pPr>
        <w:pStyle w:val="Normal"/>
        <w:spacing w:lineRule="auto" w:line="264" w:before="0" w:after="100"/>
        <w:ind w:firstLine="284"/>
        <w:jc w:val="both"/>
        <w:rPr/>
      </w:pPr>
      <w:r>
        <w:rPr/>
        <w:t xml:space="preserve">The grouped null separates the two proxies (Table VII). For row blocks, both versions of the null give a mean </w:t>
      </w:r>
      <w:r>
        <w:rPr/>
      </w:r>
      <m:oMath xmlns:m="http://schemas.openxmlformats.org/officeDocument/2006/math">
        <m:r>
          <m:t xml:space="preserve">Δ</m:t>
        </m:r>
      </m:oMath>
      <w:r>
        <w:rPr/>
        <w:t xml:space="preserve"> close to zero (-0.022 to 0.023) at the two settings tested, so this grouping produces almost no gap of its own, and the real row-block gaps lie above it: against the group-level null by 0.069 and 0.035 for XGBoost and by 0.130 and 0.111 for Random Forest at the calibrated and first-versus-second-half settings, with 5–11 of the 11 real repeats above the largest null repeat. The row-block gaps also remain when both contexts are explained on the same records: across the three common record sets they are 0.063–0.072 (calibrated) and 0.031–0.032 (first versus second half) for XGBoost and 0.107–0.119 and 0.061–0.071 for Random Forest, positive in 10–11 of the 11 repeats; for Random Forest this is 22–35% below the gaps on each context's own records. For clusters, the two versions of the null point in the directions expected from their construction. In the flow-level version, cross-context agreement exceeds within-context agreement (0.863 against 0.821 on average), so </w:t>
      </w:r>
      <w:r>
        <w:rPr/>
      </w:r>
      <m:oMath xmlns:m="http://schemas.openxmlformats.org/officeDocument/2006/math">
        <m:r>
          <m:t xml:space="preserve">Δ</m:t>
        </m:r>
      </m:oMath>
      <w:r>
        <w:rPr/>
        <w:t xml:space="preserve"> is negative (-0.095 to -0.009). In the group-level version, the pseudo-contexts agree less with each other than the real contexts do in all six model and cluster settings (for Random Forest with clusters of about 10 flows, cross-context </w:t>
      </w:r>
      <w:r>
        <w:rPr/>
      </w:r>
      <m:oMath xmlns:m="http://schemas.openxmlformats.org/officeDocument/2006/math">
        <m:r>
          <m:t xml:space="preserve">ρ</m:t>
        </m:r>
      </m:oMath>
      <w:r>
        <w:rPr/>
        <w:t xml:space="preserve"> 0.600 against 0.730), so </w:t>
      </w:r>
      <w:r>
        <w:rPr/>
      </w:r>
      <m:oMath xmlns:m="http://schemas.openxmlformats.org/officeDocument/2006/math">
        <m:r>
          <m:t xml:space="preserve">Δ</m:t>
        </m:r>
      </m:oMath>
      <w:r>
        <w:rPr/>
        <w:t xml:space="preserve"> is positive (0.040 to 0.265), with a spread across repeats of up to 0.184. The real cluster gaps (0.014 to 0.100) lie between the two versions for every model and cluster setting, in some close to the group-level null (XGBoost with about 10 flows: 0.079 against 0.097). No neutral null could be built for feature clusters, so the cluster results do not show whether an excess remains once related flows are kept together.</w:t>
      </w:r>
    </w:p>
    <w:p>
      <w:pPr>
        <w:pStyle w:val="Normal"/>
        <w:spacing w:lineRule="auto" w:line="264" w:before="0" w:after="100"/>
        <w:ind w:firstLine="284"/>
        <w:jc w:val="both"/>
        <w:rPr/>
      </w:pPr>
      <w:r>
        <w:rPr/>
        <w:t>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rather than directly by their features, and leave a positive mean Spearman gap at every setting. Neither proxy is a capture split. Clusters may overcorrect. Blocks may undercorrect wherever a capture crosses a block boundary, but they are not independent of the features either: row position is correlated with some features within a class, and the first-versus-second-half split lowers half-model macro F1 to 0.73–0.80, so it may also separate regions of feature space. Reading the two proxies, with these caveats, as rough bounds, they place the excess that remains once related flows are kept together between about zero and 0.07 for XGBoost and between about zero and 0.15 for Random Forest, with 0.03 and 0.09 under the strictest row-order split.</w:t>
      </w:r>
    </w:p>
    <w:p>
      <w:pPr>
        <w:pStyle w:val="Normal"/>
        <w:spacing w:lineRule="auto" w:line="264" w:before="0" w:after="100"/>
        <w:ind w:firstLine="284"/>
        <w:jc w:val="both"/>
        <w:rPr/>
      </w:pPr>
      <w:r>
        <w:rPr/>
        <w:t>The grouped null sharpens the row-order end of this range: at the two row-block settings tested, the grouping produces almost no gap by itself, and the real gaps stay positive on average when both contexts are explained on the same records, whereas for clusters the null itself is uncertain. Explaining both contexts on the same records lowers the XGBoost gap by at most about 15% and the Random Forest gap by about 21–28% under random halves and 22–35% under row blocks. None of this tests the excess at the level of captures: no grouped design keeps the test records apart from the training sessions, and both proxies only approximate capture boundaries. Part of the random-split gap therefore reflects variation between groups of related flows, and part of it survives the two row-block settings tested, on each context's own records and on common ones, although under the first-versus-second-half split the XGBoost gap is small and the RBO and Top-5 gaps are negative in some repeats.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8"/>
        <w:gridCol w:w="1452"/>
        <w:gridCol w:w="800"/>
        <w:gridCol w:w="797"/>
        <w:gridCol w:w="779"/>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8"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0.752</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-0.001 (0.009)</w:t>
            </w:r>
          </w:p>
          <w:p>
            <w:pPr>
              <w:pStyle w:val="Normal"/>
              <w:spacing w:lineRule="auto" w:line="228"/>
              <w:jc w:val="center"/>
              <w:rPr/>
            </w:pPr>
            <w:r>
              <w:rPr>
                <w:sz w:val="17"/>
                <w:szCs w:val="17"/>
              </w:rPr>
              <w:t>-0.019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0.720 / 0.746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-0.009 (0.015)</w:t>
            </w:r>
          </w:p>
          <w:p>
            <w:pPr>
              <w:pStyle w:val="Normal"/>
              <w:spacing w:lineRule="auto" w:line="228"/>
              <w:jc w:val="center"/>
              <w:rPr/>
            </w:pPr>
            <w:r>
              <w:rPr>
                <w:sz w:val="17"/>
                <w:szCs w:val="17"/>
              </w:rPr>
              <w:t>-0.034 to 0.007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-0.011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0.645 / 0.675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-0.029 (0.028)</w:t>
            </w:r>
          </w:p>
          <w:p>
            <w:pPr>
              <w:pStyle w:val="Normal"/>
              <w:spacing w:lineRule="auto" w:line="228"/>
              <w:jc w:val="center"/>
              <w:rPr/>
            </w:pPr>
            <w:r>
              <w:rPr>
                <w:sz w:val="17"/>
                <w:szCs w:val="17"/>
              </w:rPr>
              <w:t>-0.071 to 0.021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0.609 / 0.646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0.845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-0.028 (0.024)</w:t>
            </w:r>
          </w:p>
          <w:p>
            <w:pPr>
              <w:pStyle w:val="Normal"/>
              <w:spacing w:lineRule="auto" w:line="228"/>
              <w:jc w:val="center"/>
              <w:rPr/>
            </w:pPr>
            <w:r>
              <w:rPr>
                <w:sz w:val="17"/>
                <w:szCs w:val="17"/>
              </w:rPr>
              <w:t>-0.064 to 0.002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-0.053</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-0.55</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0.788 / 0.798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0.931</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-0.004 (0.009)</w:t>
            </w:r>
          </w:p>
          <w:p>
            <w:pPr>
              <w:pStyle w:val="Normal"/>
              <w:spacing w:lineRule="auto" w:line="228"/>
              <w:jc w:val="center"/>
              <w:rPr/>
            </w:pPr>
            <w:r>
              <w:rPr>
                <w:sz w:val="17"/>
                <w:szCs w:val="17"/>
              </w:rPr>
              <w:t>-0.021 to 0.014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+0.02</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0.770 / 0.774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-0.006 (0.013)</w:t>
            </w:r>
          </w:p>
          <w:p>
            <w:pPr>
              <w:pStyle w:val="Normal"/>
              <w:spacing w:lineRule="auto" w:line="228"/>
              <w:jc w:val="center"/>
              <w:rPr/>
            </w:pPr>
            <w:r>
              <w:rPr>
                <w:sz w:val="17"/>
                <w:szCs w:val="17"/>
              </w:rPr>
              <w:t>-0.019 to 0.023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-0.16</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0.893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+0.097 (0.079)</w:t>
            </w:r>
          </w:p>
          <w:p>
            <w:pPr>
              <w:pStyle w:val="Normal"/>
              <w:spacing w:lineRule="auto" w:line="228"/>
              <w:jc w:val="center"/>
              <w:rPr/>
            </w:pPr>
            <w:r>
              <w:rPr>
                <w:sz w:val="17"/>
                <w:szCs w:val="17"/>
              </w:rPr>
              <w:t>-0.017 to 0.291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0.717 / 0.706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0.794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+0.041 (0.058)</w:t>
            </w:r>
          </w:p>
          <w:p>
            <w:pPr>
              <w:pStyle w:val="Normal"/>
              <w:spacing w:lineRule="auto" w:line="228"/>
              <w:jc w:val="center"/>
              <w:rPr/>
            </w:pPr>
            <w:r>
              <w:rPr>
                <w:sz w:val="17"/>
                <w:szCs w:val="17"/>
              </w:rPr>
              <w:t>-0.025 to 0.186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+0.23</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0.645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0.797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0.814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+0.040 (0.075)</w:t>
            </w:r>
          </w:p>
          <w:p>
            <w:pPr>
              <w:pStyle w:val="Normal"/>
              <w:spacing w:lineRule="auto" w:line="228"/>
              <w:jc w:val="center"/>
              <w:rPr/>
            </w:pPr>
            <w:r>
              <w:rPr>
                <w:sz w:val="17"/>
                <w:szCs w:val="17"/>
              </w:rPr>
              <w:t>-0.061 to 0.234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+0.040</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+0.39</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+0.041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0.799 / 0.804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+0.006 (0.022)</w:t>
            </w:r>
          </w:p>
          <w:p>
            <w:pPr>
              <w:pStyle w:val="Normal"/>
              <w:spacing w:lineRule="auto" w:line="228"/>
              <w:jc w:val="center"/>
              <w:rPr/>
            </w:pPr>
            <w:r>
              <w:rPr>
                <w:sz w:val="17"/>
                <w:szCs w:val="17"/>
              </w:rPr>
              <w:t>-0.024 to 0.050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0.782 / 0.792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-0.002 (0.021)</w:t>
            </w:r>
          </w:p>
          <w:p>
            <w:pPr>
              <w:pStyle w:val="Normal"/>
              <w:spacing w:lineRule="auto" w:line="228"/>
              <w:jc w:val="center"/>
              <w:rPr/>
            </w:pPr>
            <w:r>
              <w:rPr>
                <w:sz w:val="17"/>
                <w:szCs w:val="17"/>
              </w:rPr>
              <w:t>-0.031 to 0.037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+0.09</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0.297</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+0.168 (0.030)</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+0.047</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0.694 / 0.721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-0.026 (0.021)</w:t>
            </w:r>
          </w:p>
          <w:p>
            <w:pPr>
              <w:pStyle w:val="Normal"/>
              <w:spacing w:lineRule="auto" w:line="228"/>
              <w:jc w:val="center"/>
              <w:rPr/>
            </w:pPr>
            <w:r>
              <w:rPr>
                <w:sz w:val="17"/>
                <w:szCs w:val="17"/>
              </w:rPr>
              <w:t>-0.054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-0.30</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0.620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0.810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-0.064 (0.027)</w:t>
            </w:r>
          </w:p>
          <w:p>
            <w:pPr>
              <w:pStyle w:val="Normal"/>
              <w:spacing w:lineRule="auto" w:line="228"/>
              <w:jc w:val="center"/>
              <w:rPr/>
            </w:pPr>
            <w:r>
              <w:rPr>
                <w:sz w:val="17"/>
                <w:szCs w:val="17"/>
              </w:rPr>
              <w:t>-0.120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-0.086</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-0.066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0.594 / 0.625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0.693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-0.095 (0.042)</w:t>
            </w:r>
          </w:p>
          <w:p>
            <w:pPr>
              <w:pStyle w:val="Normal"/>
              <w:spacing w:lineRule="auto" w:line="228"/>
              <w:jc w:val="center"/>
              <w:rPr/>
            </w:pPr>
            <w:r>
              <w:rPr>
                <w:sz w:val="17"/>
                <w:szCs w:val="17"/>
              </w:rPr>
              <w:t>-0.193 to -0.034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-1.00</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0.770 / 0.778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0.894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-0.007 (0.025)</w:t>
            </w:r>
          </w:p>
          <w:p>
            <w:pPr>
              <w:pStyle w:val="Normal"/>
              <w:spacing w:lineRule="auto" w:line="228"/>
              <w:jc w:val="center"/>
              <w:rPr/>
            </w:pPr>
            <w:r>
              <w:rPr>
                <w:sz w:val="17"/>
                <w:szCs w:val="17"/>
              </w:rPr>
              <w:t>-0.053 to 0.030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-0.02</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0.748 / 0.751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-0.022 (0.019)</w:t>
            </w:r>
          </w:p>
          <w:p>
            <w:pPr>
              <w:pStyle w:val="Normal"/>
              <w:spacing w:lineRule="auto" w:line="228"/>
              <w:jc w:val="center"/>
              <w:rPr/>
            </w:pPr>
            <w:r>
              <w:rPr>
                <w:sz w:val="17"/>
                <w:szCs w:val="17"/>
              </w:rPr>
              <w:t>-0.050 to 0.004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-0.45</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-0.031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0.799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0.885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0.600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+0.265 (0.184)</w:t>
            </w:r>
          </w:p>
          <w:p>
            <w:pPr>
              <w:pStyle w:val="Normal"/>
              <w:spacing w:lineRule="auto" w:line="228"/>
              <w:jc w:val="center"/>
              <w:rPr/>
            </w:pPr>
            <w:r>
              <w:rPr>
                <w:sz w:val="17"/>
                <w:szCs w:val="17"/>
              </w:rPr>
              <w:t>0.040 to 0.616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+0.187</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+1.52</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+0.249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0.686 / 0.677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0.656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0.791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0.608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+0.115 (0.120)</w:t>
            </w:r>
          </w:p>
          <w:p>
            <w:pPr>
              <w:pStyle w:val="Normal"/>
              <w:spacing w:lineRule="auto" w:line="228"/>
              <w:jc w:val="center"/>
              <w:rPr/>
            </w:pPr>
            <w:r>
              <w:rPr>
                <w:sz w:val="17"/>
                <w:szCs w:val="17"/>
              </w:rPr>
              <w:t>-0.019 to 0.305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+0.102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+0.82</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+0.109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0.631 / 0.624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0.589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0.472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+0.080 (0.132)</w:t>
            </w:r>
          </w:p>
          <w:p>
            <w:pPr>
              <w:pStyle w:val="Normal"/>
              <w:spacing w:lineRule="auto" w:line="228"/>
              <w:jc w:val="center"/>
              <w:rPr/>
            </w:pPr>
            <w:r>
              <w:rPr>
                <w:sz w:val="17"/>
                <w:szCs w:val="17"/>
              </w:rPr>
              <w:t>-0.097 to 0.356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+0.55</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0.782 / 0.784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0.889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0.878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+0.023 (0.031)</w:t>
            </w:r>
          </w:p>
          <w:p>
            <w:pPr>
              <w:pStyle w:val="Normal"/>
              <w:spacing w:lineRule="auto" w:line="228"/>
              <w:jc w:val="center"/>
              <w:rPr/>
            </w:pPr>
            <w:r>
              <w:rPr>
                <w:sz w:val="17"/>
                <w:szCs w:val="17"/>
              </w:rPr>
              <w:t>-0.043 to 0.060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+0.045</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+0.34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0.764 / 0.769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0.872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0.854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-0.017 (0.025)</w:t>
            </w:r>
          </w:p>
          <w:p>
            <w:pPr>
              <w:pStyle w:val="Normal"/>
              <w:spacing w:lineRule="auto" w:line="228"/>
              <w:jc w:val="center"/>
              <w:rPr/>
            </w:pPr>
            <w:r>
              <w:rPr>
                <w:sz w:val="17"/>
                <w:szCs w:val="17"/>
              </w:rPr>
              <w:t>-0.053 to 0.022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-0.16</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Rows marked Null (flows) apply a grouped design to those pseudo-contexts; rows marked Null (groups) build the pseudo-contexts from whole calibrated clusters or row blocks first, so their class counts match the original ones only approximately (Section IV-D).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8"/>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materially closer to the other one. Agreement with the other context's primary ranking changes by +0.008, +0.017, -0.035, -0.007 for XGBoost (Non-VPN, VPN) and Random Forest (Non-VPN, VPN), against a cross-context gap of 0.13–0.19 under random halves. The two XGBoost changes are small moves toward the other context, smaller than the spread of the natural-mix models across draws (SD 0.012 and 0.024).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of XGBoost gives the same answer when it is compared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with 0.786 for the full-size XGBoost models and 0.825 between their random halves)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7"/>
        <w:gridCol w:w="1150"/>
        <w:gridCol w:w="1250"/>
        <w:gridCol w:w="1251"/>
        <w:gridCol w:w="1251"/>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7"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1"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 xml:space="preserve">The features that move most between contexts are the three minimum IATs. Because they are moderately correlated, a SHAP shift among them could reflect credit passing between features that the model treats as substitutes. </w:t>
      </w:r>
      <w:r>
        <w:rPr/>
        <w:t xml:space="preserve">This is </w:t>
      </w:r>
      <w:r>
        <w:rPr/>
        <w:t>test</w:t>
      </w:r>
      <w:r>
        <w:rPr/>
        <w:t xml:space="preserve">ed </w:t>
      </w:r>
      <w:r>
        <w:rPr/>
        <w:t>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block's combined SHAP share rises by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carry information that the other features lack, but individually they partly substitute for one another, so dropping one shifts credit to the others. In the VPN Random Forest, for example, dropping min_fiat raises the shares of min_flowiat and min_biat by 1.6 and 0.8 percentage points more than renormalising the remaining shares after the loss of min_fiat's 8.2% would give (2.2 and 1.5 points before that correction). In the Non-VPN XGBoost, dropping min_flowiat moves min_biat from 10th to 5th place.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A simplified conditional variant inspired by [36], which permutes each feature only within the cells formed by the training-data quintiles of the two features most correlated with it (absolute Spearman correlation on the training partition), is therefore also reported.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 These statements concern the minimum IATs. Over the whole ranking, permutation importance agrees less across contexts than SHAP does: cross-context </w:t>
      </w:r>
      <w:r>
        <w:rPr/>
      </w:r>
      <m:oMath xmlns:m="http://schemas.openxmlformats.org/officeDocument/2006/math">
        <m:r>
          <m:t xml:space="preserve">ρ</m:t>
        </m:r>
      </m:oMath>
      <w:r>
        <w:rPr/>
        <w:t xml:space="preserve"> is 0.523 (Random Forest) and 0.695 (XGBoost) for marginal and 0.618 and 0.557 for conditional permutation importance, against 0.830 and 0.786 for SHAP. Here negative permutation importances are set to zero and tied features receive their average rank; for Random Forest, 10 of the 23 features are tied at zero in each context under marginal permutation, and 9 and 12 under conditional permutation. Without setting negative values to zero, the four values are 0.590, 0.669, 0.565 and 0.563.</w:t>
      </w:r>
    </w:p>
    <w:p>
      <w:pPr>
        <w:pStyle w:val="Normal"/>
        <w:spacing w:lineRule="auto" w:line="264" w:before="0" w:after="100"/>
        <w:ind w:firstLine="284"/>
        <w:jc w:val="both"/>
        <w:rPr/>
      </w:pPr>
      <w:r>
        <w:rPr/>
        <w:t>Entries below -1. All entries below -1 in the data are negative min_flowiat values. There are 55 Non-VPN training flows (43 of them FT) and 43 VPN training flows (22 P2P). A negative gap between consecutive packets is impossible, so these values are probably timestamp errors. The test partitions hold 17 and 12 such flows, which account for 0.6% and 0.5% of the min_flowiat attribution of the Random Forest models (1.0% and 0.6% for XGBoost). When they are omitted from training, the rankings stay virtually unaltered (</w:t>
      </w:r>
      <w:r>
        <w:rPr/>
      </w:r>
      <m:oMath xmlns:m="http://schemas.openxmlformats.org/officeDocument/2006/math">
        <m:r>
          <m:t xml:space="preserve">ρ</m:t>
        </m:r>
      </m:oMath>
      <w:r>
        <w:rPr/>
        <w:t xml:space="preserve"> with the main ranking 0.986–0.997), so they are not responsible for the minimum-IAT changes.</w:t>
      </w:r>
    </w:p>
    <w:p>
      <w:pPr>
        <w:pStyle w:val="Normal"/>
        <w:spacing w:lineRule="auto" w:line="264" w:before="0" w:after="100"/>
        <w:ind w:firstLine="284"/>
        <w:jc w:val="both"/>
        <w:rPr/>
      </w:pPr>
      <w:r>
        <w:rPr/>
        <w:t>In other words, the minimum IATs are important as a group. For XGBoost, the block maintains its combined share and the visible SHAP shift is largely a redistribution of credit between the correlated timing features. For Random Forest, credit is redistributed within the block and the block's combined SHAP share also rises under VPN, but the measures based on predictive performance do not show greater reliance on it: permuting the three minima together costs 0.168 macro F1 without a VPN and 0.155 with one, and dropping them and retraining costs 0.028 and 0.012. The SHAP share and these measures therefore disagree on whether the Random Forest relies more on the block under VPN. Permutation-based measures move the minimum IATs less than SHAP does for both models, although their whole rankings differ more between contexts,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798"/>
        <w:gridCol w:w="803"/>
        <w:gridCol w:w="947"/>
        <w:gridCol w:w="803"/>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79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3"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3"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7"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7"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cells formed by the training-data quintiles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within-VPN rankings are again the steadier ones (calibrated blocks: 0.942 against 0.919 for XGBoost, 0.906 against 0.884 for Random Forest). Row blocks are, however, the weaker proxy in four VPN classes: adjacent rows of VPN FT, MAIL, P2P and VOIP are nearly as different as random rows (Section IV-D), so the blocks may keep fewer related VPN flows together than intended. Which context gives the steadier rankings therefore depends on the grouping, and neither proxy settles it. The capture counts of Section IV-D suggest one reason for the steadier VPN rankings under random halves: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contribute as well: the rarest VPN class holds 4.6% of the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7"/>
        <w:gridCol w:w="1500"/>
        <w:gridCol w:w="1501"/>
        <w:gridCol w:w="1502"/>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7"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1"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2"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spacing w:lineRule="auto" w:line="264" w:before="0" w:after="100"/>
        <w:ind w:firstLine="284"/>
        <w:jc w:val="both"/>
        <w:rPr/>
      </w:pPr>
      <w:r>
        <w:rPr/>
        <w:t xml:space="preserve">How stable the family summary looks depends on how features are grouped. With importance summed over the six semantic families, the half-split gap is 0.112 for Random Forest and 0.075 for XGBoost, below the feature-level gaps. Six-family rankings are coarse, though: swapping one adjacent pair changes </w:t>
      </w:r>
      <w:r>
        <w:rPr/>
      </w:r>
      <m:oMath xmlns:m="http://schemas.openxmlformats.org/officeDocument/2006/math">
        <m:r>
          <m:t xml:space="preserve">ρ</m:t>
        </m:r>
      </m:oMath>
      <w:r>
        <w:rPr/>
        <w:t xml:space="preserve"> by about 0.06. The eight-member directional family ranks first in every comparison, partly because it is the largest.</w:t>
      </w:r>
    </w:p>
    <w:p>
      <w:pPr>
        <w:pStyle w:val="Normal"/>
        <w:spacing w:lineRule="auto" w:line="264" w:before="0" w:after="100"/>
        <w:ind w:firstLine="284"/>
        <w:jc w:val="both"/>
        <w:rPr/>
      </w:pPr>
      <w:r>
        <w:rPr/>
        <w:t>When ranked by mean importance per member, the gaps are 0.149 for Random Forest and 0.064 for XGBoost, with throughput or duration as the leading family. Moving total_fiat and total_biat into a duration-and-totals family produces gaps of 0.096 for Random Forest and 0.088 for XGBoost. This regrouping changes the primary summary: the shares of the three leading families on Non-VPN data are within 2.15 percentage points of one another for Random Forest, while Flow IAT leads for XGBoost without a VPN and Directional IAT leads with a VPN. The eight data-driven clusters give gaps of 0.096 for Random Forest and 0.099 for XGBoost. For XGBoost this is larger than every semantic-family gap (0.064–0.088), which fits with the three minimum IATs staying in separate clusters; for Random Forest it is not (0.096–0.149 under the semantic groupings).</w:t>
      </w:r>
    </w:p>
    <w:p>
      <w:pPr>
        <w:pStyle w:val="Normal"/>
        <w:spacing w:lineRule="auto" w:line="264" w:before="0" w:after="100"/>
        <w:ind w:firstLine="284"/>
        <w:jc w:val="both"/>
        <w:rPr/>
      </w:pPr>
      <w:r>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spacing w:lineRule="auto" w:line="264" w:before="0" w:after="100"/>
        <w:ind w:firstLine="284"/>
        <w:jc w:val="both"/>
        <w:rPr/>
      </w:pPr>
      <w:r>
        <w:rPr/>
        <w:t xml:space="preserve">Under fine grouping, then, part of the XGBoost difference between contexts persists at the family level although it shrinks at the level of single features. With clusters of about 35 flows or the calibrated grouping, the XGBoost family gap falls as well (0.014 and +0.016). Redundancy among related flows therefore does not explain the XGBoost family-level difference at the finest grouping, though it may at coarser ones. When it is said that grouping reduces the gap, the feature-level gap is meant, and a family summary should be read together with its grouping rule and family sizes. </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4"/>
        <w:gridCol w:w="1001"/>
        <w:gridCol w:w="951"/>
        <w:gridCol w:w="949"/>
        <w:gridCol w:w="899"/>
        <w:gridCol w:w="1001"/>
        <w:gridCol w:w="1001"/>
      </w:tblGrid>
      <w:tr>
        <w:trPr>
          <w:tblHeader w:val="true"/>
          <w:cantSplit w:val="true"/>
        </w:trPr>
        <w:tc>
          <w:tcPr>
            <w:tcW w:w="3224"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are close to those of the cluster-grouped cross-validation of Section III-C (0.47–0.64), although both Non-VPN-to-VPN scores (0.430 and 0.438) fall below that range, and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pPr>
      <w:r>
        <w:rPr/>
        <w:t>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The VPN Random Forest contrast is positive for all five seeds (+0.007 to +0.017) and its paired interval for the first seed, [0.006, 0.028], excludes zero; the XGBoost VPN contrast is positive for every seed but smaller (+0.002 to +0.009), with an interval that includes zero. The five seeds are not five different lists: they yield one to three distinct Top-k lists per model, context and k, and each distinct list is refitted once with a fixed seed.</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The controls show that SHAP-based selection does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7"/>
        <w:gridCol w:w="753"/>
        <w:gridCol w:w="1147"/>
        <w:gridCol w:w="753"/>
        <w:gridCol w:w="1073"/>
        <w:gridCol w:w="1103"/>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3"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3"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3"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3"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3"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3"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3"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3"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3"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3"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3"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3"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8"/>
        <w:gridCol w:w="3364"/>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8"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9"/>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The identical Random Forest values were recomputed from the saved rankings;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for Random Forest and XGBoost and 0.960–0.970 for Extra Trees. Extra Trees agrees less well with Random Forest (</w:t>
      </w:r>
      <w:r>
        <w:rPr/>
      </w:r>
      <m:oMath xmlns:m="http://schemas.openxmlformats.org/officeDocument/2006/math">
        <m:r>
          <m:t xml:space="preserve">ρ</m:t>
        </m:r>
      </m:oMath>
      <w:r>
        <w:rPr/>
        <w:t xml:space="preserve"> = 0.730–0.801 when both are explained with the path-dependent formulation and 0.731–0.743 when both use the interventional one).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no consistent bias is seen. </w:t>
      </w:r>
    </w:p>
    <w:p>
      <w:pPr>
        <w:pStyle w:val="Normal"/>
        <w:pageBreakBefore/>
        <w:spacing w:lineRule="auto" w:line="240" w:before="200" w:after="0"/>
        <w:jc w:val="center"/>
        <w:rPr>
          <w:sz w:val="20"/>
          <w:szCs w:val="20"/>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8"/>
        <w:gridCol w:w="899"/>
        <w:gridCol w:w="1029"/>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8"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9"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48"/>
        <w:gridCol w:w="1953"/>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48"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3"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-0.001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on common records (range)</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0.134–0.147</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0.123–0.130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 first vs second half, on common records (both test sets)</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+0.114 / +0.068</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+0.066 / +0.032</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xml:space="preserve"> </w:t>
            </w:r>
            <w:r>
              <w:rPr>
                <w:sz w:val="17"/>
                <w:szCs w:val="17"/>
              </w:rPr>
              <w:t>minus group-level null, row blocks calibrated / first vs second half</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+0.130 / +0.111</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+0.069 / +0.035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spacing w:lineRule="auto" w:line="264" w:before="0" w:after="100"/>
        <w:ind w:firstLine="284"/>
        <w:jc w:val="both"/>
        <w:rPr/>
      </w:pPr>
      <w:r>
        <w:rPr/>
        <w:t xml:space="preserve"> </w:t>
      </w:r>
      <w:r>
        <w:rPr/>
        <w:t>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the gap varies widely, and for Random Forest the mean averages a gap of +0.23 on the Non-VPN side and -0.19 on the VPN side, and clusters also separate regions of feature space that a capture split would not. Blocks of consecutive rows in the original files are not built from the features, although row position is correlated with some of them, and they leave the half-models far more accurate than coarse clusters do. At the capture-calibrated setting they reduce the gap to 0.07 for XGBoost and 0.15 for Random Forest, and even the first-versus-second-half split leaves 0.03 and 0.09 on average. The Spearman gap stays at or above zero in every repeat, but the repeats reuse nearly the same halves, and the RBO and Top-5 gaps turn negative in some of them. The two proxies disagree, and neither is a capture split: clusters may overcorrect, and blocks may undercorrect or, at their strictest, also separate regions of feature space. Together they suggest that part of the random-split gap reflects variation between groups of related flows, from about 20% to nearly all of it depending on the proxy and model. Two further checks narrow this. Explaining both contexts on the same records lowers the XGBoost gap by at most about 15% and the Random Forest gap by about 21–28% under random halves and 22–35% under row blocks, so the choice of explained records is not the main source of the disagreement. A grouped permutation null, run for two row-block and three cluster settings, shows that row-block grouping produces almost no gap by itself, so the positive row-block gaps are excess over the null; for clusters, the two versions of the null fall on either side of the observed gap, and the cluster results leave the question open. Some excess therefore remains under the grouping least tied to the features, but its size depends on how closely row blocks follow captures, and without capture identifiers or an independent second capture it cannot be pinned down.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spacing w:lineRule="auto" w:line="264" w:before="0" w:after="100"/>
        <w:ind w:firstLine="284"/>
        <w:jc w:val="both"/>
        <w:rPr/>
      </w:pPr>
      <w:r>
        <w:rPr/>
        <w:t>Predictive accuracy, whole-ranking correlation and agreement among the leading features measure different things. Here a cross-context Spearman of about 0.8 comes with only three shared Top-5 features and an RBO of 0.58–0.75. The leading features also depend on the explanation method: the minimum IATs that rise most under SHAP move much less under marginal or conditional permutation importance. A single summary statistic would hide both points. Reporting accuracy, whole-ranking and top-weighted agreement, a within-context reference built from data that are as independent as possible, and a second importance measure gives a fuller picture.</w:t>
      </w:r>
    </w:p>
    <w:p>
      <w:pPr>
        <w:pStyle w:val="Heading2"/>
        <w:keepNext w:val="true"/>
        <w:spacing w:before="180" w:after="80"/>
        <w:rPr/>
      </w:pPr>
      <w:r>
        <w:rPr/>
        <w:t>C. Correlated Features and the Role of Grouping</w:t>
      </w:r>
    </w:p>
    <w:p>
      <w:pPr>
        <w:pStyle w:val="Normal"/>
        <w:spacing w:lineRule="auto" w:line="264" w:before="0" w:after="100"/>
        <w:ind w:firstLine="284"/>
        <w:jc w:val="both"/>
        <w:rPr/>
      </w:pPr>
      <w:r>
        <w:rPr/>
        <w:t>Aggregation into semantic families reduces the gaps, but family-level rankings differ from feature-level rankings, and the grouping definitions influence the results. Summing importance favours larger families. Per-member means give a larger gap than summing for Random Forest but not for XGBoost, and correlation-based clusters give a larger gap for XGBoost but not for Random Forest. Moving two correlated totals into the duration family also changes which family ranks highest.</w:t>
      </w:r>
    </w:p>
    <w:p>
      <w:pPr>
        <w:pStyle w:val="Normal"/>
        <w:spacing w:lineRule="auto" w:line="264" w:before="0" w:after="100"/>
        <w:ind w:firstLine="284"/>
        <w:jc w:val="both"/>
        <w:rPr/>
      </w:pPr>
      <w:r>
        <w:rPr/>
        <w:t>Correlated features complicate the interpretation of individual feature shifts. For XGBoost, the three minimum IATs maintain their combined importance share across contexts, whereas for Random Forest the block's combined SHAP share rises under VPN, although permuting or removing the block costs slightly less macro F1 under VPN than without it. At the family level, the XGBoost gap stays about the same under clusters of about ten flows, so related-flow redundancy explains it less clearly than it explains the feature-level gap, and family-level conclusions depend on the grouping rule and family sizes (Section VII).</w:t>
      </w:r>
    </w:p>
    <w:p>
      <w:pPr>
        <w:pStyle w:val="Heading2"/>
        <w:keepNext w:val="true"/>
        <w:spacing w:before="180" w:after="80"/>
        <w:rPr/>
      </w:pPr>
      <w:r>
        <w:rPr/>
        <w:t>D. Do Explanation Differences Matter?</w:t>
      </w:r>
    </w:p>
    <w:p>
      <w:pPr>
        <w:pStyle w:val="Normal"/>
        <w:spacing w:lineRule="auto" w:line="264" w:before="0" w:after="100"/>
        <w:ind w:firstLine="284"/>
        <w:jc w:val="both"/>
        <w:rPr/>
      </w:pPr>
      <w:r>
        <w:rPr/>
        <w:t>The two consequence tests point in different directions. A trained model transfers poorly, with macro F1 dropping to 0.43–0.61 in the other context, whereas a SHAP-selected feature list transfers more reliably. At k = 10 and k = 15, transferring a feature list reduces macro F1 by at most about 0.013 on average across selection seeds, with a maximum of 0.017 for an individual seed. For some target contexts, the transferred list performs better than the context-specific list. The test has limited power, however: the selection seeds yield only one to three distinct lists per model, context and k, each list is refitted once, and there is no equivalence margin, so the test rules out a large cost rather than showing that there is none.</w:t>
      </w:r>
    </w:p>
    <w:p>
      <w:pPr>
        <w:pStyle w:val="Normal"/>
        <w:spacing w:lineRule="auto" w:line="264" w:before="0" w:after="100"/>
        <w:ind w:firstLine="284"/>
        <w:jc w:val="both"/>
        <w:rPr/>
      </w:pPr>
      <w:r>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Heading2"/>
        <w:keepNext w:val="true"/>
        <w:spacing w:before="180" w:after="80"/>
        <w:rPr/>
      </w:pPr>
      <w:r>
        <w:rPr/>
        <w:t>E. Implications for Explainable Network Security Systems</w:t>
      </w:r>
    </w:p>
    <w:p>
      <w:pPr>
        <w:pStyle w:val="Normal"/>
        <w:spacing w:lineRule="auto" w:line="264" w:before="0" w:after="100"/>
        <w:ind w:firstLine="284"/>
        <w:jc w:val="both"/>
        <w:rPr/>
      </w:pPr>
      <w:r>
        <w:rPr/>
        <w:t>An explanation report for a traffic classifier should specify the observation context, fitted model, attribution method, handling of undefined statistics, and aggregation rules. Claims of consistency should be checked against a reference in which the compared models do not share sessions, because randomly splitting dependent flows overstates within-context consistency. When two sets of rankings are compared, it helps to know how much of the difference comes only from explaining the models on different records: under random halves this accounts for about 21–28% of the Random Forest gap here and for almost none of the XGBoost gap. Explaining a model on the other context's records evaluates it outside its own data, so this is a diagnostic, not a better ranking. When explanations drive a decision, such as which features to keep, that decision should be tested on held-out data from the target context. Similar explanations alone do not guarantee that a deployed model will perform reliably in a different observation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and it bears directly on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w:t>
      </w:r>
      <w:r>
        <w:rPr/>
        <w:t>the</w:t>
      </w:r>
      <w:r>
        <w:rPr/>
        <w:t xml:space="preserve"> inference, from the similarity of neighbouring rows, that the original files retain flows of one capture together; equal-sized blocks do not follow capture boundaries, and the first-versus-second-half split may also separate applications within a class. For VPN FT, MAIL, P2P and VOIP, adjacent rows are nearly as different as random rows, and BROWSING (no listed captures) and P2P (at most one listed capture per context) cannot be split by capture with the information available. The two proxies give different answers (a mean gap near zero against a positive mean gap), and the calibration from capture counts is rough. Only the division of training data into halves is grouped; the outer 80/20 split is random. The grouped null has no neutral form for clusters: reassigning single flows puts flows of one capture in both pseudo-contexts, and reassigning whole clusters makes the pseudo-contexts differ in feature space. For row blocks both versions agree, but they inherit the uncertainty about how well row blocks follow captures. The null was run for two of the five row-block settings and three of the four cluster settings. Within-context pairs are explained on shared test records and cross-context pairs, in the designs themselves, are not. Explaining both contexts on common records lowers the Random Forest gaps by about 21–28% under random halves and 22–35% under the two row-block settings, so Random Forest gaps measured on each context's own records overstate the difference between the models by roughly that much; the cluster designs and the other row-block settings were not recomputed on common records.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t>
      </w:r>
      <w:r>
        <w:rPr/>
        <w:t xml:space="preserve">No </w:t>
      </w:r>
      <w:r>
        <w:rPr/>
        <w:t>dataset novelty is claimed and no conclusions are drawn about present-day applications or VPN technologies.</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of XGBoost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which yield only one to three distinct lists,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 xml:space="preserve">This study asked whether the features a classifier relies on to separate seven application categories stay the same when traffic is observed with and without a VPN, and how any difference compares with the variation inside one context. On the ISCX VPN-nonVPN benchmark with its 23 time-related flow features, both models lose accuracy under VPN (macro F1 falls from 0.9340 to 0.8836 for XGBoost and from 0.9171 to 0.8533 for Random Forest), and a model trained in one context reaches only 0.43–0.61 macro F1 in the other. The SHAP rankings of the two contexts are correlated but not interchangeable: Spearman's </w:t>
      </w:r>
      <w:r>
        <w:rPr/>
      </w:r>
      <m:oMath xmlns:m="http://schemas.openxmlformats.org/officeDocument/2006/math">
        <m:r>
          <m:t xml:space="preserve">ρ</m:t>
        </m:r>
      </m:oMath>
      <w:r>
        <w:rPr/>
        <w:t xml:space="preserve"> is 0.83 for Random Forest and 0.79 for XGBoost, RBO is 0.58 and 0.75, and each model keeps three of its five leading features.</w:t>
      </w:r>
    </w:p>
    <w:p>
      <w:pPr>
        <w:pStyle w:val="Normal"/>
        <w:spacing w:lineRule="auto" w:line="264" w:before="0" w:after="100"/>
        <w:ind w:firstLine="284"/>
        <w:jc w:val="both"/>
        <w:rPr/>
      </w:pPr>
      <w:r>
        <w:rPr/>
        <w:t>How large this disagreement is depends on the reference. Against random halves of one context, cross-context Spearman agreement is lower by 0.13 for XGBoost and 0.19 for Random Forest, and a permutation null that keeps both class mixes produces little or no gap. Explaining the random-half models on the same records changes little for XGBoost and removes about 21–28% of the Random Forest gap. Keeping related flows in the same half also reduces the gap, measured on each context's own records: to 0.08–0.10 with clusters of about 10 flows, to 0.01–0.04 with clusters of about 35, and to about zero on average at the capture-calibrated setting, where the half-models are weak and opposite gaps in the two contexts cancel. Blocks of consecutive rows in the original files leave 0.07 and 0.15 at the calibrated setting and 0.03 and 0.09 when each class is split into its first and second halves. At these two settings the gaps remain when both contexts are explained on the same records, and a grouped permutation null shows that row-block grouping produces almost no gap by itself, although the RBO and Top-5 gaps are negative in some repeats of the first-versus-second-half split. For feature clusters no neutral null could be built, so the cluster results leave open whether an excess remains, and the top-weighted RBO gap and the XGBoost family-level gap shrink less under clusters than the Spearman gap does.</w:t>
      </w:r>
    </w:p>
    <w:p>
      <w:pPr>
        <w:pStyle w:val="Normal"/>
        <w:spacing w:lineRule="auto" w:line="264" w:before="0" w:after="100"/>
        <w:ind w:firstLine="284"/>
        <w:jc w:val="both"/>
        <w:rPr/>
      </w:pPr>
      <w:r>
        <w:rPr/>
        <w:t>Among single features, the clearest change is the rise of the three minimum inter-arrival times. For XGBoost it is mostly a redistribution of Shapley values within the block. For Random Forest the block's combined SHAP share rises, but permuting or removing the block costs less macro F1 under VPN than without it, so the two kinds of measure disagree on whether the model relies on it more. In practice, the useful distinction is between a trained model and a selected feature list: the model does not transfer, whereas for feature sets of 10 or 15 features a SHAP-selected list carries over at an average macro F1 loss of at most about 0.013 across selection seeds. Because the seeds produced few distinct lists, this test has limited power.</w:t>
      </w:r>
    </w:p>
    <w:p>
      <w:pPr>
        <w:pStyle w:val="Normal"/>
        <w:spacing w:lineRule="auto" w:line="264" w:before="0" w:after="100"/>
        <w:ind w:firstLine="284"/>
        <w:jc w:val="both"/>
        <w:rPr/>
      </w:pPr>
      <w:r>
        <w:rPr/>
        <w:t>On this benchmark, then, part of the random-split gap between SHAP rankings reflects variation between groups of related flows within a context, and part of it survives the two row-order settings tested against the null and on common records. The two contexts are different sets of captures, so none of the remaining difference can be attributed to tunnelling, and the proxies used here cannot measure a true between-session effect. Captures that keep session identifiers, or an independent second capture of both contexts, would settle the question, and newer traffic and class-specific explanations would show whether the pattern holds beyond this benchmark.</w:t>
      </w:r>
    </w:p>
    <w:p>
      <w:pPr>
        <w:pStyle w:val="Heading1"/>
        <w:keepNext w:val="true"/>
        <w:spacing w:before="280" w:after="120"/>
        <w:jc w:val="center"/>
        <w:rPr/>
      </w:pPr>
      <w:r>
        <w:rPr/>
        <w:t>DATA AND CODE AVAILABILITY</w:t>
      </w:r>
    </w:p>
    <w:p>
      <w:pPr>
        <w:pStyle w:val="Normal"/>
        <w:spacing w:lineRule="auto" w:line="264" w:before="0" w:after="100"/>
        <w:ind w:firstLine="284"/>
        <w:jc w:val="both"/>
        <w:rPr/>
      </w:pPr>
      <w:r>
        <w:rPr/>
        <w:t>The ISCX VPN-nonVPN benchmark, including the Scenario A2 time-based ARFF files used here, is publicly available from the Canadian Institute for Cybersecurity [50]. The analysis code (Python scripts for preprocessing, the reference designs, the explanation analyses, the tables and the figures) is kept in a private repository and has not been publicly released; it is available from the corresponding author on reasonable request. The processed artefacts (the deduplicated partitions, the mapping of each flow to its row in the original ARFF files, the per-record SHAP values and the result files) are available on the same terms, and the row mapping can be rebuilt from the public ARFF files with that code. Every table and figure that reports results was generated from these result files by the same code.</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 doi: 10.1145/3485447.3512217.</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 doi: 10.1109/EuroSP48549.2020.00018.</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 doi: 10.1109/ACCESS.2020.2988359.</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 doi: 10.1109/ACCESS.2022.3204171.</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 doi: 10.1109/TNSM.2021.3098157.</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 doi: 10.48550/arXiv.1806.08049.</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 doi: 10.1609/aaai.v33i01.33013681.</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 doi: 10.48550/arXiv.2202.01602.</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 doi: 10.48550/arXiv.2006.16234.</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 doi: 10.1109/INFCOMW.2019.8845315.</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 doi: 10.1145/3460120.3484758.</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 doi: 10.1145/3548606.3560609.</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 doi: 10.5220/0006105602530262.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 doi: 10.1145/3545574.</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 doi: 10.1109/OJCOMS.2022.3188750.</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 doi: 10.1016/j.bdr.2022.100359.</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 doi: 10.1515/9781400881970-018.</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 doi: 10.1007/s11222-021-10057-z.</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 doi: 10.48550/arXiv.2106.12228.</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 doi: 10.1007/s10618-022-00840-5.</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 doi: 10.1080/01605682.2020.1865846.</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 doi: 10.2307/1412159.</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 doi: 10.1093/biomet/30.1-2.81.</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 doi: 10.1201/9780429246593.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 doi: 10.1214/09-AOS699.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[55]</w:t>
        <w:tab/>
        <w:t xml:space="preserve">M. G. Kendall, “The treatment of ties in ranking problems,” </w:t>
      </w:r>
      <w:r>
        <w:rPr>
          <w:i/>
          <w:iCs/>
          <w:sz w:val="18"/>
          <w:szCs w:val="18"/>
        </w:rPr>
        <w:t>Biometrika</w:t>
      </w:r>
      <w:r>
        <w:rPr>
          <w:sz w:val="18"/>
          <w:szCs w:val="18"/>
        </w:rPr>
        <w:t>, vol. 33, no. 3, pp. 239-251, 1945, doi: 10.1093/biomet/33.3.239.</w:t>
      </w:r>
    </w:p>
    <w:p>
      <w:pPr>
        <w:pStyle w:val="Normal"/>
        <w:tabs>
          <w:tab w:val="clear" w:pos="720"/>
          <w:tab w:val="left" w:pos="460" w:leader="none"/>
        </w:tabs>
        <w:spacing w:lineRule="auto" w:line="228" w:before="0" w:after="30"/>
        <w:ind w:hanging="460" w:start="460"/>
        <w:rPr/>
      </w:pPr>
      <w:r>
        <w:rPr>
          <w:sz w:val="18"/>
          <w:szCs w:val="18"/>
        </w:rPr>
        <w:t>[56]</w:t>
        <w:tab/>
        <w:t>munhouiani, “Deep-Packet: PyTorch implementation of Deep Packet,” GitHub repository. Accessed: Oct. 15, 2026. [Online]. Available: https://github.com/munhouiani/Deep-Packet</w:t>
      </w:r>
    </w:p>
    <w:p>
      <w:pPr>
        <w:pStyle w:val="Normal"/>
        <w:tabs>
          <w:tab w:val="clear" w:pos="720"/>
          <w:tab w:val="left" w:pos="460" w:leader="none"/>
        </w:tabs>
        <w:spacing w:lineRule="auto" w:line="228" w:before="0" w:after="30"/>
        <w:ind w:hanging="460" w:start="460"/>
        <w:rPr/>
      </w:pPr>
      <w:r>
        <w:rPr>
          <w:sz w:val="18"/>
          <w:szCs w:val="18"/>
        </w:rPr>
        <w:t>[57]</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 doi: 10.1073/pnas.102102699.</w:t>
      </w:r>
    </w:p>
    <w:p>
      <w:pPr>
        <w:pStyle w:val="Normal"/>
        <w:tabs>
          <w:tab w:val="clear" w:pos="720"/>
          <w:tab w:val="left" w:pos="460" w:leader="none"/>
        </w:tabs>
        <w:spacing w:lineRule="auto" w:line="228" w:before="0" w:after="30"/>
        <w:ind w:hanging="460" w:start="460"/>
        <w:rPr/>
      </w:pPr>
      <w:r>
        <w:rPr>
          <w:sz w:val="18"/>
          <w:szCs w:val="18"/>
        </w:rPr>
        <w:t>[58]</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 doi: 10.1145/2382577.2382579.</w:t>
      </w:r>
    </w:p>
    <w:p>
      <w:pPr>
        <w:pStyle w:val="Normal"/>
        <w:tabs>
          <w:tab w:val="clear" w:pos="720"/>
          <w:tab w:val="left" w:pos="460" w:leader="none"/>
        </w:tabs>
        <w:spacing w:lineRule="auto" w:line="228" w:before="0" w:after="30"/>
        <w:ind w:hanging="460" w:start="460"/>
        <w:rPr/>
      </w:pPr>
      <w:r>
        <w:rPr>
          <w:sz w:val="18"/>
          <w:szCs w:val="18"/>
        </w:rPr>
        <w:t>[59]</w:t>
        <w:tab/>
        <w:t xml:space="preserve">S. Kapoor and A. Narayanan, “Leakage and the reproducibility crisis in machine-learning-based science,” </w:t>
      </w:r>
      <w:r>
        <w:rPr>
          <w:i/>
          <w:iCs/>
          <w:sz w:val="18"/>
          <w:szCs w:val="18"/>
        </w:rPr>
        <w:t>Patterns</w:t>
      </w:r>
      <w:r>
        <w:rPr>
          <w:sz w:val="18"/>
          <w:szCs w:val="18"/>
        </w:rPr>
        <w:t>, vol. 4, no. 9, Art. no. 100804, 2023, doi: 10.1016/j.patter.2023.100804.</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LibreOffice/26.2.1.2$Windows_X86_64 LibreOffice_project/620$Build-2</Application>
  <AppVersion>15.0000</AppVersion>
  <Pages>36</Pages>
  <Words>20840</Words>
  <Characters>109856</Characters>
  <CharactersWithSpaces>129211</CharactersWithSpaces>
  <Paragraphs>1540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2026-10-23T17:54:00Z</dcterms:created>
  <dc:creator>B JEEVAN SAI REDDY</dc:creator>
  <dc:description/>
  <dc:language>en-US</dc:language>
  <cp:lastModifiedBy/>
  <dcterms:modified xsi:type="dcterms:W3CDTF">2026-10-24T15:20:16Z</dcterms:modified>
  <cp:revision>4</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