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center"/>
        <w:rPr/>
      </w:pPr>
      <w:r>
        <w:rPr>
          <w:b/>
          <w:bCs/>
          <w:sz w:val="34"/>
          <w:szCs w:val="34"/>
        </w:rPr>
        <w:t>Cross-Context Consistency of SHAP-Based Feature Importance for Application Classification Across VPN and Non-VPN Traffic</w:t>
      </w:r>
    </w:p>
    <w:p>
      <w:pPr>
        <w:pStyle w:val="address"/>
        <w:rPr>
          <w:sz w:val="22"/>
          <w:szCs w:val="22"/>
        </w:rPr>
      </w:pPr>
      <w:r>
        <w:rPr>
          <w:sz w:val="22"/>
          <w:szCs w:val="22"/>
        </w:rPr>
        <w:t>Prabhav Gomase, Ganesh Khekare</w:t>
      </w:r>
      <w:r>
        <w:rPr>
          <w:sz w:val="22"/>
          <w:szCs w:val="22"/>
          <w:vertAlign w:val="superscript"/>
        </w:rPr>
        <w:t>*</w:t>
      </w:r>
      <w:r>
        <w:rPr>
          <w:sz w:val="22"/>
          <w:szCs w:val="22"/>
        </w:rPr>
        <w:t>, Piyush Kothari, B Jeevan Sai Reddy, Nishok Khumar SD</w:t>
      </w:r>
    </w:p>
    <w:p>
      <w:pPr>
        <w:pStyle w:val="address"/>
        <w:ind w:start="426" w:end="84"/>
        <w:rPr>
          <w:sz w:val="24"/>
          <w:szCs w:val="24"/>
        </w:rPr>
      </w:pPr>
      <w:r>
        <w:rPr>
          <w:sz w:val="24"/>
          <w:szCs w:val="24"/>
        </w:rPr>
      </w:r>
    </w:p>
    <w:p>
      <w:pPr>
        <w:pStyle w:val="address"/>
        <w:ind w:start="426" w:end="84"/>
        <w:rPr>
          <w:sz w:val="24"/>
          <w:szCs w:val="24"/>
        </w:rPr>
      </w:pPr>
      <w:r>
        <w:rPr>
          <w:sz w:val="24"/>
          <w:szCs w:val="24"/>
        </w:rPr>
        <w:t xml:space="preserve">School of Computer Science and Engineering, </w:t>
      </w:r>
    </w:p>
    <w:p>
      <w:pPr>
        <w:pStyle w:val="address"/>
        <w:ind w:start="426" w:end="84"/>
        <w:rPr>
          <w:sz w:val="24"/>
          <w:szCs w:val="24"/>
        </w:rPr>
      </w:pPr>
      <w:r>
        <w:rPr>
          <w:sz w:val="24"/>
          <w:szCs w:val="24"/>
        </w:rPr>
        <w:t>Vellore Institute of Technology, Vellore, 632014, Tamil Nadu, India</w:t>
      </w:r>
    </w:p>
    <w:p>
      <w:pPr>
        <w:pStyle w:val="Normal"/>
        <w:spacing w:lineRule="auto" w:line="240"/>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2">
        <w:r>
          <w:rPr>
            <w:rStyle w:val="Hyperlink"/>
            <w:sz w:val="36"/>
            <w:szCs w:val="36"/>
            <w:vertAlign w:val="superscript"/>
          </w:rPr>
          <w:t>bandrevu.jeevan2024@vitstudent.ac.in</w:t>
        </w:r>
      </w:hyperlink>
      <w:r>
        <w:rPr>
          <w:rStyle w:val="Hyperlink"/>
          <w:sz w:val="36"/>
          <w:szCs w:val="36"/>
          <w:vertAlign w:val="superscript"/>
        </w:rPr>
        <w:t xml:space="preserve">, </w:t>
      </w:r>
      <w:hyperlink r:id="rId3">
        <w:r>
          <w:rPr>
            <w:rStyle w:val="Hyperlink"/>
            <w:sz w:val="36"/>
            <w:szCs w:val="36"/>
            <w:vertAlign w:val="superscript"/>
          </w:rPr>
          <w:t>nishok.khumarsd2024@vitstudent.ac.in</w:t>
        </w:r>
      </w:hyperlink>
    </w:p>
    <w:p>
      <w:pPr>
        <w:pStyle w:val="Normal"/>
        <w:spacing w:lineRule="auto" w:line="240"/>
        <w:jc w:val="center"/>
        <w:rPr>
          <w:rStyle w:val="Hyperlink"/>
          <w:sz w:val="36"/>
          <w:szCs w:val="36"/>
          <w:vertAlign w:val="superscript"/>
        </w:rPr>
      </w:pPr>
      <w:r>
        <w:rPr>
          <w:sz w:val="24"/>
          <w:szCs w:val="24"/>
          <w:vertAlign w:val="superscript"/>
        </w:rPr>
        <w:t>*Corresponding author.</w:t>
      </w:r>
    </w:p>
    <w:p>
      <w:pPr>
        <w:pStyle w:val="Normal"/>
        <w:spacing w:lineRule="auto" w:line="264" w:before="240" w:after="120"/>
        <w:jc w:val="both"/>
        <w:rPr/>
      </w:pPr>
      <w:r>
        <w:rPr>
          <w:b/>
          <w:bCs/>
          <w:i/>
          <w:iCs/>
        </w:rPr>
        <w:t>Abstract—</w:t>
      </w:r>
      <w:r>
        <w:rPr/>
        <w:t>Global SHAP rankings are commonly interpreted as a guide to encrypted traffic, but a ranking learned in one observation context may not apply elsewhere. We evaluate this on the seven-class application task of the ISCX VPN-nonVPN benchmark, using TreeSHAP to explain Random Forest and XGBoost models trained separately on Non-VPN and VPN flows. Each model keeps only three of its five leading features across contexts. Compared with models trained on random halves of one context, cross-context Spearman agreement is lower by 0.13 (XGBoost) and 0.19 (Random Forest), which a permutation null preserving both class mixes does not replicate. Keeping related flows in the same half reduces the gap by an amount that depends on the proxy for capture sessions: to about zero on average with clusters of similar flows roughly the size of the capture files, where the half-models are weak and opposite gaps in the two contexts cancel, but only to 0.07 and 0.15 with blocks of consecutive flows in the original files, and to 0.03 and 0.09 with first- and second-half splits. A model trained in one context reaches only 0.43–0.61 macro F1 in the other, while a SHAP-chosen Top-10 feature list loses little macro F1 when transferred, in a test of limited power. Part of the random-split gap reflects related flows; at the two row-block settings tested, a smaller gap remains on common explained records and above a grouped permutation null, but the contexts are different capture sets, so none of it can be attributed to tunnelling.</w:t>
      </w:r>
    </w:p>
    <w:p>
      <w:pPr>
        <w:pStyle w:val="Normal"/>
        <w:spacing w:lineRule="auto" w:line="264" w:before="240" w:after="120"/>
        <w:jc w:val="both"/>
        <w:rPr/>
      </w:pPr>
      <w:r>
        <w:rPr>
          <w:b/>
          <w:bCs/>
        </w:rPr>
        <w:t>Keywords:</w:t>
      </w:r>
      <w:r>
        <w:rPr/>
        <w:t xml:space="preserve"> Encrypted traffic classification, VPN, explainable artificial intelligence, SHAP, TreeSHAP, explanation consistency, aggregated feature-family importance, network security</w:t>
      </w:r>
    </w:p>
    <w:p>
      <w:pPr>
        <w:pStyle w:val="Heading1"/>
        <w:keepNext w:val="true"/>
        <w:spacing w:before="280" w:after="120"/>
        <w:jc w:val="center"/>
        <w:rPr/>
      </w:pPr>
      <w:r>
        <w:rPr/>
        <w:t>I. INTRODUCTION</w:t>
      </w:r>
    </w:p>
    <w:p>
      <w:pPr>
        <w:pStyle w:val="Normal"/>
        <w:spacing w:lineRule="auto" w:line="264" w:before="0" w:after="100"/>
        <w:ind w:firstLine="284"/>
        <w:jc w:val="both"/>
        <w:rPr/>
      </w:pPr>
      <w:r>
        <w:rP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pPr>
        <w:pStyle w:val="Normal"/>
        <w:spacing w:lineRule="auto" w:line="264" w:before="0" w:after="100"/>
        <w:ind w:firstLine="284"/>
        <w:jc w:val="both"/>
        <w:rPr/>
      </w:pPr>
      <w:r>
        <w:rPr/>
        <w:t>A VPN does not change which application a flow comes from. What it changes is how much an observer on the network can see. Inside a tunnel, keep-alive messages, encryption overhead and hidden traffic direction are layered onto the pattern of the application's own traffic, making two applications whose plaintext traffic looks different look similar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w:t>
      </w:r>
    </w:p>
    <w:p>
      <w:pPr>
        <w:pStyle w:val="Normal"/>
        <w:spacing w:lineRule="auto" w:line="264" w:before="0" w:after="100"/>
        <w:ind w:firstLine="284"/>
        <w:jc w:val="both"/>
        <w:rPr/>
      </w:pPr>
      <w:r>
        <w:rPr/>
        <w:t>High accuracy is only part of what a traffic classifier needs. When its output feeds security or network-management decisions, people also need to see why it decided as it did, so that the decision can be audited [9–12].</w:t>
      </w:r>
    </w:p>
    <w:p>
      <w:pPr>
        <w:pStyle w:val="Normal"/>
        <w:spacing w:lineRule="auto" w:line="264" w:before="0" w:after="100"/>
        <w:ind w:firstLine="284"/>
        <w:jc w:val="both"/>
        <w:rPr/>
      </w:pPr>
      <w:r>
        <w:rPr/>
        <w:t>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depend on the training data, the model itself, and the explanation method [15–17]. Correlated features are a known weak point of Shapley values: credit is divided according to the fitted model, not the data distribution [18–20], and flow features are strongly correlated, since the minimum, mean, maximum and total inter-arrival times of a flow tend to move together. When two similar models rank such features differently, the cause may be a real difference in what the models learned or simply training randomness.</w:t>
      </w:r>
    </w:p>
    <w:p>
      <w:pPr>
        <w:pStyle w:val="Normal"/>
        <w:spacing w:lineRule="auto" w:line="264" w:before="0" w:after="100"/>
        <w:ind w:firstLine="284"/>
        <w:jc w:val="both"/>
        <w:rPr/>
      </w:pPr>
      <w:r>
        <w:rPr/>
        <w:t>The VPN and Non-VPN components of the dataset make it possible to compare model reliance across two observation contexts that use the same labels and the same feature encoding. The comparison is observational, though: class composition and capture sessions also differ between the components. Disagreement across contexts is therefore not informative on its own and has to be set against the disagreement between models trained on different data within one context. That reference is only as good as the independence of its data, and flows from a single capture session are often near repetitions of each other. A random division of one context therefore puts related flows on both sides of the split and makes within-context agreement look higher than it would be across sessions.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pPr>
        <w:pStyle w:val="Normal"/>
        <w:spacing w:lineRule="auto" w:line="264" w:before="0" w:after="100"/>
        <w:ind w:firstLine="284"/>
        <w:jc w:val="both"/>
        <w:rPr/>
      </w:pPr>
      <w:r>
        <w:rPr/>
        <w:t>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run with random and with grouped halves. It also checks whether the gap survives when the models of both contexts are explained on the same records. Second, it tests the class-mix explanation directly by resampling each context to the other's class mix. Third, it measures two practically relevant effects: the cost of using an already trained model in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pPr>
        <w:pStyle w:val="Heading1"/>
        <w:keepNext w:val="true"/>
        <w:spacing w:before="280" w:after="120"/>
        <w:jc w:val="center"/>
        <w:rPr/>
      </w:pPr>
      <w:r>
        <w:rPr/>
        <w:t>II. RELATED WORK</w:t>
      </w:r>
    </w:p>
    <w:p>
      <w:pPr>
        <w:pStyle w:val="Heading2"/>
        <w:keepNext w:val="true"/>
        <w:spacing w:before="180" w:after="80"/>
        <w:rPr/>
      </w:pPr>
      <w:r>
        <w:rPr/>
        <w:t>A. Encrypted and VPN Traffic Classification</w:t>
      </w:r>
    </w:p>
    <w:p>
      <w:pPr>
        <w:pStyle w:val="Normal"/>
        <w:spacing w:lineRule="auto" w:line="264" w:before="0" w:after="100"/>
        <w:ind w:firstLine="284"/>
        <w:jc w:val="both"/>
        <w:rPr/>
      </w:pPr>
      <w:r>
        <w:rPr/>
        <w:t>As encryption spread, traffic classification moved from port and payload analysis to statistical and learning-based methods, as several surveys report [1–3]. Encryption does not remove all information about a flow: inter-arrival times, packet sizes, byte and packet rates and flow duration remain observable and can serve as features. Classical learners on such features perform well on many tasks [3, 4], and deep models that take packet sequences or raw bytes as input [5–8, 21] have done better in some settings. Comparing these methods is difficult because studies prepare, split and label their data differently [22, 23]. VPN traffic adds another layer. Draper-Gil et al. [4] captured traffic from several application categories inside and outside a VPN and showed that time-related features can both detect VPN traffic and identify the application inside the tunnel; the companion paper [24] used similar features to recognise Tor traffic. The same dataset was later used to evaluate deep learning models that take packet- or byte-level input [5, 7]. In these studies a method is usually judged by its accuracy or F1 on a single train/test partition.</w:t>
      </w:r>
    </w:p>
    <w:p>
      <w:pPr>
        <w:pStyle w:val="Heading2"/>
        <w:keepNext w:val="true"/>
        <w:spacing w:before="180" w:after="80"/>
        <w:rPr/>
      </w:pPr>
      <w:r>
        <w:rPr/>
        <w:t>B. Studies Using ISCX VPN-nonVPN</w:t>
      </w:r>
    </w:p>
    <w:p>
      <w:pPr>
        <w:pStyle w:val="Normal"/>
        <w:spacing w:lineRule="auto" w:line="264" w:before="0" w:after="100"/>
        <w:ind w:firstLine="284"/>
        <w:jc w:val="both"/>
        <w:rPr/>
      </w:pPr>
      <w:r>
        <w:rPr/>
        <w:t>ISCX VPN-nonVPN is a popular benchmark for encrypted and VPN traffic classification. Some studies use its time-related features [4]; others rebuild packet- or byte-level input from the raw captures [5, 7, 8]. Two properties of the benchmark matter here: it is old, and it has been used heavily. Jacobs et al. [23] distilled network-security classifiers into interpretable surrogate models and found that several relied on spurious, context-dependent patterns that would probably not hold outside the benchmark. Their warning applies directly to reading benchmark explanations as general facts about network traffic. We do not try to improve a classifier on this benchmark. We keep the classifier family fixed and ask whether its explanation is consistent across the two observation contexts that the dataset was built to contrast.</w:t>
      </w:r>
    </w:p>
    <w:p>
      <w:pPr>
        <w:pStyle w:val="Heading2"/>
        <w:keepNext w:val="true"/>
        <w:spacing w:before="180" w:after="80"/>
        <w:rPr/>
      </w:pPr>
      <w:r>
        <w:rPr/>
        <w:t>C. Explainable AI in Network Security</w:t>
      </w:r>
    </w:p>
    <w:p>
      <w:pPr>
        <w:pStyle w:val="Normal"/>
        <w:spacing w:lineRule="auto" w:line="264" w:before="0" w:after="100"/>
        <w:ind w:firstLine="284"/>
        <w:jc w:val="both"/>
        <w:rPr/>
      </w:pPr>
      <w:r>
        <w:rPr/>
        <w:t xml:space="preserve">Security classifiers are increasingly expected to explain their decisions, both to support analysts and to expose spurious correlations [11, 25–27]. Warnecke et al. [9] judged explanation methods for security models on several criteria, including stability and robustness. Intrusion detectors have been explained with SHAP and similar techniques by Wang et al. [10] and by El Houda et al. [28], and Nascita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a single change in observation conditions. Guidelines for evaluating machine learning in security call for protection against sampling bias, data snooping and spurious correlations [26, 30], and the same care should apply when models are interpreted.</w:t>
      </w:r>
    </w:p>
    <w:p>
      <w:pPr>
        <w:pStyle w:val="Heading2"/>
        <w:keepNext w:val="true"/>
        <w:spacing w:before="180" w:after="80"/>
        <w:rPr/>
      </w:pPr>
      <w:r>
        <w:rPr/>
        <w:t>D. Shapley Values, TreeSHAP and Correlated Features</w:t>
      </w:r>
    </w:p>
    <w:p>
      <w:pPr>
        <w:pStyle w:val="Normal"/>
        <w:spacing w:lineRule="auto" w:line="264" w:before="0" w:after="100"/>
        <w:ind w:firstLine="284"/>
        <w:jc w:val="both"/>
        <w:rPr/>
      </w:pPr>
      <w:r>
        <w:rPr/>
        <w:t>In SHAP the model output is treated as the payoff of a cooperative game, and each feature receives its Shapley value [31] in that game. For a single instance the values sum to the difference between the model's prediction and a baseline value [13]. TreeSHAP [14] computes these values efficiently for tree ensembles, in two common formulations. The tree-path-dependent version takes its reference behaviour from the cover statistics stored in the trees, so it needs no background dataset. The interventional version averages over a background sample, which breaks the dependence between features and yields a marginal (interventional) value function [19, 32]. The two versions answer different questions, and neither makes a claim about causal relationships in the data-generating process [19, 32, 33].</w:t>
      </w:r>
    </w:p>
    <w:p>
      <w:pPr>
        <w:pStyle w:val="Normal"/>
        <w:spacing w:lineRule="auto" w:line="264" w:before="0" w:after="100"/>
        <w:ind w:firstLine="284"/>
        <w:jc w:val="both"/>
        <w:rPr/>
      </w:pPr>
      <w:r>
        <w:rPr/>
        <w:t>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each member feature. We call this descriptive quantity aggregated feature-family importance and do not equate it with either instance-level Group SHAP construction.</w:t>
      </w:r>
    </w:p>
    <w:p>
      <w:pPr>
        <w:pStyle w:val="Heading2"/>
        <w:keepNext w:val="true"/>
        <w:spacing w:before="180" w:after="80"/>
        <w:rPr/>
      </w:pPr>
      <w:r>
        <w:rPr/>
        <w:t>E. Stability of Explanations</w:t>
      </w:r>
    </w:p>
    <w:p>
      <w:pPr>
        <w:pStyle w:val="Normal"/>
        <w:spacing w:lineRule="auto" w:line="264" w:before="0" w:after="100"/>
        <w:ind w:firstLine="284"/>
        <w:jc w:val="both"/>
        <w:rPr/>
      </w:pPr>
      <w:r>
        <w:rPr/>
        <w:t xml:space="preserve">Most prior work on explanation stability considers input perturbations [15, 16], sampling in local surrogate methods [40], adversarial manipulation of explanations [41] or disagreement between explanation methods [17]. Fisher et al. [42] observe that models with roughly equal performance can have substantially different importance profiles, so the profile of one model is only one member of a set of plausible profiles. Comparing feature rankings calls for rank statistics, such as the number of features shared by the top of two rankings. Spearman's </w:t>
      </w:r>
      <w:r>
        <w:rPr/>
      </w:r>
      <m:oMath xmlns:m="http://schemas.openxmlformats.org/officeDocument/2006/math">
        <m:r>
          <m:t xml:space="preserve">ρ</m:t>
        </m:r>
      </m:oMath>
      <w:r>
        <w:rPr/>
        <w:t xml:space="preserve"> [43] and Kendall's </w:t>
      </w:r>
      <w:r>
        <w:rPr/>
      </w:r>
      <m:oMath xmlns:m="http://schemas.openxmlformats.org/officeDocument/2006/math">
        <m:r>
          <m:t xml:space="preserve">τ</m:t>
        </m:r>
      </m:oMath>
      <w:r>
        <w:rPr/>
        <w:t xml:space="preserve"> [44] are the standard rank correlations and treat all positions alike, whereas rank-biased overlap [45] gives more weight to the top of a ranking. Bootstrap resampling can put confidence bounds around a ranking [46, 47].</w:t>
      </w:r>
    </w:p>
    <w:p>
      <w:pPr>
        <w:pStyle w:val="Heading2"/>
        <w:keepNext w:val="true"/>
        <w:spacing w:before="180" w:after="80"/>
        <w:rPr/>
      </w:pPr>
      <w:r>
        <w:rPr/>
        <w:t>F. Gap Addressed by This Study</w:t>
      </w:r>
    </w:p>
    <w:p>
      <w:pPr>
        <w:pStyle w:val="Normal"/>
        <w:spacing w:lineRule="auto" w:line="264" w:before="0" w:after="100"/>
        <w:ind w:firstLine="284"/>
        <w:jc w:val="both"/>
        <w:rPr/>
      </w:pPr>
      <w:r>
        <w:rPr/>
        <w:t>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pPr>
        <w:pStyle w:val="Heading1"/>
        <w:keepNext w:val="true"/>
        <w:spacing w:before="280" w:after="120"/>
        <w:jc w:val="center"/>
        <w:rPr/>
      </w:pPr>
      <w:r>
        <w:rPr/>
        <w:t>III. DATASET AND EXPERIMENTAL SETUP</w:t>
      </w:r>
    </w:p>
    <w:p>
      <w:pPr>
        <w:pStyle w:val="Heading2"/>
        <w:keepNext w:val="true"/>
        <w:spacing w:before="180" w:after="80"/>
        <w:rPr/>
      </w:pPr>
      <w:r>
        <w:rPr/>
        <w:t>A. Dataset and Observation Contexts</w:t>
      </w:r>
    </w:p>
    <w:p>
      <w:pPr>
        <w:pStyle w:val="Normal"/>
        <w:spacing w:lineRule="auto" w:line="264" w:before="0" w:after="100"/>
        <w:ind w:firstLine="284"/>
        <w:jc w:val="both"/>
        <w:rPr/>
      </w:pPr>
      <w:r>
        <w:rPr/>
        <w:t>Our input is the time-related feature release of the ISCX VPN-nonVPN dataset [4], distributed by the Canadian Institute for Cybersecurity at the University of New Brunswick [50]. We use the Scenario A2 files for the 15 s flow timeout (TimeBasedFeatures-Dataset-15s-NO-VPN.arff and TimeBasedFeatures-Dataset-15s-VPN.arff), containing 8,965 and 9,793 flows, respectively. Rows identical in all 23 features and the label were removed (271 Non-VPN and 413 VPN rows), leaving 8,694 Non-VPN and 9,380 VPN flows. We then split each context once into stratified 80% training and 20% test partitions. This split is our own, not one supplied with the dataset; we call it the primary split and its parts the primary partitions. We verified that every processed record could be mapped back to a row of the original ARFF files.</w:t>
      </w:r>
    </w:p>
    <w:p>
      <w:pPr>
        <w:pStyle w:val="Normal"/>
        <w:spacing w:lineRule="auto" w:line="264" w:before="0" w:after="100"/>
        <w:ind w:firstLine="284"/>
        <w:jc w:val="both"/>
        <w:rPr/>
      </w:pPr>
      <w:r>
        <w:rPr/>
        <w:t>Some feature vectors occur more than once within a training partition, even after that step: two vectors account for 6 Non-VPN training rows (4 surplus rows) and 11 vectors for 26 VPN training rows (15 surplus rows). Each of them occurs with more than one label, which is why exact-row deduplication kept them. They are label conflicts, not copies, and like the collisions in Section III-C, they identify flows that the 23 features fail to distinguish.</w:t>
      </w:r>
    </w:p>
    <w:p>
      <w:pPr>
        <w:pStyle w:val="Normal"/>
        <w:spacing w:lineRule="auto" w:line="264" w:before="0" w:after="100"/>
        <w:ind w:firstLine="284"/>
        <w:jc w:val="both"/>
        <w:rPr/>
      </w:pPr>
      <w:r>
        <w:rPr/>
        <w:t>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is trained on data from both contexts, and none predicts the context.</w:t>
      </w:r>
    </w:p>
    <w:p>
      <w:pPr>
        <w:pStyle w:val="Normal"/>
        <w:keepNext w:val="true"/>
        <w:spacing w:lineRule="auto" w:line="240" w:before="200" w:after="0"/>
        <w:jc w:val="center"/>
        <w:rPr/>
      </w:pPr>
      <w:r>
        <w:rPr>
          <w:sz w:val="20"/>
          <w:szCs w:val="20"/>
        </w:rPr>
        <w:t>TABLE I</w:t>
      </w:r>
    </w:p>
    <w:p>
      <w:pPr>
        <w:pStyle w:val="Normal"/>
        <w:keepNext w:val="true"/>
        <w:spacing w:lineRule="auto" w:line="240" w:before="0" w:after="80"/>
        <w:jc w:val="center"/>
        <w:rPr/>
      </w:pPr>
      <w:r>
        <w:rPr>
          <w:sz w:val="20"/>
          <w:szCs w:val="20"/>
        </w:rPr>
        <w:t>The 23 time-related flow features and six semantic feature families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001"/>
        <w:gridCol w:w="1603"/>
        <w:gridCol w:w="5422"/>
      </w:tblGrid>
      <w:tr>
        <w:trPr>
          <w:tblHeader w:val="true"/>
          <w:cantSplit w:val="true"/>
        </w:trPr>
        <w:tc>
          <w:tcPr>
            <w:tcW w:w="2001" w:type="dxa"/>
            <w:tcBorders>
              <w:top w:val="single" w:sz="6" w:space="0" w:color="000000"/>
              <w:bottom w:val="single" w:sz="6" w:space="0" w:color="000000"/>
            </w:tcBorders>
            <w:vAlign w:val="center"/>
          </w:tcPr>
          <w:p>
            <w:pPr>
              <w:pStyle w:val="Normal"/>
              <w:rPr/>
            </w:pPr>
            <w:r>
              <w:rPr>
                <w:b/>
                <w:bCs/>
                <w:sz w:val="17"/>
                <w:szCs w:val="17"/>
              </w:rPr>
              <w:t>Feature</w:t>
            </w:r>
          </w:p>
        </w:tc>
        <w:tc>
          <w:tcPr>
            <w:tcW w:w="1603" w:type="dxa"/>
            <w:tcBorders>
              <w:top w:val="single" w:sz="6" w:space="0" w:color="000000"/>
              <w:bottom w:val="single" w:sz="6" w:space="0" w:color="000000"/>
            </w:tcBorders>
            <w:vAlign w:val="center"/>
          </w:tcPr>
          <w:p>
            <w:pPr>
              <w:pStyle w:val="Normal"/>
              <w:rPr/>
            </w:pPr>
            <w:r>
              <w:rPr>
                <w:b/>
                <w:bCs/>
                <w:sz w:val="17"/>
                <w:szCs w:val="17"/>
              </w:rPr>
              <w:t>Family</w:t>
            </w:r>
          </w:p>
        </w:tc>
        <w:tc>
          <w:tcPr>
            <w:tcW w:w="5422" w:type="dxa"/>
            <w:tcBorders>
              <w:top w:val="single" w:sz="6" w:space="0" w:color="000000"/>
              <w:bottom w:val="single" w:sz="6" w:space="0" w:color="000000"/>
            </w:tcBorders>
            <w:vAlign w:val="center"/>
          </w:tcPr>
          <w:p>
            <w:pPr>
              <w:pStyle w:val="Normal"/>
              <w:rPr/>
            </w:pPr>
            <w:r>
              <w:rPr>
                <w:b/>
                <w:bCs/>
                <w:sz w:val="17"/>
                <w:szCs w:val="17"/>
              </w:rPr>
              <w:t>Description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flowBytesPerSecond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Bytes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flowPktsPerSecond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Packets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duration</w:t>
            </w:r>
          </w:p>
        </w:tc>
        <w:tc>
          <w:tcPr>
            <w:tcW w:w="1603" w:type="dxa"/>
            <w:tcBorders>
              <w:top w:val="single" w:sz="6" w:space="0" w:color="000000"/>
              <w:bottom w:val="single" w:sz="6" w:space="0" w:color="000000"/>
            </w:tcBorders>
            <w:vAlign w:val="center"/>
          </w:tcPr>
          <w:p>
            <w:pPr>
              <w:pStyle w:val="Normal"/>
              <w:rPr/>
            </w:pPr>
            <w:r>
              <w:rPr>
                <w:sz w:val="17"/>
                <w:szCs w:val="17"/>
              </w:rPr>
              <w:t>Flow duration</w:t>
            </w:r>
          </w:p>
        </w:tc>
        <w:tc>
          <w:tcPr>
            <w:tcW w:w="5422" w:type="dxa"/>
            <w:tcBorders>
              <w:top w:val="single" w:sz="6" w:space="0" w:color="000000"/>
              <w:bottom w:val="single" w:sz="6" w:space="0" w:color="000000"/>
            </w:tcBorders>
            <w:vAlign w:val="center"/>
          </w:tcPr>
          <w:p>
            <w:pPr>
              <w:pStyle w:val="Normal"/>
              <w:rPr/>
            </w:pPr>
            <w:r>
              <w:rPr>
                <w:sz w:val="17"/>
                <w:szCs w:val="17"/>
              </w:rPr>
              <w:t>Flow duration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forward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forward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backward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backward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Mean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Maximum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length of an active period before the flow goes idle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Mean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Maximum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min_idle</w:t>
            </w:r>
          </w:p>
        </w:tc>
        <w:tc>
          <w:tcPr>
            <w:tcW w:w="1603" w:type="dxa"/>
            <w:tcBorders>
              <w:top w:val="single" w:sz="6" w:space="0" w:color="000000"/>
              <w:bottom w:val="single" w:sz="6" w:space="0" w:color="000000"/>
            </w:tcBorders>
            <w:vAlign w:val="center"/>
          </w:tcPr>
          <w:p>
            <w:pPr>
              <w:pStyle w:val="Normal"/>
              <w:rPr/>
            </w:pPr>
            <w:r>
              <w:rPr>
                <w:sz w:val="17"/>
                <w:szCs w:val="17"/>
              </w:rPr>
              <w:t>Idle-period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idle-period length before the flow becomes active</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mean_idle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Mean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max_idle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Maximum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std_idle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Standard deviation of idle-period length</w:t>
            </w:r>
          </w:p>
        </w:tc>
      </w:tr>
    </w:tbl>
    <w:p>
      <w:pPr>
        <w:pStyle w:val="Normal"/>
        <w:keepLines/>
        <w:spacing w:lineRule="auto" w:line="230" w:before="40" w:after="160"/>
        <w:jc w:val="both"/>
        <w:rPr/>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pPr>
        <w:pStyle w:val="Heading2"/>
        <w:keepNext w:val="true"/>
        <w:spacing w:before="180" w:after="80"/>
        <w:rPr/>
      </w:pPr>
      <w:r>
        <w:rPr/>
        <w:t>B. Class Distributions</w:t>
      </w:r>
    </w:p>
    <w:p>
      <w:pPr>
        <w:pStyle w:val="Normal"/>
        <w:spacing w:lineRule="auto" w:line="264" w:before="0" w:after="100"/>
        <w:ind w:firstLine="284"/>
        <w:jc w:val="both"/>
        <w:rPr/>
      </w:pPr>
      <w:r>
        <w:rPr/>
        <w:t xml:space="preserve">Table II and Fig. 1 give the class distribution of the primary partitions. Within each context, training and test have the same profile (total variation distance 0.001 in both contexts), as a stratified split should. Across contexts they differ. FT takes up 9.9% of Non-VPN training flows and 20.1% of VPN training flows, while VOIP decreases from 32.5% to 24.2%. MAIL is the smallest class in both contexts but grows from 2.7% to 4.6%. The total variation distance between the two training distributions is 0.142, and the chi-square homogeneity test yields </w:t>
      </w:r>
      <w:r>
        <w:rPr/>
      </w:r>
      <m:oMath xmlns:m="http://schemas.openxmlformats.org/officeDocument/2006/math">
        <m:sSup>
          <m:e>
            <m:r>
              <m:t xml:space="preserve">χ</m:t>
            </m:r>
          </m:e>
          <m:sup>
            <m:r>
              <m:t xml:space="preserve">2</m:t>
            </m:r>
          </m:sup>
        </m:sSup>
      </m:oMath>
      <w:r>
        <w:rPr/>
        <w:t xml:space="preserve"> = 447.4 with 6 degrees of freedom (p &lt; 0.001), Cramér's V = 0.176. The largest class is 11.9 times the size of the smallest in Non-VPN and 5.8 times in VPN. A model fitted to one class distribution can attribute importance differently from a model fitted to another, even when the flows within each class look the same, so we treat class mix as a potential confounder and test it directly in Section VI-D.</w:t>
      </w:r>
    </w:p>
    <w:p>
      <w:pPr>
        <w:pStyle w:val="Normal"/>
        <w:spacing w:lineRule="auto" w:line="264" w:before="0" w:after="100"/>
        <w:ind w:firstLine="284"/>
        <w:jc w:val="both"/>
        <w:rPr/>
      </w:pPr>
      <w:r>
        <w:rPr/>
        <w:t>BROWSING is the lone exception to these patterns.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pPr>
        <w:pStyle w:val="Normal"/>
        <w:keepNext w:val="true"/>
        <w:spacing w:lineRule="auto" w:line="240" w:before="200" w:after="0"/>
        <w:jc w:val="center"/>
        <w:rPr/>
      </w:pPr>
      <w:r>
        <w:rPr>
          <w:sz w:val="20"/>
          <w:szCs w:val="20"/>
        </w:rPr>
        <w:t>TABLE II</w:t>
      </w:r>
    </w:p>
    <w:p>
      <w:pPr>
        <w:pStyle w:val="Normal"/>
        <w:keepNext w:val="true"/>
        <w:spacing w:lineRule="auto" w:line="240" w:before="0" w:after="80"/>
        <w:jc w:val="center"/>
        <w:rPr/>
      </w:pPr>
      <w:r>
        <w:rPr>
          <w:sz w:val="20"/>
          <w:szCs w:val="20"/>
        </w:rPr>
        <w:t>Dataset statistics for the two observation contexts (primary partitions, verified counts)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880"/>
        <w:gridCol w:w="1056"/>
        <w:gridCol w:w="956"/>
        <w:gridCol w:w="1057"/>
        <w:gridCol w:w="1056"/>
        <w:gridCol w:w="963"/>
        <w:gridCol w:w="1058"/>
      </w:tblGrid>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r>
          </w:p>
        </w:tc>
        <w:tc>
          <w:tcPr>
            <w:tcW w:w="3069" w:type="dxa"/>
            <w:gridSpan w:val="3"/>
            <w:tcBorders>
              <w:top w:val="single" w:sz="6" w:space="0" w:color="000000"/>
              <w:bottom w:val="single" w:sz="6" w:space="0" w:color="000000"/>
            </w:tcBorders>
            <w:vAlign w:val="center"/>
          </w:tcPr>
          <w:p>
            <w:pPr>
              <w:pStyle w:val="Normal"/>
              <w:keepNext w:val="true"/>
              <w:jc w:val="center"/>
              <w:rPr/>
            </w:pPr>
            <w:r>
              <w:rPr>
                <w:b/>
                <w:bCs/>
                <w:sz w:val="17"/>
                <w:szCs w:val="17"/>
              </w:rPr>
              <w:t>Non-VPN</w:t>
            </w:r>
          </w:p>
        </w:tc>
        <w:tc>
          <w:tcPr>
            <w:tcW w:w="3077" w:type="dxa"/>
            <w:gridSpan w:val="3"/>
            <w:tcBorders>
              <w:top w:val="single" w:sz="6" w:space="0" w:color="000000"/>
              <w:bottom w:val="single" w:sz="6" w:space="0" w:color="000000"/>
            </w:tcBorders>
            <w:vAlign w:val="center"/>
          </w:tcPr>
          <w:p>
            <w:pPr>
              <w:pStyle w:val="Normal"/>
              <w:keepNext w:val="true"/>
              <w:jc w:val="center"/>
              <w:rPr/>
            </w:pPr>
            <w:r>
              <w:rPr>
                <w:b/>
                <w:bCs/>
                <w:sz w:val="17"/>
                <w:szCs w:val="17"/>
              </w:rPr>
              <w:t>VPN</w:t>
            </w:r>
          </w:p>
        </w:tc>
      </w:tr>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b/>
                <w:bCs/>
                <w:sz w:val="17"/>
                <w:szCs w:val="17"/>
              </w:rPr>
              <w:t>Class</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56"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7"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63"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8"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0 = BROWSING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28.8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26.7</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1 = CHAT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709</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926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232</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12.3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2 = FT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686</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171</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9.9</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1,506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377</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20.1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3 = MAIL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2.7</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346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86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4.6</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4 = P2P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753</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188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533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133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7.1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5 = STREAMING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360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90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5.2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380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95</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5.1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6 = VOIP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2,257</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564</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32.5</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1,813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453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24.2</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6,955</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1,739</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7,504</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Unique feature rows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6,951</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1,737</w:t>
            </w:r>
          </w:p>
        </w:tc>
        <w:tc>
          <w:tcPr>
            <w:tcW w:w="1057" w:type="dxa"/>
            <w:tcBorders>
              <w:top w:val="single" w:sz="6" w:space="0" w:color="000000"/>
              <w:bottom w:val="single" w:sz="6" w:space="0" w:color="000000"/>
            </w:tcBorders>
            <w:vAlign w:val="center"/>
          </w:tcPr>
          <w:p>
            <w:pPr>
              <w:pStyle w:val="Normal"/>
              <w:keepNext w:val="true"/>
              <w:jc w:val="center"/>
              <w:rPr/>
            </w:pPr>
            <w:r>
              <w:rPr/>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7,489</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1,875</w:t>
            </w:r>
          </w:p>
        </w:tc>
        <w:tc>
          <w:tcPr>
            <w:tcW w:w="1058" w:type="dxa"/>
            <w:tcBorders>
              <w:top w:val="single" w:sz="6" w:space="0" w:color="000000"/>
              <w:bottom w:val="single" w:sz="6" w:space="0" w:color="000000"/>
            </w:tcBorders>
            <w:vAlign w:val="center"/>
          </w:tcPr>
          <w:p>
            <w:pPr>
              <w:pStyle w:val="Normal"/>
              <w:keepNext w:val="true"/>
              <w:jc w:val="center"/>
              <w:rPr/>
            </w:pPr>
            <w:r>
              <w:rPr/>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Train/test exact collisions</w:t>
            </w:r>
          </w:p>
        </w:tc>
        <w:tc>
          <w:tcPr>
            <w:tcW w:w="3069" w:type="dxa"/>
            <w:gridSpan w:val="3"/>
            <w:tcBorders>
              <w:top w:val="single" w:sz="6" w:space="0" w:color="000000"/>
              <w:bottom w:val="single" w:sz="6" w:space="0" w:color="000000"/>
            </w:tcBorders>
            <w:vAlign w:val="center"/>
          </w:tcPr>
          <w:p>
            <w:pPr>
              <w:pStyle w:val="Normal"/>
              <w:keepNext w:val="true"/>
              <w:jc w:val="center"/>
              <w:rPr/>
            </w:pPr>
            <w:r>
              <w:rPr>
                <w:sz w:val="17"/>
                <w:szCs w:val="17"/>
              </w:rPr>
              <w:t>1</w:t>
            </w:r>
          </w:p>
        </w:tc>
        <w:tc>
          <w:tcPr>
            <w:tcW w:w="3077" w:type="dxa"/>
            <w:gridSpan w:val="3"/>
            <w:tcBorders>
              <w:top w:val="single" w:sz="6" w:space="0" w:color="000000"/>
              <w:bottom w:val="single" w:sz="6" w:space="0" w:color="000000"/>
            </w:tcBorders>
            <w:vAlign w:val="center"/>
          </w:tcPr>
          <w:p>
            <w:pPr>
              <w:pStyle w:val="Normal"/>
              <w:keepNext w:val="true"/>
              <w:jc w:val="center"/>
              <w:rPr/>
            </w:pPr>
            <w:r>
              <w:rPr>
                <w:sz w:val="17"/>
                <w:szCs w:val="17"/>
              </w:rPr>
              <w:t>13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(per class)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14.3</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14.3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bl>
    <w:p>
      <w:pPr>
        <w:pStyle w:val="Normal"/>
        <w:keepLines/>
        <w:spacing w:lineRule="auto" w:line="230" w:before="40" w:after="160"/>
        <w:jc w:val="both"/>
        <w:rPr/>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per-class training sizes used for class-matched training of XGBoost in Section VI-D; matched models are explained on the full test partition, so there is no matched test set.</w:t>
      </w:r>
    </w:p>
    <w:p>
      <w:pPr>
        <w:pStyle w:val="Normal"/>
        <w:keepNext w:val="true"/>
        <w:spacing w:before="160" w:after="60"/>
        <w:jc w:val="center"/>
        <w:rPr/>
      </w:pPr>
      <w:r>
        <w:rPr/>
        <w:drawing>
          <wp:inline distT="0" distB="0" distL="0" distR="0">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203136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1. </w:t>
      </w:r>
      <w:r>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pPr>
        <w:pStyle w:val="Heading2"/>
        <w:keepNext w:val="true"/>
        <w:spacing w:before="180" w:after="80"/>
        <w:rPr/>
      </w:pPr>
      <w:r>
        <w:rPr/>
        <w:t>C. Leakage, Near-Duplicate and Grouping Audit</w:t>
      </w:r>
    </w:p>
    <w:p>
      <w:pPr>
        <w:pStyle w:val="Normal"/>
        <w:spacing w:lineRule="auto" w:line="264" w:before="0" w:after="100"/>
        <w:ind w:firstLine="284"/>
        <w:jc w:val="both"/>
        <w:rPr/>
      </w:pPr>
      <w:r>
        <w:rPr/>
        <w:t>We audited the partitions before training any model. Counting each repeated row within a partition only once, Non-VPN has 6,951 distinct feature vectors in the training set and 1,737 in the test set, and exactly one vector appears in both. VPN has 7,489 and 1,875, with thirteen shared. Each shared vector has one label in training and another in test, so we call them feature-vector collisions rather than copies. Because the labels disagree, memorising these vectors cannot raise test accuracy. These collisions make up at most 0.7% of the rows in the VPN test set, and we kept them.</w:t>
      </w:r>
    </w:p>
    <w:p>
      <w:pPr>
        <w:pStyle w:val="Normal"/>
        <w:spacing w:lineRule="auto" w:line="264" w:before="0" w:after="100"/>
        <w:ind w:firstLine="284"/>
        <w:jc w:val="both"/>
        <w:rPr>
          <w:lang w:val="en-US"/>
        </w:rPr>
      </w:pPr>
      <w:r>
        <w:rPr/>
        <w:t>Near duplicates needed a different check. On standardised raw features the nearest-neighbour distances are tiny (Non-VPN median test-to-train distance 0.0032 standard deviations), because a few extreme values dominate each heavy-tailed feature.</w:t>
      </w:r>
    </w:p>
    <w:p>
      <w:pPr>
        <w:pStyle w:val="Normal"/>
        <w:spacing w:lineRule="auto" w:line="264" w:before="0" w:after="100"/>
        <w:ind w:firstLine="284"/>
        <w:jc w:val="both"/>
        <w:rPr/>
      </w:pPr>
      <w:r>
        <w:rPr/>
        <w:t>We therefore repeated the audit after a log transform, log(x + 2) with values clipped at -1 so that the sentinel maps to zero, followed by standardisation, and after a rank (quantile) transform, both fitted on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pPr>
        <w:pStyle w:val="Normal"/>
        <w:spacing w:lineRule="auto" w:line="264" w:before="0" w:after="100"/>
        <w:ind w:firstLine="284"/>
        <w:jc w:val="both"/>
        <w:rPr/>
      </w:pPr>
      <w:r>
        <w:rPr/>
        <w:t>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(three initialisations, fixed seed)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pPr>
        <w:pStyle w:val="Normal"/>
        <w:spacing w:lineRule="auto" w:line="264" w:before="0" w:after="100"/>
        <w:ind w:firstLine="284"/>
        <w:jc w:val="both"/>
        <w:rPr/>
      </w:pPr>
      <w:r>
        <w:rPr/>
        <w:t>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as within-context references, use half-splits that keep together either clusters of similar flows or blocks of consecutive rows of the original files (Section IV-D), and we return to this limitation in Section XI.</w:t>
      </w:r>
    </w:p>
    <w:p>
      <w:pPr>
        <w:pStyle w:val="Heading2"/>
        <w:keepNext w:val="true"/>
        <w:spacing w:before="180" w:after="80"/>
        <w:rPr/>
      </w:pPr>
      <w:r>
        <w:rPr/>
        <w:t>D. Models and Implementation</w:t>
      </w:r>
    </w:p>
    <w:p>
      <w:pPr>
        <w:pStyle w:val="Normal"/>
        <w:spacing w:lineRule="auto" w:line="264" w:before="0" w:after="100"/>
        <w:ind w:firstLine="284"/>
        <w:jc w:val="both"/>
        <w:rPr/>
      </w:pPr>
      <w:r>
        <w:rPr/>
        <w:t>Two tree ensembles are used because they handle correlated inputs differently. Random Forest [51] averages many deep trees, and each split picks from a random subset of features. XGBoost [52] grows shallower trees one after another, with regularisation. Both are explained with TreeSHAP, and Extra Trees [53] appears only in the robustness checks of Section IX. We did not keep a linear baseline: multinomial Logistic Regression, even after a log(x + 2) transform, reached only 0.754 (Non-VPN) and 0.724 (VPN) macro F1, against 0.85–0.93 for the ensembles.</w:t>
      </w:r>
    </w:p>
    <w:p>
      <w:pPr>
        <w:pStyle w:val="Normal"/>
        <w:spacing w:lineRule="auto" w:line="264" w:before="0" w:after="100"/>
        <w:ind w:firstLine="284"/>
        <w:jc w:val="both"/>
        <w:rPr/>
      </w:pPr>
      <w:r>
        <w:rPr/>
        <w:t>Table III lists the configurations, which are the same in both contexts. Hyperparameters were set once and not tuned; Section IX shows how far the rankings move under other XGBoost settings and seeds. The primary models use random_state 42, and every model in the repeated designs of Section IV-D has its own seed. The code uses scikit-learn [54] and XGBoost [52], with TreeSHAP from the SHAP library [14], and all results come from one software environment (Table III).</w:t>
      </w:r>
    </w:p>
    <w:p>
      <w:pPr>
        <w:pStyle w:val="Normal"/>
        <w:spacing w:lineRule="auto" w:line="264" w:before="0" w:after="100"/>
        <w:ind w:firstLine="284"/>
        <w:jc w:val="both"/>
        <w:rPr/>
      </w:pPr>
      <w:r>
        <w:rPr/>
        <w:tab/>
      </w:r>
    </w:p>
    <w:p>
      <w:pPr>
        <w:pStyle w:val="Normal"/>
        <w:keepNext w:val="true"/>
        <w:spacing w:lineRule="auto" w:line="240" w:before="200" w:after="0"/>
        <w:jc w:val="center"/>
        <w:rPr/>
      </w:pPr>
      <w:r>
        <w:rPr>
          <w:sz w:val="20"/>
          <w:szCs w:val="20"/>
        </w:rPr>
        <w:t>TABLE III</w:t>
      </w:r>
    </w:p>
    <w:p>
      <w:pPr>
        <w:pStyle w:val="Normal"/>
        <w:keepNext w:val="true"/>
        <w:spacing w:lineRule="auto" w:line="240" w:before="0" w:after="80"/>
        <w:jc w:val="center"/>
        <w:rPr/>
      </w:pPr>
      <w:r>
        <w:rPr>
          <w:sz w:val="20"/>
          <w:szCs w:val="20"/>
        </w:rPr>
        <w:t>Model and explanation configurations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600"/>
        <w:gridCol w:w="5824"/>
        <w:gridCol w:w="1602"/>
      </w:tblGrid>
      <w:tr>
        <w:trPr>
          <w:tblHeader w:val="true"/>
          <w:cantSplit w:val="true"/>
        </w:trPr>
        <w:tc>
          <w:tcPr>
            <w:tcW w:w="16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5824" w:type="dxa"/>
            <w:tcBorders>
              <w:top w:val="single" w:sz="6" w:space="0" w:color="000000"/>
              <w:bottom w:val="single" w:sz="6" w:space="0" w:color="000000"/>
            </w:tcBorders>
            <w:vAlign w:val="center"/>
          </w:tcPr>
          <w:p>
            <w:pPr>
              <w:pStyle w:val="Normal"/>
              <w:spacing w:lineRule="auto" w:line="228"/>
              <w:jc w:val="center"/>
              <w:rPr/>
            </w:pPr>
            <w:r>
              <w:rPr>
                <w:b/>
                <w:bCs/>
                <w:sz w:val="17"/>
                <w:szCs w:val="17"/>
              </w:rPr>
              <w:t>Configuration</w:t>
            </w:r>
          </w:p>
        </w:tc>
        <w:tc>
          <w:tcPr>
            <w:tcW w:w="1602" w:type="dxa"/>
            <w:tcBorders>
              <w:top w:val="single" w:sz="6" w:space="0" w:color="000000"/>
              <w:bottom w:val="single" w:sz="6" w:space="0" w:color="000000"/>
            </w:tcBorders>
            <w:vAlign w:val="center"/>
          </w:tcPr>
          <w:p>
            <w:pPr>
              <w:pStyle w:val="Normal"/>
              <w:spacing w:lineRule="auto" w:line="228"/>
              <w:jc w:val="center"/>
              <w:rPr/>
            </w:pPr>
            <w:r>
              <w:rPr>
                <w:b/>
                <w:bCs/>
                <w:sz w:val="17"/>
                <w:szCs w:val="17"/>
              </w:rPr>
              <w:t>Use</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Random Forest</w:t>
            </w:r>
          </w:p>
        </w:tc>
        <w:tc>
          <w:tcPr>
            <w:tcW w:w="5824" w:type="dxa"/>
            <w:tcBorders>
              <w:top w:val="single" w:sz="6" w:space="0" w:color="000000"/>
              <w:bottom w:val="single" w:sz="6" w:space="0" w:color="000000"/>
            </w:tcBorders>
            <w:vAlign w:val="center"/>
          </w:tcPr>
          <w:p>
            <w:pPr>
              <w:pStyle w:val="Normal"/>
              <w:spacing w:lineRule="auto" w:line="228"/>
              <w:jc w:val="center"/>
              <w:rPr/>
            </w:pPr>
            <w:r>
              <w:rPr>
                <w:sz w:val="17"/>
                <w:szCs w:val="17"/>
              </w:rPr>
              <w:t>200 trees; max_features = sqrt; min_samples_leaf = 1; bootstrap = True; class_weight = None; random_state = 42</w:t>
            </w:r>
          </w:p>
        </w:tc>
        <w:tc>
          <w:tcPr>
            <w:tcW w:w="1602"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XGBoost</w:t>
            </w:r>
          </w:p>
        </w:tc>
        <w:tc>
          <w:tcPr>
            <w:tcW w:w="5824" w:type="dxa"/>
            <w:tcBorders>
              <w:top w:val="single" w:sz="6" w:space="0" w:color="000000"/>
              <w:bottom w:val="single" w:sz="6" w:space="0" w:color="000000"/>
            </w:tcBorders>
            <w:vAlign w:val="center"/>
          </w:tcPr>
          <w:p>
            <w:pPr>
              <w:pStyle w:val="Normal"/>
              <w:spacing w:lineRule="auto" w:line="228"/>
              <w:jc w:val="center"/>
              <w:rPr/>
            </w:pPr>
            <w:r>
              <w:rPr>
                <w:sz w:val="17"/>
                <w:szCs w:val="17"/>
              </w:rPr>
              <w:t>200 estimators; multi:softprob, 7 classes; max_depth = 6; learning_rate = 0.1; subsample = 0.8; colsample_bytree = 0.8; min_child_weight = 1; eval_metric = mlogloss; tree_method = auto (library default, identical to hist here); random_state = 42</w:t>
            </w:r>
          </w:p>
        </w:tc>
        <w:tc>
          <w:tcPr>
            <w:tcW w:w="1602"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Extra Trees</w:t>
            </w:r>
          </w:p>
        </w:tc>
        <w:tc>
          <w:tcPr>
            <w:tcW w:w="5824" w:type="dxa"/>
            <w:tcBorders>
              <w:top w:val="single" w:sz="6" w:space="0" w:color="000000"/>
              <w:bottom w:val="single" w:sz="6" w:space="0" w:color="000000"/>
            </w:tcBorders>
            <w:vAlign w:val="center"/>
          </w:tcPr>
          <w:p>
            <w:pPr>
              <w:pStyle w:val="Normal"/>
              <w:spacing w:lineRule="auto" w:line="228"/>
              <w:jc w:val="center"/>
              <w:rPr/>
            </w:pPr>
            <w:r>
              <w:rPr>
                <w:sz w:val="17"/>
                <w:szCs w:val="17"/>
              </w:rPr>
              <w:t>500 trees; max_features = sqrt; min_samples_leaf = 1; random_state = 42</w:t>
            </w:r>
          </w:p>
        </w:tc>
        <w:tc>
          <w:tcPr>
            <w:tcW w:w="1602" w:type="dxa"/>
            <w:tcBorders>
              <w:top w:val="single" w:sz="6" w:space="0" w:color="000000"/>
              <w:bottom w:val="single" w:sz="6" w:space="0" w:color="000000"/>
            </w:tcBorders>
            <w:vAlign w:val="center"/>
          </w:tcPr>
          <w:p>
            <w:pPr>
              <w:pStyle w:val="Normal"/>
              <w:spacing w:lineRule="auto" w:line="228"/>
              <w:jc w:val="center"/>
              <w:rPr/>
            </w:pPr>
            <w:r>
              <w:rPr>
                <w:sz w:val="17"/>
                <w:szCs w:val="17"/>
              </w:rPr>
              <w:t>Robustness only</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TreeSHAP</w:t>
            </w:r>
          </w:p>
        </w:tc>
        <w:tc>
          <w:tcPr>
            <w:tcW w:w="5824" w:type="dxa"/>
            <w:tcBorders>
              <w:top w:val="single" w:sz="6" w:space="0" w:color="000000"/>
              <w:bottom w:val="single" w:sz="6" w:space="0" w:color="000000"/>
            </w:tcBorders>
            <w:vAlign w:val="center"/>
          </w:tcPr>
          <w:p>
            <w:pPr>
              <w:pStyle w:val="Normal"/>
              <w:spacing w:lineRule="auto" w:line="228"/>
              <w:jc w:val="center"/>
              <w:rPr/>
            </w:pPr>
            <w:r>
              <w:rPr>
                <w:sz w:val="17"/>
                <w:szCs w:val="17"/>
              </w:rPr>
              <w:t>Path-dependent primary; interventional robustness with 200 training background records. Random Forest and Extra Trees: class probabilities; XGBoost: class margins</w:t>
            </w:r>
          </w:p>
        </w:tc>
        <w:tc>
          <w:tcPr>
            <w:tcW w:w="1602" w:type="dxa"/>
            <w:tcBorders>
              <w:top w:val="single" w:sz="6" w:space="0" w:color="000000"/>
              <w:bottom w:val="single" w:sz="6" w:space="0" w:color="000000"/>
            </w:tcBorders>
            <w:vAlign w:val="center"/>
          </w:tcPr>
          <w:p>
            <w:pPr>
              <w:pStyle w:val="Normal"/>
              <w:spacing w:lineRule="auto" w:line="228"/>
              <w:jc w:val="center"/>
              <w:rPr/>
            </w:pPr>
            <w:r>
              <w:rPr>
                <w:sz w:val="17"/>
                <w:szCs w:val="17"/>
              </w:rPr>
              <w:t>Ranks and normalised shares</w:t>
            </w:r>
          </w:p>
        </w:tc>
      </w:tr>
    </w:tbl>
    <w:p>
      <w:pPr>
        <w:pStyle w:val="Normal"/>
        <w:keepLines/>
        <w:spacing w:lineRule="auto" w:line="230" w:before="40" w:after="160"/>
        <w:jc w:val="both"/>
        <w:rPr/>
      </w:pPr>
      <w:r>
        <w:rPr>
          <w:i/>
          <w:iCs/>
          <w:sz w:val="17"/>
          <w:szCs w:val="17"/>
        </w:rPr>
        <w:t xml:space="preserve">Note. </w:t>
      </w:r>
      <w:r>
        <w:rPr>
          <w:sz w:val="17"/>
          <w:szCs w:val="17"/>
        </w:rPr>
        <w:t>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pPr>
        <w:pStyle w:val="Heading1"/>
        <w:keepNext w:val="true"/>
        <w:spacing w:before="280" w:after="120"/>
        <w:jc w:val="center"/>
        <w:rPr/>
      </w:pPr>
      <w:r>
        <w:rPr/>
        <w:t>IV. METHODOLOGY</w:t>
      </w:r>
    </w:p>
    <w:p>
      <w:pPr>
        <w:pStyle w:val="Heading2"/>
        <w:keepNext w:val="true"/>
        <w:spacing w:before="180" w:after="80"/>
        <w:rPr/>
      </w:pPr>
      <w:r>
        <w:rPr/>
        <w:t>A. Overview</w:t>
      </w:r>
    </w:p>
    <w:p>
      <w:pPr>
        <w:pStyle w:val="Normal"/>
        <w:spacing w:lineRule="auto" w:line="264" w:before="0" w:after="100"/>
        <w:ind w:firstLine="284"/>
        <w:jc w:val="both"/>
        <w:rPr/>
      </w:pPr>
      <w:r>
        <w:rPr/>
        <w:t>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w:pPr>
        <w:pStyle w:val="Normal"/>
        <w:keepNext w:val="true"/>
        <w:spacing w:before="160" w:after="60"/>
        <w:jc w:val="center"/>
        <w:rPr/>
      </w:pPr>
      <w:r>
        <w:rPr/>
        <w:drawing>
          <wp:inline distT="0" distB="0" distL="0" distR="0">
            <wp:extent cx="5715000" cy="351282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5"/>
                    <a:stretch>
                      <a:fillRect/>
                    </a:stretch>
                  </pic:blipFill>
                  <pic:spPr bwMode="auto">
                    <a:xfrm>
                      <a:off x="0" y="0"/>
                      <a:ext cx="5715000" cy="351282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pPr>
        <w:pStyle w:val="Heading2"/>
        <w:keepNext w:val="true"/>
        <w:spacing w:before="180" w:after="80"/>
        <w:rPr/>
      </w:pPr>
      <w:r>
        <w:rPr/>
        <w:t>B. TreeSHAP and Global Importance</w:t>
      </w:r>
    </w:p>
    <w:p>
      <w:pPr>
        <w:pStyle w:val="Normal"/>
        <w:spacing w:lineRule="auto" w:line="264" w:before="0" w:after="100"/>
        <w:ind w:firstLine="284"/>
        <w:jc w:val="both"/>
        <w:rPr/>
      </w:pPr>
      <w:r>
        <w:rPr/>
        <w:t xml:space="preserve">Take a model with class outputs </w:t>
      </w:r>
      <w:r>
        <w:rPr/>
      </w:r>
      <m:oMath xmlns:m="http://schemas.openxmlformats.org/officeDocument/2006/math">
        <m:sSub>
          <m:e>
            <m:r>
              <m:t xml:space="preserve">f</m:t>
            </m:r>
          </m:e>
          <m:sub>
            <m:r>
              <m:t xml:space="preserve">c</m:t>
            </m:r>
          </m:sub>
        </m:sSub>
      </m:oMath>
      <w:r>
        <w:rPr/>
        <w:t xml:space="preserve">, </w:t>
      </w:r>
      <w:r>
        <w:rPr/>
      </w:r>
      <m:oMath xmlns:m="http://schemas.openxmlformats.org/officeDocument/2006/math">
        <m:r>
          <m:t xml:space="preserve">c</m:t>
        </m:r>
        <m:r>
          <m:rPr>
            <m:lit/>
            <m:nor/>
          </m:rPr>
          <m:t xml:space="preserve">=</m:t>
        </m:r>
        <m:r>
          <m:t xml:space="preserve">1</m:t>
        </m:r>
        <m:r>
          <m:t xml:space="preserve">,</m:t>
        </m:r>
        <m:r>
          <m:t xml:space="preserve">…</m:t>
        </m:r>
        <m:r>
          <m:t xml:space="preserve">,</m:t>
        </m:r>
        <m:r>
          <m:t xml:space="preserve">C</m:t>
        </m:r>
      </m:oMath>
      <w:r>
        <w:rPr/>
        <w:t xml:space="preserve"> (</w:t>
      </w:r>
      <w:r>
        <w:rPr/>
      </w:r>
      <m:oMath xmlns:m="http://schemas.openxmlformats.org/officeDocument/2006/math">
        <m:r>
          <m:t xml:space="preserve">C</m:t>
        </m:r>
        <m:r>
          <m:rPr>
            <m:lit/>
            <m:nor/>
          </m:rPr>
          <m:t xml:space="preserve">=</m:t>
        </m:r>
        <m:r>
          <m:t xml:space="preserve">7</m:t>
        </m:r>
      </m:oMath>
      <w:r>
        <w:rPr/>
        <w:t xml:space="preserve">). For an instance </w:t>
      </w:r>
      <w:r>
        <w:rPr/>
      </w:r>
      <m:oMath xmlns:m="http://schemas.openxmlformats.org/officeDocument/2006/math">
        <m:r>
          <m:t xml:space="preserve">x</m:t>
        </m:r>
      </m:oMath>
      <w:r>
        <w:rPr/>
        <w:t xml:space="preserve"> described by </w:t>
      </w:r>
      <w:r>
        <w:rPr/>
      </w:r>
      <m:oMath xmlns:m="http://schemas.openxmlformats.org/officeDocument/2006/math">
        <m:r>
          <m:t xml:space="preserve">m</m:t>
        </m:r>
        <m:r>
          <m:rPr>
            <m:lit/>
            <m:nor/>
          </m:rPr>
          <m:t xml:space="preserve">=</m:t>
        </m:r>
        <m:r>
          <m:t xml:space="preserve">23</m:t>
        </m:r>
      </m:oMath>
      <w:r>
        <w:rPr/>
        <w:t xml:space="preserve"> features, SHAP returns attributions </w:t>
      </w:r>
      <w:r>
        <w:rPr/>
      </w:r>
      <m:oMath xmlns:m="http://schemas.openxmlformats.org/officeDocument/2006/math">
        <m:sSub>
          <m:e>
            <m:r>
              <m:t xml:space="preserve">ϕ</m:t>
            </m:r>
          </m:e>
          <m:sub>
            <m:r>
              <m:t xml:space="preserve">j</m:t>
            </m:r>
            <m:r>
              <m:t xml:space="preserve">,</m:t>
            </m:r>
            <m:r>
              <m:t xml:space="preserve">c</m:t>
            </m:r>
          </m:sub>
        </m:sSub>
        <m:d>
          <m:dPr>
            <m:begChr m:val="("/>
            <m:endChr m:val=")"/>
          </m:dPr>
          <m:e>
            <m:r>
              <m:t xml:space="preserve">x</m:t>
            </m:r>
          </m:e>
        </m:d>
      </m:oMath>
      <w:r>
        <w:rPr/>
        <w:t>, and these obey local accuracy:</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f</m:t>
            </m:r>
          </m:e>
          <m:sub>
            <m:r>
              <m:t xml:space="preserve">c</m:t>
            </m:r>
          </m:sub>
        </m:sSub>
        <m:d>
          <m:dPr>
            <m:begChr m:val="("/>
            <m:endChr m:val=")"/>
          </m:dPr>
          <m:e>
            <m:r>
              <m:t xml:space="preserve">x</m:t>
            </m:r>
          </m:e>
        </m:d>
        <m:r>
          <m:rPr>
            <m:lit/>
            <m:nor/>
          </m:rPr>
          <m:t xml:space="preserve">=</m:t>
        </m:r>
        <m:sSub>
          <m:e>
            <m:r>
              <m:t xml:space="preserve">ϕ</m:t>
            </m:r>
          </m:e>
          <m:sub>
            <m:r>
              <m:t xml:space="preserve">0</m:t>
            </m:r>
            <m:r>
              <m:t xml:space="preserve">,</m:t>
            </m:r>
            <m:r>
              <m:t xml:space="preserve">c</m:t>
            </m:r>
          </m:sub>
        </m:sSub>
        <m:r>
          <m:rPr>
            <m:lit/>
            <m:nor/>
          </m:rPr>
          <m:t xml:space="preserve">+</m:t>
        </m:r>
        <m:nary>
          <m:naryPr>
            <m:chr m:val="∑"/>
          </m:naryPr>
          <m:sub>
            <m:r>
              <m:t xml:space="preserve">j</m:t>
            </m:r>
            <m:r>
              <m:rPr>
                <m:lit/>
                <m:nor/>
              </m:rPr>
              <m:t xml:space="preserve">=</m:t>
            </m:r>
            <m:r>
              <m:t xml:space="preserve">1</m:t>
            </m:r>
          </m:sub>
          <m:sup>
            <m:r>
              <m:t xml:space="preserve">m</m:t>
            </m:r>
          </m:sup>
          <m:e>
            <m:sSub>
              <m:e>
                <m:r>
                  <m:t xml:space="preserve">ϕ</m:t>
                </m:r>
              </m:e>
              <m:sub>
                <m:r>
                  <m:t xml:space="preserve">j</m:t>
                </m:r>
                <m:r>
                  <m:t xml:space="preserve">,</m:t>
                </m:r>
                <m:r>
                  <m:t xml:space="preserve">c</m:t>
                </m:r>
              </m:sub>
            </m:sSub>
          </m:e>
        </m:nary>
        <m:d>
          <m:dPr>
            <m:begChr m:val="("/>
            <m:endChr m:val=")"/>
          </m:dPr>
          <m:e>
            <m:r>
              <m:t xml:space="preserve">x</m:t>
            </m:r>
          </m:e>
        </m:d>
        <m:r>
          <m:t xml:space="preserve">,</m:t>
        </m:r>
        <m:r>
          <m:t xml:space="preserve">c</m:t>
        </m:r>
        <m:r>
          <m:rPr>
            <m:lit/>
            <m:nor/>
          </m:rPr>
          <m:t xml:space="preserve">=</m:t>
        </m:r>
        <m:r>
          <m:t xml:space="preserve">1</m:t>
        </m:r>
        <m:r>
          <m:t xml:space="preserve">,</m:t>
        </m:r>
        <m:r>
          <m:t xml:space="preserve">…</m:t>
        </m:r>
        <m:r>
          <m:t xml:space="preserve">,</m:t>
        </m:r>
        <m:r>
          <m:t xml:space="preserve">C</m:t>
        </m:r>
      </m:oMath>
      <w:r>
        <w:rPr/>
        <w:tab/>
        <w:t>(1)</w:t>
      </w:r>
    </w:p>
    <w:p>
      <w:pPr>
        <w:pStyle w:val="Normal"/>
        <w:spacing w:lineRule="auto" w:line="264" w:before="0" w:after="100"/>
        <w:jc w:val="both"/>
        <w:rPr/>
      </w:pPr>
      <w:r>
        <w:rPr/>
        <w:t xml:space="preserve">where </w:t>
      </w:r>
      <w:r>
        <w:rPr/>
      </w:r>
      <m:oMath xmlns:m="http://schemas.openxmlformats.org/officeDocument/2006/math">
        <m:sSub>
          <m:e>
            <m:r>
              <m:t xml:space="preserve">ϕ</m:t>
            </m:r>
          </m:e>
          <m:sub>
            <m:r>
              <m:t xml:space="preserve">0</m:t>
            </m:r>
            <m:r>
              <m:t xml:space="preserve">,</m:t>
            </m:r>
            <m:r>
              <m:t xml:space="preserve">c</m:t>
            </m:r>
          </m:sub>
        </m:sSub>
      </m:oMath>
      <w:r>
        <w:rPr/>
        <w:t xml:space="preserve"> is the expected output under the reference distribution [13]. For the primary analysis we use the tree-path-dependent form of TreeSHAP [14]. It has a reference distribution formed from cover statistics stored along the tree paths, and thus does not require a background sample. What is being explained depends on the model: for Random Forest it is the class probability, whereas for XGBoost (trained with the multiclass soft-probability objective) it is the raw margin of each class before the softmax. As a result, raw attribution sizes cannot be directly compared between the two models and wherever we perform such comparisons we use ranks or normalised shares, computed within each model. Except in the feature-selection step of Section IV-G, explanations are computed on the held-out test partition of the context in question. The global importance of feature </w:t>
      </w:r>
      <w:r>
        <w:rPr/>
      </w:r>
      <m:oMath xmlns:m="http://schemas.openxmlformats.org/officeDocument/2006/math">
        <m:r>
          <m:t xml:space="preserve">j</m:t>
        </m:r>
      </m:oMath>
      <w:r>
        <w:rPr/>
        <w:t xml:space="preserve"> is given by the average of its absolute SHAP values over the </w:t>
      </w:r>
      <w:r>
        <w:rPr/>
      </w:r>
      <m:oMath xmlns:m="http://schemas.openxmlformats.org/officeDocument/2006/math">
        <m:r>
          <m:t xml:space="preserve">n</m:t>
        </m:r>
      </m:oMath>
      <w:r>
        <w:rPr/>
        <w:t xml:space="preserve"> explained instances and all classes: its normalised share </w:t>
      </w:r>
      <w:r>
        <w:rPr/>
      </w:r>
      <m:oMath xmlns:m="http://schemas.openxmlformats.org/officeDocument/2006/math">
        <m:sSub>
          <m:e>
            <m:r>
              <m:t xml:space="preserve">s</m:t>
            </m:r>
          </m:e>
          <m:sub>
            <m:r>
              <m:t xml:space="preserve">j</m:t>
            </m:r>
          </m:sub>
        </m:sSub>
      </m:oMath>
      <w:r>
        <w:rPr/>
        <w:t xml:space="preserve"> is this quantity divided by the sum over features:</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I</m:t>
            </m:r>
          </m:e>
          <m:sub>
            <m:r>
              <m:t xml:space="preserve">j</m:t>
            </m:r>
          </m:sub>
        </m:sSub>
        <m:r>
          <m:rPr>
            <m:lit/>
            <m:nor/>
          </m:rPr>
          <m:t xml:space="preserve">=</m:t>
        </m:r>
        <m:f>
          <m:num>
            <m:r>
              <m:t xml:space="preserve">1</m:t>
            </m:r>
          </m:num>
          <m:den>
            <m:r>
              <m:t xml:space="preserve">nC</m:t>
            </m:r>
          </m:den>
        </m:f>
        <m:nary>
          <m:naryPr>
            <m:chr m:val="∑"/>
          </m:naryPr>
          <m:sub>
            <m:r>
              <m:t xml:space="preserve">i</m:t>
            </m:r>
            <m:r>
              <m:rPr>
                <m:lit/>
                <m:nor/>
              </m:rPr>
              <m:t xml:space="preserve">=</m:t>
            </m:r>
            <m:r>
              <m:t xml:space="preserve">1</m:t>
            </m:r>
          </m:sub>
          <m:sup>
            <m:r>
              <m:t xml:space="preserve">n</m:t>
            </m:r>
          </m:sup>
          <m:e>
            <m:nary>
              <m:naryPr>
                <m:chr m:val="∑"/>
              </m:naryPr>
              <m:sub>
                <m:r>
                  <m:t xml:space="preserve">c</m:t>
                </m:r>
                <m:r>
                  <m:rPr>
                    <m:lit/>
                    <m:nor/>
                  </m:rPr>
                  <m:t xml:space="preserve">=</m:t>
                </m:r>
                <m:r>
                  <m:t xml:space="preserve">1</m:t>
                </m:r>
              </m:sub>
              <m:sup>
                <m:r>
                  <m:t xml:space="preserve">C</m:t>
                </m:r>
              </m:sup>
              <m:e>
                <m:d>
                  <m:dPr>
                    <m:begChr m:val="|"/>
                    <m:endChr m:val="|"/>
                  </m:dPr>
                  <m:e>
                    <m:sSub>
                      <m:e>
                        <m:r>
                          <m:t xml:space="preserve">ϕ</m:t>
                        </m:r>
                      </m:e>
                      <m:sub>
                        <m:r>
                          <m:t xml:space="preserve">j</m:t>
                        </m:r>
                        <m:r>
                          <m:t xml:space="preserve">,</m:t>
                        </m:r>
                        <m:r>
                          <m:t xml:space="preserve">c</m:t>
                        </m:r>
                      </m:sub>
                    </m:sSub>
                    <m:d>
                      <m:dPr>
                        <m:begChr m:val="("/>
                        <m:endChr m:val=")"/>
                      </m:dPr>
                      <m:e>
                        <m:sSub>
                          <m:e>
                            <m:r>
                              <m:t xml:space="preserve">x</m:t>
                            </m:r>
                          </m:e>
                          <m:sub>
                            <m:r>
                              <m:t xml:space="preserve">i</m:t>
                            </m:r>
                          </m:sub>
                        </m:sSub>
                      </m:e>
                    </m:d>
                  </m:e>
                </m:d>
              </m:e>
            </m:nary>
          </m:e>
        </m:nary>
        <m:r>
          <m:t xml:space="preserve">,</m:t>
        </m:r>
        <m:sSub>
          <m:e>
            <m:r>
              <m:t xml:space="preserve">s</m:t>
            </m:r>
          </m:e>
          <m:sub>
            <m:r>
              <m:t xml:space="preserve">j</m:t>
            </m:r>
          </m:sub>
        </m:sSub>
        <m:r>
          <m:rPr>
            <m:lit/>
            <m:nor/>
          </m:rPr>
          <m:t xml:space="preserve">=</m:t>
        </m:r>
        <m:f>
          <m:num>
            <m:sSub>
              <m:e>
                <m:r>
                  <m:t xml:space="preserve">I</m:t>
                </m:r>
              </m:e>
              <m:sub>
                <m:r>
                  <m:t xml:space="preserve">j</m:t>
                </m:r>
              </m:sub>
            </m:sSub>
          </m:num>
          <m:den>
            <m:nary>
              <m:naryPr>
                <m:chr m:val="∑"/>
              </m:naryPr>
              <m:sub>
                <m:r>
                  <m:t xml:space="preserve">l</m:t>
                </m:r>
                <m:r>
                  <m:rPr>
                    <m:lit/>
                    <m:nor/>
                  </m:rPr>
                  <m:t xml:space="preserve">=</m:t>
                </m:r>
                <m:r>
                  <m:t xml:space="preserve">1</m:t>
                </m:r>
              </m:sub>
              <m:sup>
                <m:r>
                  <m:t xml:space="preserve">m</m:t>
                </m:r>
              </m:sup>
              <m:e>
                <m:sSub>
                  <m:e>
                    <m:r>
                      <m:t xml:space="preserve">I</m:t>
                    </m:r>
                  </m:e>
                  <m:sub>
                    <m:r>
                      <m:t xml:space="preserve">l</m:t>
                    </m:r>
                  </m:sub>
                </m:sSub>
              </m:e>
            </m:nary>
          </m:den>
        </m:f>
      </m:oMath>
      <w:r>
        <w:rPr/>
        <w:tab/>
        <w:t>(2)</w:t>
      </w:r>
    </w:p>
    <w:p>
      <w:pPr>
        <w:pStyle w:val="Normal"/>
        <w:spacing w:lineRule="auto" w:line="264" w:before="0" w:after="100"/>
        <w:ind w:firstLine="284"/>
        <w:jc w:val="both"/>
        <w:rPr/>
      </w:pPr>
      <w:r>
        <w:rPr/>
        <w:t>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pPr>
        <w:pStyle w:val="Normal"/>
        <w:spacing w:lineRule="auto" w:line="264" w:before="0" w:after="100"/>
        <w:ind w:firstLine="284"/>
        <w:jc w:val="both"/>
        <w:rPr/>
      </w:pPr>
      <w:r>
        <w:rPr/>
        <w:t>Two things about the method limit how far the rankings can be read. The tree-path-dependent algorithm reproduces the dependence structure learned by the trees. If multiple correlated features could be used for splitting, the one selected by the model receives the credit, and two otherwise similar models can divide attribution among correlated features quite differently [18, 19]. Moreover, SHAP values describe the model: a feature with a high attribution is one the model output depends on, which does not make it a cause of the application label [20, 32]. We therefore treat a ranking as a description of what a model relies on, and our comparisons across contexts are comparisons of that reliance.</w:t>
      </w:r>
    </w:p>
    <w:p>
      <w:pPr>
        <w:pStyle w:val="Heading2"/>
        <w:keepNext w:val="true"/>
        <w:spacing w:before="180" w:after="80"/>
        <w:rPr/>
      </w:pPr>
      <w:r>
        <w:rPr/>
        <w:t>C. Ranking Agreement Measures</w:t>
      </w:r>
    </w:p>
    <w:p>
      <w:pPr>
        <w:pStyle w:val="Normal"/>
        <w:spacing w:lineRule="auto" w:line="264" w:before="0" w:after="100"/>
        <w:jc w:val="both"/>
        <w:rPr/>
      </w:pPr>
      <w:r>
        <w:rPr/>
        <w:t>Our first agreement measure is Spearman's rank correlation [43],</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ρ</m:t>
        </m:r>
        <m:r>
          <m:rPr>
            <m:lit/>
            <m:nor/>
          </m:rPr>
          <m:t xml:space="preserve"> = </m:t>
        </m:r>
        <m:r>
          <m:t xml:space="preserve">1</m:t>
        </m:r>
        <m:r>
          <m:rPr>
            <m:lit/>
            <m:nor/>
          </m:rPr>
          <m:t xml:space="preserve"> - </m:t>
        </m:r>
        <m:f>
          <m:num>
            <m:r>
              <m:t xml:space="preserve">6</m:t>
            </m:r>
            <m:nary>
              <m:naryPr>
                <m:chr m:val="∑"/>
              </m:naryPr>
              <m:sub>
                <m:r>
                  <m:t xml:space="preserve">j</m:t>
                </m:r>
                <m:r>
                  <m:rPr>
                    <m:lit/>
                    <m:nor/>
                  </m:rPr>
                  <m:t xml:space="preserve">=</m:t>
                </m:r>
                <m:r>
                  <m:t xml:space="preserve">1</m:t>
                </m:r>
              </m:sub>
              <m:sup>
                <m:r>
                  <m:t xml:space="preserve">m</m:t>
                </m:r>
              </m:sup>
              <m:e>
                <m:sSubSup>
                  <m:e>
                    <m:r>
                      <m:t xml:space="preserve">d</m:t>
                    </m:r>
                  </m:e>
                  <m:sub>
                    <m:r>
                      <m:t xml:space="preserve">j</m:t>
                    </m:r>
                  </m:sub>
                  <m:sup>
                    <m:r>
                      <m:t xml:space="preserve">2</m:t>
                    </m:r>
                  </m:sup>
                </m:sSubSup>
              </m:e>
            </m:nary>
          </m:num>
          <m:den>
            <m:r>
              <m:t xml:space="preserve">m</m:t>
            </m:r>
            <m:d>
              <m:dPr>
                <m:begChr m:val="("/>
                <m:endChr m:val=")"/>
              </m:dPr>
              <m:e>
                <m:sSup>
                  <m:e>
                    <m:r>
                      <m:t xml:space="preserve">m</m:t>
                    </m:r>
                  </m:e>
                  <m:sup>
                    <m:r>
                      <m:t xml:space="preserve">2</m:t>
                    </m:r>
                  </m:sup>
                </m:sSup>
                <m:r>
                  <m:rPr>
                    <m:lit/>
                    <m:nor/>
                  </m:rPr>
                  <m:t xml:space="preserve"> - </m:t>
                </m:r>
                <m:r>
                  <m:t xml:space="preserve">1</m:t>
                </m:r>
              </m:e>
            </m:d>
          </m:den>
        </m:f>
      </m:oMath>
      <w:r>
        <w:rPr/>
        <w:tab/>
        <w:t>(3)</w:t>
      </w:r>
    </w:p>
    <w:p>
      <w:pPr>
        <w:pStyle w:val="Normal"/>
        <w:spacing w:lineRule="auto" w:line="264" w:before="0" w:after="100"/>
        <w:jc w:val="both"/>
        <w:rPr/>
      </w:pPr>
      <w:r>
        <w:rPr/>
        <w:t xml:space="preserve">where </w:t>
      </w:r>
      <w:r>
        <w:rPr>
          <w:i/>
          <w:iCs/>
        </w:rPr>
        <w:t>d</w:t>
      </w:r>
      <w:r>
        <w:rPr>
          <w:vertAlign w:val="subscript"/>
        </w:rPr>
        <w:t>j</w:t>
      </w:r>
      <w:r>
        <w:rPr/>
        <w:t xml:space="preserve"> is the rank difference for feature </w:t>
      </w:r>
      <w:r>
        <w:rPr>
          <w:i/>
          <w:iCs/>
        </w:rPr>
        <w:t>j</w:t>
      </w:r>
      <w:r>
        <w:rPr/>
        <w:t xml:space="preserve">. The second is Kendall's </w:t>
      </w:r>
      <w:r>
        <w:rPr/>
      </w:r>
      <m:oMath xmlns:m="http://schemas.openxmlformats.org/officeDocument/2006/math">
        <m:sSub>
          <m:e>
            <m:r>
              <m:t xml:space="preserve">τ</m:t>
            </m:r>
          </m:e>
          <m:sub>
            <m:r>
              <m:t xml:space="preserve">b</m:t>
            </m:r>
          </m:sub>
        </m:sSub>
      </m:oMath>
      <w:r>
        <w:rPr/>
        <w:t xml:space="preserve"> [55],</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τ</m:t>
            </m:r>
          </m:e>
          <m:sub>
            <m:r>
              <m:t xml:space="preserve">b</m:t>
            </m:r>
          </m:sub>
        </m:sSub>
        <m:r>
          <m:rPr>
            <m:lit/>
            <m:nor/>
          </m:rPr>
          <m:t xml:space="preserve"> = </m:t>
        </m:r>
        <m:f>
          <m:num>
            <m:sSub>
              <m:e>
                <m:r>
                  <m:t xml:space="preserve">n</m:t>
                </m:r>
              </m:e>
              <m:sub>
                <m:r>
                  <m:t xml:space="preserve">c</m:t>
                </m:r>
              </m:sub>
            </m:sSub>
            <m:r>
              <m:rPr>
                <m:lit/>
                <m:nor/>
              </m:rPr>
              <m:t xml:space="preserve"> - </m:t>
            </m:r>
            <m:sSub>
              <m:e>
                <m:r>
                  <m:t xml:space="preserve">n</m:t>
                </m:r>
              </m:e>
              <m:sub>
                <m:r>
                  <m:t xml:space="preserve">d</m:t>
                </m:r>
              </m:sub>
            </m:sSub>
          </m:num>
          <m:den>
            <m:rad>
              <m:radPr>
                <m:degHide m:val="1"/>
              </m:radPr>
              <m:deg/>
              <m:e>
                <m:d>
                  <m:dPr>
                    <m:begChr m:val="("/>
                    <m:endChr m:val=")"/>
                  </m:dPr>
                  <m:e>
                    <m:sSub>
                      <m:e>
                        <m:r>
                          <m:t xml:space="preserve">n</m:t>
                        </m:r>
                      </m:e>
                      <m:sub>
                        <m:r>
                          <m:t xml:space="preserve">0</m:t>
                        </m:r>
                      </m:sub>
                    </m:sSub>
                    <m:r>
                      <m:rPr>
                        <m:lit/>
                        <m:nor/>
                      </m:rPr>
                      <m:t xml:space="preserve"> - </m:t>
                    </m:r>
                    <m:sSub>
                      <m:e>
                        <m:r>
                          <m:t xml:space="preserve">n</m:t>
                        </m:r>
                      </m:e>
                      <m:sub>
                        <m:r>
                          <m:t xml:space="preserve">1</m:t>
                        </m:r>
                      </m:sub>
                    </m:sSub>
                  </m:e>
                </m:d>
                <m:d>
                  <m:dPr>
                    <m:begChr m:val="("/>
                    <m:endChr m:val=")"/>
                  </m:dPr>
                  <m:e>
                    <m:sSub>
                      <m:e>
                        <m:r>
                          <m:t xml:space="preserve">n</m:t>
                        </m:r>
                      </m:e>
                      <m:sub>
                        <m:r>
                          <m:t xml:space="preserve">0</m:t>
                        </m:r>
                      </m:sub>
                    </m:sSub>
                    <m:r>
                      <m:rPr>
                        <m:lit/>
                        <m:nor/>
                      </m:rPr>
                      <m:t xml:space="preserve"> - </m:t>
                    </m:r>
                    <m:sSub>
                      <m:e>
                        <m:r>
                          <m:t xml:space="preserve">n</m:t>
                        </m:r>
                      </m:e>
                      <m:sub>
                        <m:r>
                          <m:t xml:space="preserve">2</m:t>
                        </m:r>
                      </m:sub>
                    </m:sSub>
                  </m:e>
                </m:d>
              </m:e>
            </m:rad>
          </m:den>
        </m:f>
      </m:oMath>
      <w:r>
        <w:rPr/>
        <w:tab/>
        <w:t>(4)</w:t>
      </w:r>
    </w:p>
    <w:p>
      <w:pPr>
        <w:pStyle w:val="Normal"/>
        <w:spacing w:lineRule="auto" w:line="264" w:before="0" w:after="100"/>
        <w:ind w:firstLine="284"/>
        <w:jc w:val="both"/>
        <w:rPr/>
      </w:pPr>
      <w:r>
        <w:rPr/>
        <w:t>Its denominator corrects for ties. Both coefficients are computed on ranks in which tied values receive their average rank; Spearman's coefficient is then the correlation of these ranks, which equals (3) when there are no ties. SHAP importances contain no ties, and ties arise only for permutation importance (Section VI-E). Top-k overlap Ok is the number of features two Top-k sets share. With m = 23, two sets of size k must share at least max(0, 2k - m) features. For two Top-k sets picked independently at random, the expected overlap and a chance-corrected version are</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E</m:t>
        </m:r>
        <m:r>
          <m:t xml:space="preserve">[</m:t>
        </m:r>
        <m:sSub>
          <m:e>
            <m:r>
              <m:t xml:space="preserve">O</m:t>
            </m:r>
          </m:e>
          <m:sub>
            <m:r>
              <m:t xml:space="preserve">k</m:t>
            </m:r>
          </m:sub>
        </m:sSub>
        <m:r>
          <m:t xml:space="preserve">]</m:t>
        </m:r>
        <m:r>
          <m:rPr>
            <m:lit/>
            <m:nor/>
          </m:rPr>
          <m:t xml:space="preserve"> = </m:t>
        </m:r>
        <m:f>
          <m:num>
            <m:sSup>
              <m:e>
                <m:r>
                  <m:t xml:space="preserve">k</m:t>
                </m:r>
              </m:e>
              <m:sup>
                <m:r>
                  <m:t xml:space="preserve">2</m:t>
                </m:r>
              </m:sup>
            </m:sSup>
          </m:num>
          <m:den>
            <m:r>
              <m:t xml:space="preserve">m</m:t>
            </m:r>
          </m:den>
        </m:f>
        <m:r>
          <m:t xml:space="preserve">,</m:t>
        </m:r>
        <m:r>
          <m:rPr>
            <m:lit/>
            <m:nor/>
          </m:rPr>
          <m:t xml:space="preserve">    </m:t>
        </m:r>
        <m:sSub>
          <m:e>
            <m:r>
              <m:t xml:space="preserve">κ</m:t>
            </m:r>
          </m:e>
          <m:sub>
            <m:r>
              <m:t xml:space="preserve">k</m:t>
            </m:r>
          </m:sub>
        </m:sSub>
        <m:r>
          <m:rPr>
            <m:lit/>
            <m:nor/>
          </m:rPr>
          <m:t xml:space="preserve"> = </m:t>
        </m:r>
        <m:f>
          <m:num>
            <m:sSub>
              <m:e>
                <m:r>
                  <m:t xml:space="preserve">O</m:t>
                </m:r>
              </m:e>
              <m:sub>
                <m:r>
                  <m:t xml:space="preserve">k</m:t>
                </m:r>
              </m:sub>
            </m:sSub>
            <m:r>
              <m:rPr>
                <m:lit/>
                <m:nor/>
              </m:rPr>
              <m:t xml:space="preserve"> - </m:t>
            </m:r>
            <m:r>
              <m:t xml:space="preserve">E</m:t>
            </m:r>
            <m:r>
              <m:t xml:space="preserve">[</m:t>
            </m:r>
            <m:sSub>
              <m:e>
                <m:r>
                  <m:t xml:space="preserve">O</m:t>
                </m:r>
              </m:e>
              <m:sub>
                <m:r>
                  <m:t xml:space="preserve">k</m:t>
                </m:r>
              </m:sub>
            </m:sSub>
            <m:r>
              <m:t xml:space="preserve">]</m:t>
            </m:r>
          </m:num>
          <m:den>
            <m:r>
              <m:t xml:space="preserve">k</m:t>
            </m:r>
            <m:r>
              <m:rPr>
                <m:lit/>
                <m:nor/>
              </m:rPr>
              <m:t xml:space="preserve"> - </m:t>
            </m:r>
            <m:r>
              <m:t xml:space="preserve">E</m:t>
            </m:r>
            <m:r>
              <m:t xml:space="preserve">[</m:t>
            </m:r>
            <m:sSub>
              <m:e>
                <m:r>
                  <m:t xml:space="preserve">O</m:t>
                </m:r>
              </m:e>
              <m:sub>
                <m:r>
                  <m:t xml:space="preserve">k</m:t>
                </m:r>
              </m:sub>
            </m:sSub>
            <m:r>
              <m:t xml:space="preserve">]</m:t>
            </m:r>
          </m:den>
        </m:f>
      </m:oMath>
      <w:r>
        <w:rPr/>
        <w:tab/>
        <w:t>(5)</w:t>
      </w:r>
    </w:p>
    <w:p>
      <w:pPr>
        <w:pStyle w:val="Normal"/>
        <w:spacing w:lineRule="auto" w:line="264" w:before="0" w:after="100"/>
        <w:jc w:val="both"/>
        <w:rPr/>
      </w:pPr>
      <w:r>
        <w:rPr/>
        <w:t xml:space="preserve">where </w:t>
      </w:r>
      <w:r>
        <w:rPr/>
      </w:r>
      <m:oMath xmlns:m="http://schemas.openxmlformats.org/officeDocument/2006/math">
        <m:sSub>
          <m:e>
            <m:r>
              <m:t xml:space="preserve">κ</m:t>
            </m:r>
          </m:e>
          <m:sub>
            <m:r>
              <m:t xml:space="preserve">k</m:t>
            </m:r>
          </m:sub>
        </m:sSub>
      </m:oMath>
      <w:r>
        <w:rP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pPr>
        <w:pStyle w:val="Normal"/>
        <w:spacing w:lineRule="auto" w:line="264" w:before="0" w:after="100"/>
        <w:ind w:firstLine="284"/>
        <w:jc w:val="both"/>
        <w:rPr/>
      </w:pPr>
      <w:r>
        <w:rPr/>
        <w:t>Spearman and Kendall weight a swap between ranks 20 and 21 as heavily as one between ranks 1 and 2, and the bottom third of each list carries only about 0.2–3% of importance per feature (Section VI-A). We therefore add two measures that emphasise the top. Rank-biased overlap [45] averages the overlap of the two Top-d sets with depth weights (1 - p)p</w:t>
      </w:r>
      <w:r>
        <w:rPr>
          <w:vertAlign w:val="superscript"/>
        </w:rPr>
        <w:t>d-1</w:t>
      </w:r>
      <w:r>
        <w:rPr/>
        <w:t xml:space="preserve"> that shrink by a factor p at each further depth d; we use the extrapolated form with p = 0.9. These depth weights sum to 1 - 0.9</w:t>
      </w:r>
      <w:r>
        <w:rPr>
          <w:vertAlign w:val="superscript"/>
        </w:rPr>
        <w:t>10</w:t>
      </w:r>
      <w:r>
        <w:rPr/>
        <w:t xml:space="preserve"> </w:t>
      </w:r>
      <w:r>
        <w:rPr/>
      </w:r>
      <m:oMath xmlns:m="http://schemas.openxmlformats.org/officeDocument/2006/math">
        <m:r>
          <m:t xml:space="preserve">≈</m:t>
        </m:r>
      </m:oMath>
      <w:r>
        <w:rPr/>
        <w:t xml:space="preserve"> 0.65 over the first ten depths, but the agreement at rank i enters the overlap at every depth d </w:t>
      </w:r>
      <w:r>
        <w:rPr/>
      </w:r>
      <m:oMath xmlns:m="http://schemas.openxmlformats.org/officeDocument/2006/math">
        <m:r>
          <m:t xml:space="preserve">≥</m:t>
        </m:r>
      </m:oMath>
      <w:r>
        <w:rPr/>
        <w:t xml:space="preserve"> i, so the first ten ranks carry about 86% of the total weight (Webber et al. [45], Eq. 21). The second is the L1 distance between the normalised importance vectors, the sum over features of |s</w:t>
      </w:r>
      <w:r>
        <w:rPr>
          <w:vertAlign w:val="subscript"/>
        </w:rPr>
        <w:t>j</w:t>
      </w:r>
      <w:r>
        <w:rPr/>
        <w:t xml:space="preserve"> - s</w:t>
      </w:r>
      <w:r>
        <w:rPr/>
      </w:r>
      <m:oMath xmlns:m="http://schemas.openxmlformats.org/officeDocument/2006/math">
        <m:sSub>
          <m:e>
            <m:r>
              <m:t xml:space="preserve">′</m:t>
            </m:r>
          </m:e>
          <m:sub>
            <m:r>
              <m:t xml:space="preserve">j</m:t>
            </m:r>
          </m:sub>
        </m:sSub>
      </m:oMath>
      <w:r>
        <w:rPr/>
        <w:t>|, which is twice the total-variation distance and ranges from 0 to 2. It compares the shares themselves, so features with negligible shares barely contribute.</w:t>
      </w:r>
    </w:p>
    <w:p>
      <w:pPr>
        <w:pStyle w:val="Normal"/>
        <w:spacing w:lineRule="auto" w:line="264" w:before="0" w:after="100"/>
        <w:ind w:firstLine="284"/>
        <w:jc w:val="both"/>
        <w:rPr/>
      </w:pPr>
      <w:r>
        <w:rPr/>
        <w:t xml:space="preserve">In short, we report Spearman, Kendall, Top-k overlap together with its chance-corrected form </w:t>
      </w:r>
      <w:r>
        <w:rPr/>
      </w:r>
      <m:oMath xmlns:m="http://schemas.openxmlformats.org/officeDocument/2006/math">
        <m:sSub>
          <m:e>
            <m:r>
              <m:t xml:space="preserve">κ</m:t>
            </m:r>
          </m:e>
          <m:sub>
            <m:r>
              <m:t xml:space="preserve">k</m:t>
            </m:r>
          </m:sub>
        </m:sSub>
      </m:oMath>
      <w:r>
        <w:rPr/>
        <w:t xml:space="preserve"> from (5), RBO and the L1 share distance. With m = 23, </w:t>
      </w:r>
      <w:r>
        <w:rPr/>
      </w:r>
      <m:oMath xmlns:m="http://schemas.openxmlformats.org/officeDocument/2006/math">
        <m:sSub>
          <m:e>
            <m:r>
              <m:t xml:space="preserve">κ</m:t>
            </m:r>
          </m:e>
          <m:sub>
            <m:r>
              <m:t xml:space="preserve">5</m:t>
            </m:r>
          </m:sub>
        </m:sSub>
      </m:oMath>
      <w:r>
        <w:rPr/>
        <w:t xml:space="preserve"> = 0.49 corresponds to three shared features out of five and </w:t>
      </w:r>
      <w:r>
        <w:rPr/>
      </w:r>
      <m:oMath xmlns:m="http://schemas.openxmlformats.org/officeDocument/2006/math">
        <m:sSub>
          <m:e>
            <m:r>
              <m:t xml:space="preserve">κ</m:t>
            </m:r>
          </m:e>
          <m:sub>
            <m:r>
              <m:t xml:space="preserve">10</m:t>
            </m:r>
          </m:sub>
        </m:sSub>
      </m:oMath>
      <w:r>
        <w:rPr/>
        <w:t xml:space="preserve"> = 0.65 to eight out of ten. Whole-ranking agreement and agreement at the top are read together, because either one alone can make two explanations look more interchangeable than they are.</w:t>
      </w:r>
    </w:p>
    <w:p>
      <w:pPr>
        <w:pStyle w:val="Heading2"/>
        <w:keepNext w:val="true"/>
        <w:spacing w:before="180" w:after="80"/>
        <w:rPr/>
      </w:pPr>
      <w:r>
        <w:rPr/>
        <w:t>D. Within-Context References and Permutation Null</w:t>
      </w:r>
    </w:p>
    <w:p>
      <w:pPr>
        <w:pStyle w:val="Normal"/>
        <w:spacing w:lineRule="auto" w:line="264" w:before="0" w:after="100"/>
        <w:ind w:firstLine="284"/>
        <w:jc w:val="both"/>
        <w:rPr/>
      </w:pPr>
      <w:r>
        <w:rPr/>
        <w:t>A cross-context comparison needs a reference: how far do rankings move when the context does not change? We use three designs,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pPr>
        <w:pStyle w:val="Normal"/>
        <w:spacing w:lineRule="auto" w:line="264" w:before="0" w:after="100"/>
        <w:ind w:firstLine="284"/>
        <w:jc w:val="both"/>
        <w:rPr/>
      </w:pPr>
      <w:r>
        <w:rPr>
          <w:i/>
          <w:iCs/>
        </w:rPr>
        <w:t>Flow-level random half-splits.</w:t>
      </w:r>
      <w:r>
        <w:rP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Δ</m:t>
        </m:r>
        <m:r>
          <m:rPr>
            <m:lit/>
            <m:nor/>
          </m:rPr>
          <m:t xml:space="preserve">=</m:t>
        </m:r>
        <m:f>
          <m:num>
            <m:r>
              <m:t xml:space="preserve">1</m:t>
            </m:r>
          </m:num>
          <m:den>
            <m:r>
              <m:t xml:space="preserve">2</m:t>
            </m:r>
          </m:den>
        </m:f>
        <m:d>
          <m:dPr>
            <m:begChr m:val="("/>
            <m:endChr m:val=")"/>
          </m:dPr>
          <m:e>
            <m:sSub>
              <m:e>
                <m:r>
                  <m:t xml:space="preserve">ρ</m:t>
                </m:r>
              </m:e>
              <m:sub>
                <m:r>
                  <m:t xml:space="preserve">within</m:t>
                </m:r>
                <m:r>
                  <m:t xml:space="preserve">,</m:t>
                </m:r>
                <m:r>
                  <m:t xml:space="preserve">NV</m:t>
                </m:r>
              </m:sub>
            </m:sSub>
            <m:r>
              <m:rPr>
                <m:lit/>
                <m:nor/>
              </m:rPr>
              <m:t xml:space="preserve">+</m:t>
            </m:r>
            <m:sSub>
              <m:e>
                <m:r>
                  <m:t xml:space="preserve">ρ</m:t>
                </m:r>
              </m:e>
              <m:sub>
                <m:r>
                  <m:t xml:space="preserve">within</m:t>
                </m:r>
                <m:r>
                  <m:t xml:space="preserve">,</m:t>
                </m:r>
                <m:r>
                  <m:t xml:space="preserve">VPN</m:t>
                </m:r>
              </m:sub>
            </m:sSub>
          </m:e>
        </m:d>
        <m:r>
          <m:rPr>
            <m:lit/>
            <m:nor/>
          </m:rPr>
          <m:t xml:space="preserve">−</m:t>
        </m:r>
        <m:sSub>
          <m:e>
            <m:r>
              <m:t xml:space="preserve">ρ</m:t>
            </m:r>
          </m:e>
          <m:sub>
            <m:r>
              <m:t xml:space="preserve">cross</m:t>
            </m:r>
          </m:sub>
        </m:sSub>
      </m:oMath>
      <w:r>
        <w:rPr/>
        <w:tab/>
        <w:t>(6)</w:t>
      </w:r>
    </w:p>
    <w:p>
      <w:pPr>
        <w:pStyle w:val="Normal"/>
        <w:spacing w:lineRule="auto" w:line="264" w:before="0" w:after="100"/>
        <w:jc w:val="both"/>
        <w:rPr/>
      </w:pPr>
      <w:r>
        <w:rPr/>
        <w:t xml:space="preserve">computed per repeat, and in the same way for RBO, Top-5 overlap, </w:t>
      </w:r>
      <w:r>
        <w:rPr/>
      </w:r>
      <m:oMath xmlns:m="http://schemas.openxmlformats.org/officeDocument/2006/math">
        <m:sSub>
          <m:e>
            <m:r>
              <m:t xml:space="preserve">κ</m:t>
            </m:r>
          </m:e>
          <m:sub>
            <m:r>
              <m:t xml:space="preserve">5</m:t>
            </m:r>
          </m:sub>
        </m:sSub>
      </m:oMath>
      <w:r>
        <w:rPr/>
        <w:t xml:space="preserve"> and family-level </w:t>
      </w:r>
      <w:r>
        <w:rPr/>
      </w:r>
      <m:oMath xmlns:m="http://schemas.openxmlformats.org/officeDocument/2006/math">
        <m:r>
          <m:t xml:space="preserve">ρ</m:t>
        </m:r>
      </m:oMath>
      <w:r>
        <w:rPr/>
        <w:t>.</w:t>
      </w:r>
    </w:p>
    <w:p>
      <w:pPr>
        <w:pStyle w:val="Normal"/>
        <w:spacing w:lineRule="auto" w:line="264" w:before="0" w:after="100"/>
        <w:ind w:firstLine="284"/>
        <w:jc w:val="both"/>
        <w:rPr/>
      </w:pPr>
      <w:r>
        <w:rPr>
          <w:i/>
          <w:iCs/>
        </w:rPr>
        <w:t>Cluster-grouped half-splits.</w:t>
      </w:r>
      <w:r>
        <w:rP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(scikit-learn k-means with three initialisations and a seed fixed per repeat, context and class). Whole clusters are then assigned to the halves greedily: from the largest to the smallest, with clusters of equal size in random order, each goes to the half that currently holds fewer flows.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(Section VI-C).</w:t>
      </w:r>
    </w:p>
    <w:p>
      <w:pPr>
        <w:pStyle w:val="Normal"/>
        <w:spacing w:lineRule="auto" w:line="264" w:before="0" w:after="100"/>
        <w:ind w:firstLine="284"/>
        <w:jc w:val="both"/>
        <w:rPr/>
      </w:pPr>
      <w:r>
        <w:rPr>
          <w:i/>
          <w:iCs/>
        </w:rPr>
        <w:t>Calibrating the grouping.</w:t>
      </w:r>
      <w:r>
        <w:rPr/>
        <w:t xml:space="preserve"> The processed files do not record which capture a flow came from, but the released captures can be counted. The list of capture-file prefixes in a public, independent implementation of Deep Packet [7, 56] names 109 Non-VPN and 30 VPN capture files for CHAT, FT, MAIL, STREAMING and VOIP and one VPN P2P capture; it lists no Non-VPN P2P capture and no dedicated BROWSING captures. Dividing each class's flows in the 15 s files by its number of captures gives 25–83 flows per capture without a VPN (median 44.5) and 95–324 with one (median 245.5), and about 80% of that in a training partition. Non-VPN captures are therefore closest to the setting of about 35 flows per cluster, and VPN captures to the coarsest setting or beyond. We added a calibrated design in which the number of clusters for each class equals its number of capture files (at least four), and BROWSING gets as many clusters as its flows divided by the context's median flows per capture. Non-VPN P2P, which the list omits, is counted as one capture; with the minimum of four clusters this has no effect. The estimate is rough: the prefix list comes from third-party code, it lists at most one P2P capture per context, a capture is not necessarily one session, and a 15 s timeout splits a long session into many flows.</w:t>
      </w:r>
    </w:p>
    <w:p>
      <w:pPr>
        <w:pStyle w:val="Normal"/>
        <w:spacing w:lineRule="auto" w:line="264" w:before="0" w:after="100"/>
        <w:ind w:firstLine="284"/>
        <w:jc w:val="both"/>
        <w:rPr/>
      </w:pPr>
      <w:r>
        <w:rPr>
          <w:i/>
          <w:iCs/>
        </w:rPr>
        <w:t>Row-order blocks.</w:t>
      </w:r>
      <w:r>
        <w:rPr/>
        <w:t xml:space="preserve"> The clusters are built from the same features that the models use, so at coarse settings they may separate the halves by region of feature space rather than by capture. A second proxy is not built from the features. In the released Scenario A2 ARFF files, flows are sorted by class and, within a class, appear to be in the order in which the flow meter wrote them. Every deduplicated flow matches exactly one ARFF row, so its position in the file is known. Neighbouring rows are more alike than random rows of the same class, though not equally in every class. Over the deduplicated flows, the nearest of the 40 rows within 20 positions lies at about 0.36–0.76 times the distance of the nearest of 40 random rows (the exact range depends on which random rows are drawn), so some local structure exists in every class. Adjacent rows, however, are almost as different as random pairs for VPN FT, MAIL, P2P and VOIP (median distance ratio 0.81–0.99, against 0.11–0.77 in the other classes), and within a class the row position is itself correlated with some features (|</w:t>
      </w:r>
      <w:r>
        <w:rPr/>
      </w:r>
      <m:oMath xmlns:m="http://schemas.openxmlformats.org/officeDocument/2006/math">
        <m:r>
          <m:t xml:space="preserve">ρ</m:t>
        </m:r>
      </m:oMath>
      <w:r>
        <w:rPr/>
        <w:t>| up to 0.68). The files therefore seem to keep many flows of one capture close together, but the evidence is weak for those four VPN classes, and the dataset documentation does not describe the row order. We form halves from contiguous blocks of rows within each class: blocks of about 10, 35 or 140 training flows, as many blocks as the class has capture files (calibrated, as above), and, as the strictest setting, the first versus the second half of each class. Blocks are assigned to halves in the same way as clusters. The resulting halves hold 3,264–3,476 training flows (3,264 with blocks of about 140 flows), against 3,476–3,477 for random halves. This grouping has its own weaknesses. Equal-sized blocks do not follow capture boundaries, so a capture can straddle two blocks and reach both halves, and the first-versus-second-half split may also separate different applications within a class. BROWSING and P2P, which hold 34–40% of the training flows, cannot be divided by capture with the information available: BROWSING has no capture files of its own in the prefix list, so its flows cannot be traced to captures, and P2P has at most one listed capture per context. The row-order blocks are a proxy for related flows, not a capture split, and they do not establish session independence.</w:t>
      </w:r>
    </w:p>
    <w:p>
      <w:pPr>
        <w:pStyle w:val="Normal"/>
        <w:spacing w:lineRule="auto" w:line="264" w:before="0" w:after="100"/>
        <w:ind w:firstLine="284"/>
        <w:jc w:val="both"/>
        <w:rPr/>
      </w:pPr>
      <w:r>
        <w:rPr>
          <w:i/>
          <w:iCs/>
        </w:rPr>
        <w:t>Permutation null.</w:t>
      </w:r>
      <w:r>
        <w:rP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w:r>
        <w:rPr/>
      </w:r>
      <m:oMath xmlns:m="http://schemas.openxmlformats.org/officeDocument/2006/math">
        <m:r>
          <m:t xml:space="preserve">Δ</m:t>
        </m:r>
      </m:oMath>
      <w:r>
        <w:rPr/>
        <w:t xml:space="preserve"> is computed in the same way. Under this null, </w:t>
      </w:r>
      <w:r>
        <w:rPr/>
      </w:r>
      <m:oMath xmlns:m="http://schemas.openxmlformats.org/officeDocument/2006/math">
        <m:r>
          <m:t xml:space="preserve">Δ</m:t>
        </m:r>
      </m:oMath>
      <w:r>
        <w:rPr/>
        <w:t xml:space="preserve"> shows what the half-split procedure and the class-mix difference produce when nothing else separates the two contexts.</w:t>
      </w:r>
    </w:p>
    <w:p>
      <w:pPr>
        <w:pStyle w:val="Normal"/>
        <w:spacing w:lineRule="auto" w:line="264" w:before="0" w:after="100"/>
        <w:ind w:firstLine="284"/>
        <w:jc w:val="both"/>
        <w:rPr/>
      </w:pPr>
      <w:r>
        <w:rPr/>
        <w:t xml:space="preserve">For five grouped designs (clusters of about 10 and 35 flows, calibrated clusters, calibrated row blocks and the first-versus-second-half split) we build the null in two ways, because neither is neutral on its own. In the flow-level version, flows are reassigned one by one as above and the grouped design is then applied within each pseudo-context. Flows of one capture then sit in both pseudo-contexts, so the pseudo cross pairs share more related flows than the grouped within pairs do, which pushes </w:t>
      </w:r>
      <w:r>
        <w:rPr/>
      </w:r>
      <m:oMath xmlns:m="http://schemas.openxmlformats.org/officeDocument/2006/math">
        <m:r>
          <m:t xml:space="preserve">Δ</m:t>
        </m:r>
      </m:oMath>
      <w:r>
        <w:rPr/>
        <w:t xml:space="preserve"> down. In the group-level version, whole capture-sized groups move instead: within each class and source file, the pooled flows are divided into the calibrated clusters (for the cluster designs) or the calibrated row blocks (for the row-block designs), and the groups are taken in random order, each going to the pseudo-context that is further below its original share of the class. Because whole groups move, class counts are matched only approximately. Calibrated clusters are regions of feature space, so for the cluster designs this version also gives the two pseudo-contexts different feature distributions, which pushes </w:t>
      </w:r>
      <w:r>
        <w:rPr/>
      </w:r>
      <m:oMath xmlns:m="http://schemas.openxmlformats.org/officeDocument/2006/math">
        <m:r>
          <m:t xml:space="preserve">Δ</m:t>
        </m:r>
      </m:oMath>
      <w:r>
        <w:rPr/>
        <w:t xml:space="preserve"> up. Row blocks are not built from the features, but row position is correlated with some of them, and the blocks of a pseudo-context need not coincide with the moved groups; both would raise the group-level row-block null slightly, so an excess measured against it is conservative. In both versions the grouped design runs separately on the flows of each source file, so that both halves hold the same mix of Non-VPN and VPN rows, and in the calibrated designs the number of groups is scaled to the share of the file's flows that a pseudo-context holds, so that groups stay about capture-sized. With these constraints the halves hold 2,409–3,589 training flows in the group-level version and 2,981–3,475 in the flow-level version, against 3,457–3,476 in the real grouped designs. An earlier version without the per-file split was discarded because its two halves could hold very different shares of Non-VPN and VPN rows.</w:t>
      </w:r>
    </w:p>
    <w:p>
      <w:pPr>
        <w:pStyle w:val="Normal"/>
        <w:spacing w:lineRule="auto" w:line="264" w:before="0" w:after="100"/>
        <w:ind w:firstLine="284"/>
        <w:jc w:val="both"/>
        <w:rPr/>
      </w:pPr>
      <w:r>
        <w:rP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0.997 for the primary models and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0.998 for eight half-models refitted and explained on their full test partitions, with the same five leading features in every case. Within-context pairs are thus explained on the same test records, whereas cross-context pairs are explained on the two contexts' different test partitions. Part of the cross-context disagreement could therefore come from the difference in explained records rather than from the models. To measure this, we refit the random-halves design with the same seeds and explain every half-model on the explained records of both contexts, so that within- and cross-context pairs can be compared on one common record set: the Non-VPN records, the VPN records, or both together. Each refitted half-model reproduces the stored explanation on its own records exactly. The permutation null shares the asymmetry, since each pseudo-context is explained on its own test partition, but there the records of the two pseudo-contexts are exchangeable. Importance is also computed with true classes weighted equally. The repeats share one dataset and overlap in their test records, so they are not independent replications. We use the standard deviation and range of </w:t>
      </w:r>
      <w:r>
        <w:rPr/>
      </w:r>
      <m:oMath xmlns:m="http://schemas.openxmlformats.org/officeDocument/2006/math">
        <m:r>
          <m:t xml:space="preserve">Δ</m:t>
        </m:r>
      </m:oMath>
      <w:r>
        <w:rPr/>
        <w:t xml:space="preserve"> across repeats to describe its spread, not as a standard error. The other ISCX time windows (30, 60 and 120 s) are recomputed from the same captures and cannot serve as an independent second pair of contexts.</w:t>
      </w:r>
    </w:p>
    <w:p>
      <w:pPr>
        <w:pStyle w:val="Heading2"/>
        <w:keepNext w:val="true"/>
        <w:spacing w:before="180" w:after="80"/>
        <w:rPr/>
      </w:pPr>
      <w:r>
        <w:rPr/>
        <w:t>E. Class-Composition Tests</w:t>
      </w:r>
    </w:p>
    <w:p>
      <w:pPr>
        <w:pStyle w:val="Normal"/>
        <w:spacing w:lineRule="auto" w:line="264" w:before="0" w:after="100"/>
        <w:ind w:firstLine="284"/>
        <w:jc w:val="both"/>
        <w:rPr/>
      </w:pPr>
      <w:r>
        <w:rPr/>
        <w:t>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run for XGBoost only, uses 190 training flows per class, the number of Non-VPN MAIL flows. Six draws of 1,330 flows per context are compared with a same-size within-context reference built from two disjoint draws with each context's natural class mix.</w:t>
      </w:r>
    </w:p>
    <w:p>
      <w:pPr>
        <w:pStyle w:val="Heading2"/>
        <w:keepNext w:val="true"/>
        <w:spacing w:before="180" w:after="80"/>
        <w:rPr/>
      </w:pPr>
      <w:r>
        <w:rPr/>
        <w:t>F. Aggregated Feature-Family Importance</w:t>
      </w:r>
    </w:p>
    <w:p>
      <w:pPr>
        <w:pStyle w:val="Normal"/>
        <w:spacing w:lineRule="auto" w:line="264" w:before="0" w:after="100"/>
        <w:ind w:firstLine="284"/>
        <w:jc w:val="both"/>
        <w:rPr/>
      </w:pPr>
      <w:r>
        <w:rPr/>
        <w:t>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j</w:t>
      </w:r>
      <w:r>
        <w:rP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pPr>
        <w:pStyle w:val="Normal"/>
        <w:spacing w:lineRule="auto" w:line="264" w:before="0" w:after="100"/>
        <w:ind w:firstLine="284"/>
        <w:jc w:val="both"/>
        <w:rPr/>
      </w:pPr>
      <w:r>
        <w:rPr/>
        <w:t>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w:t>
      </w:r>
      <w:r>
        <w:rPr/>
      </w:r>
      <m:oMath xmlns:m="http://schemas.openxmlformats.org/officeDocument/2006/math">
        <m:sSub>
          <m:e>
            <m:r>
              <m:t xml:space="preserve">ρ</m:t>
            </m:r>
          </m:e>
          <m:sub>
            <m:r>
              <m:t xml:space="preserve">S</m:t>
            </m:r>
          </m:sub>
        </m:sSub>
      </m:oMath>
      <w:r>
        <w:rPr/>
        <w:t xml:space="preserve">|, where </w:t>
      </w:r>
      <w:r>
        <w:rPr/>
      </w:r>
      <m:oMath xmlns:m="http://schemas.openxmlformats.org/officeDocument/2006/math">
        <m:sSub>
          <m:e>
            <m:r>
              <m:t xml:space="preserve">ρ</m:t>
            </m:r>
          </m:e>
          <m:sub>
            <m:r>
              <m:t xml:space="preserve">S</m:t>
            </m:r>
          </m:sub>
        </m:sSub>
      </m:oMath>
      <w:r>
        <w:rPr/>
        <w:t xml:space="preserve"> is the Spearman correlation between two features averaged over the two training partitions, cut at 0.2. Family-level agreement is computed on the primary fits and in every half-split repeat.</w:t>
      </w:r>
    </w:p>
    <w:p>
      <w:pPr>
        <w:pStyle w:val="Heading2"/>
        <w:keepNext w:val="true"/>
        <w:spacing w:before="180" w:after="80"/>
        <w:rPr/>
      </w:pPr>
      <w:r>
        <w:rPr/>
        <w:t>G. Consequence Tests</w:t>
      </w:r>
    </w:p>
    <w:p>
      <w:pPr>
        <w:pStyle w:val="Normal"/>
        <w:spacing w:lineRule="auto" w:line="264" w:before="0" w:after="100"/>
        <w:ind w:firstLine="284"/>
        <w:jc w:val="both"/>
        <w:rPr/>
      </w:pPr>
      <w:r>
        <w:rPr/>
        <w:t xml:space="preserve">A difference between explanations has practical weight if acting on it changes predictive performance. We test two actions. In </w:t>
      </w:r>
      <w:r>
        <w:rPr>
          <w:i/>
          <w:iCs/>
        </w:rPr>
        <w:t>direct model transfer</w:t>
      </w:r>
      <w:r>
        <w:rP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pPr>
        <w:pStyle w:val="Normal"/>
        <w:spacing w:lineRule="auto" w:line="264" w:before="0" w:after="100"/>
        <w:ind w:firstLine="284"/>
        <w:jc w:val="both"/>
        <w:rPr/>
      </w:pPr>
      <w:r>
        <w:rPr/>
        <w:t xml:space="preserve">In the feature-list transfer, features are selected from the training data only [57–59]. Each training partition is split, stratified by class, into an 80% inner-training part and a 20% inner-validation part. A selector model is fitted on the inner-training part, its TreeSHAP importance is computed on the inner-validation part (for Random Forest on a stratified sample of 800 inner-validation records), and the k most important features are kept. The reduced model is then refitted on the whole training partition with these features and evaluated on the test partition. The own list comes from the target context, and the transferred list comes from the other context with the same inner-split seed. We run k = 5, 10 and 15 for both models and repeat the selection with five inner-split seeds. Since each list is scored on both targets, the four scores of a model form a 2 </w:t>
      </w:r>
      <w:r>
        <w:rPr/>
      </w:r>
      <m:oMath xmlns:m="http://schemas.openxmlformats.org/officeDocument/2006/math">
        <m:r>
          <m:t xml:space="preserve">×</m:t>
        </m:r>
      </m:oMath>
      <w:r>
        <w:rPr/>
        <w:t xml:space="preserve"> 2 design of list origin by target, which separates a context-match effect from a difference in overall list quality.</w:t>
      </w:r>
    </w:p>
    <w:p>
      <w:pPr>
        <w:pStyle w:val="Normal"/>
        <w:spacing w:lineRule="auto" w:line="264" w:before="0" w:after="100"/>
        <w:ind w:firstLine="284"/>
        <w:jc w:val="both"/>
        <w:rPr/>
      </w:pPr>
      <w:r>
        <w:rPr/>
        <w:t>Two control selections show whether SHAP-based selection matters at all: the bottom-10 list, made of the ten least important features of the selector in the target context, and 20 random selections of 10 features, drawn once and used for every model and target. For the first selection seed with k = 10, 3,000 class-stratified paired bootstrap resamples of the test records give percentile intervals for the own-minus-transferred difference. These intervals fix the fitted models and ignore the uncertainty associated with training and selection, which the five seeds show separately.</w:t>
      </w:r>
    </w:p>
    <w:p>
      <w:pPr>
        <w:pStyle w:val="Heading2"/>
        <w:keepNext w:val="true"/>
        <w:spacing w:before="180" w:after="80"/>
        <w:rPr/>
      </w:pPr>
      <w:r>
        <w:rPr/>
        <w:t>H. Sentinel Representations and Robustness Configurations</w:t>
      </w:r>
    </w:p>
    <w:p>
      <w:pPr>
        <w:pStyle w:val="Normal"/>
        <w:spacing w:lineRule="auto" w:line="264" w:before="0" w:after="100"/>
        <w:ind w:firstLine="284"/>
        <w:jc w:val="both"/>
        <w:rPr/>
      </w:pPr>
      <w:r>
        <w:rPr/>
        <w:t>In the processed features, the value -1 encodes an undefined statistic. The sentinel experiment creates ten indicator variables, one each for min_fiat, min_biat, max_fiat, max_biat, min_flowiat, max_flowiat, min_active, max_active, min_idle and max_idle, which are one if their source feature equals -1. The primary representation preserves the raw sentinels for all 23 features. In S1, -1 is left in the original features and the ten indicators are appended. In S2, -1 is replaced by NaN in every feature, which is handled natively by both tree models, and the same indicators are appended. Over both partitions, min_fiat is -1 in 12.6% of Non-VPN and 10.0% of VPN flows, min_biat in 16.1% and 16.6%, the active and idle minima and maxima in 65.0% and 53.5%, and min_flowiat in only 0.3% and 0.4%. Ranks are compared over the 23 original features and the share of these indicators is reported separately.</w:t>
      </w:r>
    </w:p>
    <w:p>
      <w:pPr>
        <w:pStyle w:val="Normal"/>
        <w:spacing w:lineRule="auto" w:line="264" w:before="0" w:after="100"/>
        <w:ind w:firstLine="284"/>
        <w:jc w:val="both"/>
        <w:rPr/>
      </w:pPr>
      <w:r>
        <w:rP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w:r>
        <w:rPr/>
      </w:r>
      <m:oMath xmlns:m="http://schemas.openxmlformats.org/officeDocument/2006/math">
        <m:r>
          <m:t xml:space="preserve">ρ</m:t>
        </m:r>
      </m:oMath>
      <w:r>
        <w:rPr/>
        <w:t xml:space="preserve"> come from 2,000 resamples of the explained records within each context, with models and backgrounds fixed; they reflect explained-record noise only. We also refit XGBoost with three other seeds and with max_depth = 3 and 10.</w:t>
      </w:r>
    </w:p>
    <w:p>
      <w:pPr>
        <w:pStyle w:val="Heading2"/>
        <w:keepNext w:val="true"/>
        <w:spacing w:before="180" w:after="80"/>
        <w:rPr/>
      </w:pPr>
      <w:r>
        <w:rPr/>
        <w:t>I. Statistical Reporting</w:t>
      </w:r>
    </w:p>
    <w:p>
      <w:pPr>
        <w:pStyle w:val="Normal"/>
        <w:spacing w:lineRule="auto" w:line="264" w:before="0" w:after="100"/>
        <w:ind w:firstLine="284"/>
        <w:jc w:val="both"/>
        <w:rPr/>
      </w:pPr>
      <w:r>
        <w:rPr/>
        <w:t xml:space="preserve">We report effect sizes and their spread, not significance tests. For consistency, the effect is </w:t>
      </w:r>
      <w:r>
        <w:rPr/>
      </w:r>
      <m:oMath xmlns:m="http://schemas.openxmlformats.org/officeDocument/2006/math">
        <m:r>
          <m:t xml:space="preserve">Δ</m:t>
        </m:r>
      </m:oMath>
      <w:r>
        <w:rPr/>
        <w:t xml:space="preserve"> in Spearman units (and the analogous gaps in RBO, Top-5 overlap and </w:t>
      </w:r>
      <w:r>
        <w:rPr/>
      </w:r>
      <m:oMath xmlns:m="http://schemas.openxmlformats.org/officeDocument/2006/math">
        <m:sSub>
          <m:e>
            <m:r>
              <m:t xml:space="preserve">κ</m:t>
            </m:r>
          </m:e>
          <m:sub>
            <m:r>
              <m:t xml:space="preserve">5</m:t>
            </m:r>
          </m:sub>
        </m:sSub>
      </m:oMath>
      <w:r>
        <w:rPr/>
        <w:t xml:space="preserve">), and its spread is the standard deviation and range over the 11 repeats of each design. Because these repeats share one dataset and overlapping test records, ratios of </w:t>
      </w:r>
      <w:r>
        <w:rPr/>
      </w:r>
      <m:oMath xmlns:m="http://schemas.openxmlformats.org/officeDocument/2006/math">
        <m:r>
          <m:t xml:space="preserve">Δ</m:t>
        </m:r>
      </m:oMath>
      <w:r>
        <w:rPr/>
        <w:t xml:space="preserve">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pPr>
        <w:pStyle w:val="Heading1"/>
        <w:keepNext w:val="true"/>
        <w:spacing w:before="280" w:after="120"/>
        <w:jc w:val="center"/>
        <w:rPr/>
      </w:pPr>
      <w:r>
        <w:rPr/>
        <w:t>V. BASELINE CLASSIFICATION RESULTS</w:t>
      </w:r>
    </w:p>
    <w:p>
      <w:pPr>
        <w:pStyle w:val="Normal"/>
        <w:spacing w:lineRule="auto" w:line="264" w:before="0" w:after="100"/>
        <w:ind w:firstLine="284"/>
        <w:jc w:val="both"/>
        <w:rPr/>
      </w:pPr>
      <w:r>
        <w:rP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pPr>
        <w:pStyle w:val="Normal"/>
        <w:spacing w:lineRule="auto" w:line="264" w:before="0" w:after="100"/>
        <w:ind w:firstLine="284"/>
        <w:jc w:val="both"/>
        <w:rPr/>
      </w:pPr>
      <w:r>
        <w:rPr/>
        <w:t>Per class, VOIP is relatively unaffected with recall above 0.99 for both contexts and BROWSING stays at 0.93 or above. CHAT, FT, MAIL and P2P bear most of the cost: with XGBoost MAIL recall drops from 0.917 to 0.826, P2P from 0.979 to 0.910, CHAT from 0.865 to 0.767 and FT from 0.901 to 0.841. STREAMING goes the other way, from 0.856 to 0.916 (XGBoost) and from 0.822 to 0.926 (Random Forest). We do not read this as evidence that a VPN makes streaming easier to identify; the captured streaming sessions or the classes streaming is confused with might differ between contexts, and a flow-level dataset cannot separate these explanations.</w:t>
      </w:r>
    </w:p>
    <w:p>
      <w:pPr>
        <w:pStyle w:val="Normal"/>
        <w:keepNext w:val="true"/>
        <w:spacing w:lineRule="auto" w:line="240" w:before="200" w:after="0"/>
        <w:jc w:val="center"/>
        <w:rPr/>
      </w:pPr>
      <w:r>
        <w:rPr>
          <w:sz w:val="20"/>
          <w:szCs w:val="20"/>
        </w:rPr>
        <w:t>TABLE IV</w:t>
      </w:r>
    </w:p>
    <w:p>
      <w:pPr>
        <w:pStyle w:val="Normal"/>
        <w:keepNext w:val="true"/>
        <w:spacing w:lineRule="auto" w:line="240" w:before="0" w:after="80"/>
        <w:jc w:val="center"/>
        <w:rPr/>
      </w:pPr>
      <w:r>
        <w:rPr>
          <w:sz w:val="20"/>
          <w:szCs w:val="20"/>
        </w:rPr>
        <w:t>Baseline performance and per-class recall on the primary test partitions</w:t>
      </w:r>
    </w:p>
    <w:tbl>
      <w:tblPr>
        <w:tblW w:w="9022"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998"/>
        <w:gridCol w:w="700"/>
        <w:gridCol w:w="782"/>
        <w:gridCol w:w="898"/>
        <w:gridCol w:w="808"/>
        <w:gridCol w:w="804"/>
        <w:gridCol w:w="808"/>
        <w:gridCol w:w="806"/>
        <w:gridCol w:w="804"/>
        <w:gridCol w:w="808"/>
        <w:gridCol w:w="806"/>
      </w:tblGrid>
      <w:tr>
        <w:trPr>
          <w:tblHeader w:val="true"/>
          <w:cantSplit w:val="true"/>
        </w:trPr>
        <w:tc>
          <w:tcPr>
            <w:tcW w:w="998" w:type="dxa"/>
            <w:tcBorders>
              <w:top w:val="single" w:sz="6" w:space="0" w:color="000000"/>
              <w:bottom w:val="single" w:sz="6" w:space="0" w:color="000000"/>
            </w:tcBorders>
            <w:vAlign w:val="center"/>
          </w:tcPr>
          <w:p>
            <w:pPr>
              <w:pStyle w:val="Normal"/>
              <w:spacing w:lineRule="auto" w:line="228"/>
              <w:rPr/>
            </w:pPr>
            <w:r>
              <w:rPr>
                <w:b/>
                <w:bCs/>
                <w:sz w:val="17"/>
                <w:szCs w:val="17"/>
              </w:rPr>
              <w:t>Context</w:t>
            </w:r>
          </w:p>
        </w:tc>
        <w:tc>
          <w:tcPr>
            <w:tcW w:w="700" w:type="dxa"/>
            <w:tcBorders>
              <w:top w:val="single" w:sz="6" w:space="0" w:color="000000"/>
              <w:bottom w:val="single" w:sz="6" w:space="0" w:color="000000"/>
            </w:tcBorders>
            <w:vAlign w:val="center"/>
          </w:tcPr>
          <w:p>
            <w:pPr>
              <w:pStyle w:val="Normal"/>
              <w:spacing w:lineRule="auto" w:line="228"/>
              <w:jc w:val="center"/>
              <w:rPr/>
            </w:pPr>
            <w:r>
              <w:rPr>
                <w:b/>
                <w:bCs/>
                <w:sz w:val="17"/>
                <w:szCs w:val="17"/>
              </w:rPr>
              <w:t>Model</w:t>
            </w:r>
          </w:p>
        </w:tc>
        <w:tc>
          <w:tcPr>
            <w:tcW w:w="782" w:type="dxa"/>
            <w:tcBorders>
              <w:top w:val="single" w:sz="6" w:space="0" w:color="000000"/>
              <w:bottom w:val="single" w:sz="6" w:space="0" w:color="000000"/>
            </w:tcBorders>
            <w:vAlign w:val="center"/>
          </w:tcPr>
          <w:p>
            <w:pPr>
              <w:pStyle w:val="Normal"/>
              <w:spacing w:lineRule="auto" w:line="228"/>
              <w:jc w:val="center"/>
              <w:rPr/>
            </w:pPr>
            <w:r>
              <w:rPr>
                <w:b/>
                <w:bCs/>
                <w:sz w:val="17"/>
                <w:szCs w:val="17"/>
              </w:rPr>
              <w:t>Acc.</w:t>
            </w:r>
          </w:p>
        </w:tc>
        <w:tc>
          <w:tcPr>
            <w:tcW w:w="898"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808" w:type="dxa"/>
            <w:tcBorders>
              <w:top w:val="single" w:sz="6" w:space="0" w:color="000000"/>
              <w:bottom w:val="single" w:sz="6" w:space="0" w:color="000000"/>
            </w:tcBorders>
            <w:vAlign w:val="center"/>
          </w:tcPr>
          <w:p>
            <w:pPr>
              <w:pStyle w:val="Normal"/>
              <w:spacing w:lineRule="auto" w:line="228"/>
              <w:jc w:val="center"/>
              <w:rPr/>
            </w:pPr>
            <w:r>
              <w:rPr>
                <w:b/>
                <w:bCs/>
                <w:sz w:val="17"/>
                <w:szCs w:val="17"/>
              </w:rPr>
              <w:t>BROW</w:t>
            </w:r>
          </w:p>
        </w:tc>
        <w:tc>
          <w:tcPr>
            <w:tcW w:w="804" w:type="dxa"/>
            <w:tcBorders>
              <w:top w:val="single" w:sz="6" w:space="0" w:color="000000"/>
              <w:bottom w:val="single" w:sz="6" w:space="0" w:color="000000"/>
            </w:tcBorders>
            <w:vAlign w:val="center"/>
          </w:tcPr>
          <w:p>
            <w:pPr>
              <w:pStyle w:val="Normal"/>
              <w:spacing w:lineRule="auto" w:line="228"/>
              <w:jc w:val="center"/>
              <w:rPr/>
            </w:pPr>
            <w:r>
              <w:rPr>
                <w:b/>
                <w:bCs/>
                <w:sz w:val="17"/>
                <w:szCs w:val="17"/>
              </w:rPr>
              <w:t>CHAT</w:t>
            </w:r>
          </w:p>
        </w:tc>
        <w:tc>
          <w:tcPr>
            <w:tcW w:w="808" w:type="dxa"/>
            <w:tcBorders>
              <w:top w:val="single" w:sz="6" w:space="0" w:color="000000"/>
              <w:bottom w:val="single" w:sz="6" w:space="0" w:color="000000"/>
            </w:tcBorders>
            <w:vAlign w:val="center"/>
          </w:tcPr>
          <w:p>
            <w:pPr>
              <w:pStyle w:val="Normal"/>
              <w:spacing w:lineRule="auto" w:line="228"/>
              <w:jc w:val="center"/>
              <w:rPr/>
            </w:pPr>
            <w:r>
              <w:rPr>
                <w:b/>
                <w:bCs/>
                <w:sz w:val="17"/>
                <w:szCs w:val="17"/>
              </w:rPr>
              <w:t>FT</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MAIL</w:t>
            </w:r>
          </w:p>
        </w:tc>
        <w:tc>
          <w:tcPr>
            <w:tcW w:w="804" w:type="dxa"/>
            <w:tcBorders>
              <w:top w:val="single" w:sz="6" w:space="0" w:color="000000"/>
              <w:bottom w:val="single" w:sz="6" w:space="0" w:color="000000"/>
            </w:tcBorders>
            <w:vAlign w:val="center"/>
          </w:tcPr>
          <w:p>
            <w:pPr>
              <w:pStyle w:val="Normal"/>
              <w:spacing w:lineRule="auto" w:line="228"/>
              <w:jc w:val="center"/>
              <w:rPr/>
            </w:pPr>
            <w:r>
              <w:rPr>
                <w:b/>
                <w:bCs/>
                <w:sz w:val="17"/>
                <w:szCs w:val="17"/>
              </w:rPr>
              <w:t>P2P</w:t>
            </w:r>
          </w:p>
        </w:tc>
        <w:tc>
          <w:tcPr>
            <w:tcW w:w="808" w:type="dxa"/>
            <w:tcBorders>
              <w:top w:val="single" w:sz="6" w:space="0" w:color="000000"/>
              <w:bottom w:val="single" w:sz="6" w:space="0" w:color="000000"/>
            </w:tcBorders>
            <w:vAlign w:val="center"/>
          </w:tcPr>
          <w:p>
            <w:pPr>
              <w:pStyle w:val="Normal"/>
              <w:spacing w:lineRule="auto" w:line="228"/>
              <w:jc w:val="center"/>
              <w:rPr/>
            </w:pPr>
            <w:r>
              <w:rPr>
                <w:b/>
                <w:bCs/>
                <w:sz w:val="17"/>
                <w:szCs w:val="17"/>
              </w:rPr>
              <w:t>STRM</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VOIP</w:t>
            </w:r>
          </w:p>
        </w:tc>
      </w:tr>
      <w:tr>
        <w:trPr>
          <w:cantSplit w:val="true"/>
        </w:trPr>
        <w:tc>
          <w:tcPr>
            <w:tcW w:w="998"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2" w:type="dxa"/>
            <w:tcBorders>
              <w:top w:val="single" w:sz="6" w:space="0" w:color="000000"/>
              <w:bottom w:val="single" w:sz="6" w:space="0" w:color="000000"/>
            </w:tcBorders>
            <w:vAlign w:val="center"/>
          </w:tcPr>
          <w:p>
            <w:pPr>
              <w:pStyle w:val="Normal"/>
              <w:spacing w:lineRule="auto" w:line="228"/>
              <w:jc w:val="center"/>
              <w:rPr/>
            </w:pPr>
            <w:r>
              <w:rPr>
                <w:sz w:val="17"/>
                <w:szCs w:val="17"/>
              </w:rPr>
              <w:t>0.9454</w:t>
            </w:r>
          </w:p>
        </w:tc>
        <w:tc>
          <w:tcPr>
            <w:tcW w:w="898" w:type="dxa"/>
            <w:tcBorders>
              <w:top w:val="single" w:sz="6" w:space="0" w:color="000000"/>
              <w:bottom w:val="single" w:sz="6" w:space="0" w:color="000000"/>
            </w:tcBorders>
            <w:vAlign w:val="center"/>
          </w:tcPr>
          <w:p>
            <w:pPr>
              <w:pStyle w:val="Normal"/>
              <w:spacing w:lineRule="auto" w:line="228"/>
              <w:jc w:val="center"/>
              <w:rPr/>
            </w:pPr>
            <w:r>
              <w:rPr>
                <w:sz w:val="17"/>
                <w:szCs w:val="17"/>
              </w:rPr>
              <w:t>0.9171</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0.980</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0.871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0.822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r>
        <w:trPr>
          <w:cantSplit w:val="true"/>
        </w:trPr>
        <w:tc>
          <w:tcPr>
            <w:tcW w:w="998"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2" w:type="dxa"/>
            <w:tcBorders>
              <w:top w:val="single" w:sz="6" w:space="0" w:color="000000"/>
              <w:bottom w:val="single" w:sz="6" w:space="0" w:color="000000"/>
            </w:tcBorders>
            <w:vAlign w:val="center"/>
          </w:tcPr>
          <w:p>
            <w:pPr>
              <w:pStyle w:val="Normal"/>
              <w:spacing w:lineRule="auto" w:line="228"/>
              <w:jc w:val="center"/>
              <w:rPr/>
            </w:pPr>
            <w:r>
              <w:rPr>
                <w:sz w:val="17"/>
                <w:szCs w:val="17"/>
              </w:rPr>
              <w:t>0.9586</w:t>
            </w:r>
          </w:p>
        </w:tc>
        <w:tc>
          <w:tcPr>
            <w:tcW w:w="898" w:type="dxa"/>
            <w:tcBorders>
              <w:top w:val="single" w:sz="6" w:space="0" w:color="000000"/>
              <w:bottom w:val="single" w:sz="6" w:space="0" w:color="000000"/>
            </w:tcBorders>
            <w:vAlign w:val="center"/>
          </w:tcPr>
          <w:p>
            <w:pPr>
              <w:pStyle w:val="Normal"/>
              <w:spacing w:lineRule="auto" w:line="228"/>
              <w:jc w:val="center"/>
              <w:rPr/>
            </w:pPr>
            <w:r>
              <w:rPr>
                <w:sz w:val="17"/>
                <w:szCs w:val="17"/>
              </w:rPr>
              <w:t>0.9340</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0.988</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0.901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8"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2" w:type="dxa"/>
            <w:tcBorders>
              <w:top w:val="single" w:sz="6" w:space="0" w:color="000000"/>
              <w:bottom w:val="single" w:sz="6" w:space="0" w:color="000000"/>
            </w:tcBorders>
            <w:vAlign w:val="center"/>
          </w:tcPr>
          <w:p>
            <w:pPr>
              <w:pStyle w:val="Normal"/>
              <w:spacing w:lineRule="auto" w:line="228"/>
              <w:jc w:val="center"/>
              <w:rPr/>
            </w:pPr>
            <w:r>
              <w:rPr>
                <w:sz w:val="17"/>
                <w:szCs w:val="17"/>
              </w:rPr>
              <w:t>0.8811</w:t>
            </w:r>
          </w:p>
        </w:tc>
        <w:tc>
          <w:tcPr>
            <w:tcW w:w="898" w:type="dxa"/>
            <w:tcBorders>
              <w:top w:val="single" w:sz="6" w:space="0" w:color="000000"/>
              <w:bottom w:val="single" w:sz="6" w:space="0" w:color="000000"/>
            </w:tcBorders>
            <w:vAlign w:val="center"/>
          </w:tcPr>
          <w:p>
            <w:pPr>
              <w:pStyle w:val="Normal"/>
              <w:spacing w:lineRule="auto" w:line="228"/>
              <w:jc w:val="center"/>
              <w:rPr/>
            </w:pPr>
            <w:r>
              <w:rPr>
                <w:sz w:val="17"/>
                <w:szCs w:val="17"/>
              </w:rPr>
              <w:t>0.8533</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0.782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0.744</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8"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2" w:type="dxa"/>
            <w:tcBorders>
              <w:top w:val="single" w:sz="6" w:space="0" w:color="000000"/>
              <w:bottom w:val="single" w:sz="6" w:space="0" w:color="000000"/>
            </w:tcBorders>
            <w:vAlign w:val="center"/>
          </w:tcPr>
          <w:p>
            <w:pPr>
              <w:pStyle w:val="Normal"/>
              <w:spacing w:lineRule="auto" w:line="228"/>
              <w:jc w:val="center"/>
              <w:rPr/>
            </w:pPr>
            <w:r>
              <w:rPr>
                <w:sz w:val="17"/>
                <w:szCs w:val="17"/>
              </w:rPr>
              <w:t>0.9051</w:t>
            </w:r>
          </w:p>
        </w:tc>
        <w:tc>
          <w:tcPr>
            <w:tcW w:w="898" w:type="dxa"/>
            <w:tcBorders>
              <w:top w:val="single" w:sz="6" w:space="0" w:color="000000"/>
              <w:bottom w:val="single" w:sz="6" w:space="0" w:color="000000"/>
            </w:tcBorders>
            <w:vAlign w:val="center"/>
          </w:tcPr>
          <w:p>
            <w:pPr>
              <w:pStyle w:val="Normal"/>
              <w:spacing w:lineRule="auto" w:line="228"/>
              <w:jc w:val="center"/>
              <w:rPr/>
            </w:pPr>
            <w:r>
              <w:rPr>
                <w:sz w:val="17"/>
                <w:szCs w:val="17"/>
              </w:rPr>
              <w:t>0.8836</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0.841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0.826</w:t>
            </w:r>
          </w:p>
        </w:tc>
        <w:tc>
          <w:tcPr>
            <w:tcW w:w="804"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808" w:type="dxa"/>
            <w:tcBorders>
              <w:top w:val="single" w:sz="6" w:space="0" w:color="000000"/>
              <w:bottom w:val="single" w:sz="6" w:space="0" w:color="000000"/>
            </w:tcBorders>
            <w:vAlign w:val="center"/>
          </w:tcPr>
          <w:p>
            <w:pPr>
              <w:pStyle w:val="Normal"/>
              <w:spacing w:lineRule="auto" w:line="228"/>
              <w:jc w:val="center"/>
              <w:rPr/>
            </w:pPr>
            <w:r>
              <w:rPr>
                <w:sz w:val="17"/>
                <w:szCs w:val="17"/>
              </w:rPr>
              <w:t>0.916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bl>
    <w:p>
      <w:pPr>
        <w:pStyle w:val="Normal"/>
        <w:keepLines/>
        <w:spacing w:lineRule="auto" w:line="230" w:before="40" w:after="160"/>
        <w:jc w:val="both"/>
        <w:rPr/>
      </w:pPr>
      <w:r>
        <w:rPr>
          <w:i/>
          <w:iCs/>
          <w:sz w:val="17"/>
          <w:szCs w:val="17"/>
        </w:rPr>
        <w:t xml:space="preserve">Note. </w:t>
      </w:r>
      <w:r>
        <w:rPr>
          <w:sz w:val="17"/>
          <w:szCs w:val="17"/>
        </w:rPr>
        <w:t>BROW = BROWSING, STRM = STREAMING. Test support (Non-VPN / VPN): BROWSING 500/500, CHAT 178/232, FT 171/377, MAIL 48/86, P2P 188/133, STREAMING 90/95, VOIP 564/453.</w:t>
      </w:r>
    </w:p>
    <w:p>
      <w:pPr>
        <w:pStyle w:val="Normal"/>
        <w:keepNext w:val="true"/>
        <w:spacing w:before="160" w:after="60"/>
        <w:jc w:val="center"/>
        <w:rPr/>
      </w:pPr>
      <w:r>
        <w:rPr/>
        <w:drawing>
          <wp:inline distT="0" distB="0" distL="0" distR="0">
            <wp:extent cx="5715000" cy="203517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6"/>
                    <a:stretch>
                      <a:fillRect/>
                    </a:stretch>
                  </pic:blipFill>
                  <pic:spPr bwMode="auto">
                    <a:xfrm>
                      <a:off x="0" y="0"/>
                      <a:ext cx="5715000" cy="203517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pPr>
        <w:pStyle w:val="Heading1"/>
        <w:keepNext w:val="true"/>
        <w:spacing w:before="280" w:after="120"/>
        <w:jc w:val="center"/>
        <w:rPr/>
      </w:pPr>
      <w:r>
        <w:rPr/>
        <w:t>VI. EXPLANATION CONSISTENCY</w:t>
      </w:r>
    </w:p>
    <w:p>
      <w:pPr>
        <w:pStyle w:val="Heading2"/>
        <w:keepNext w:val="true"/>
        <w:spacing w:before="180" w:after="80"/>
        <w:rPr/>
      </w:pPr>
      <w:r>
        <w:rPr/>
        <w:t>A. Global Rankings in Each Context</w:t>
      </w:r>
    </w:p>
    <w:p>
      <w:pPr>
        <w:pStyle w:val="Normal"/>
        <w:spacing w:lineRule="auto" w:line="264" w:before="0" w:after="100"/>
        <w:ind w:firstLine="284"/>
        <w:jc w:val="both"/>
        <w:rPr/>
      </w:pPr>
      <w:r>
        <w:rP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pPr>
        <w:pStyle w:val="Normal"/>
        <w:spacing w:lineRule="auto" w:line="264" w:before="0" w:after="100"/>
        <w:ind w:firstLine="284"/>
        <w:jc w:val="both"/>
        <w:rPr/>
      </w:pPr>
      <w:r>
        <w:rP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pPr>
        <w:pStyle w:val="Normal"/>
        <w:keepNext w:val="true"/>
        <w:spacing w:lineRule="auto" w:line="240" w:before="200" w:after="0"/>
        <w:jc w:val="center"/>
        <w:rPr/>
      </w:pPr>
      <w:r>
        <w:rPr>
          <w:sz w:val="20"/>
          <w:szCs w:val="20"/>
        </w:rPr>
        <w:t>TABLE V</w:t>
      </w:r>
    </w:p>
    <w:p>
      <w:pPr>
        <w:pStyle w:val="Normal"/>
        <w:keepNext w:val="true"/>
        <w:spacing w:lineRule="auto" w:line="240" w:before="0" w:after="80"/>
        <w:jc w:val="center"/>
        <w:rPr/>
      </w:pPr>
      <w:r>
        <w:rPr>
          <w:sz w:val="20"/>
          <w:szCs w:val="20"/>
        </w:rPr>
        <w:t>Ten leading features of the primary TreeSHAP rankings, with normalised importance shares (%)</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600"/>
        <w:gridCol w:w="2105"/>
        <w:gridCol w:w="2105"/>
        <w:gridCol w:w="2109"/>
        <w:gridCol w:w="2107"/>
      </w:tblGrid>
      <w:tr>
        <w:trPr>
          <w:tblHeader w:val="true"/>
          <w:cantSplit w:val="true"/>
        </w:trPr>
        <w:tc>
          <w:tcPr>
            <w:tcW w:w="600" w:type="dxa"/>
            <w:tcBorders>
              <w:top w:val="single" w:sz="6" w:space="0" w:color="000000"/>
              <w:bottom w:val="single" w:sz="6" w:space="0" w:color="000000"/>
            </w:tcBorders>
            <w:vAlign w:val="center"/>
          </w:tcPr>
          <w:p>
            <w:pPr>
              <w:pStyle w:val="Normal"/>
              <w:spacing w:lineRule="auto" w:line="228"/>
              <w:rPr/>
            </w:pPr>
            <w:r>
              <w:rPr>
                <w:b/>
                <w:bCs/>
                <w:sz w:val="17"/>
                <w:szCs w:val="17"/>
              </w:rPr>
              <w:t>Rank</w:t>
            </w:r>
          </w:p>
        </w:tc>
        <w:tc>
          <w:tcPr>
            <w:tcW w:w="2105"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2105"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2109"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2107"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total_biat (9.83)</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(10.94)</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(14.05)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(13.48)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(8.27)</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min_fiat (8.28)</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min_flowiat (14.04)</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min_fiat (8.45)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3</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total_fiat (8.09)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min_biat (8.15)</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total_biat (8.30)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(8.16)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4</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(7.86)</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min_flowiat (6.90)</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min_fiat (7.97)</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min_biat (8.10)</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5</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duration (6.29)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total_biat (6.78)</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flowPktsPerSecond (5.76)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mean_biat (7.15)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6</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(5.92)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duration (5.82)</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(5.56)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duration (6.58)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7</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mean_fiat (4.89)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mean_biat (5.78)</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duration (5.43)</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max_flowiat (6.44)</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8</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mean_biat (4.79)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total_fiat (5.59)</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total_fiat (5.09)</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std_flowiat (6.06)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max_flowiat (4.71)</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max_flowiat (5.38)</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std_flowiat (4.85)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total_fiat (4.99)</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10</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min_biat (4.42)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(5.26)</w:t>
            </w:r>
          </w:p>
        </w:tc>
        <w:tc>
          <w:tcPr>
            <w:tcW w:w="2109" w:type="dxa"/>
            <w:tcBorders>
              <w:top w:val="single" w:sz="6" w:space="0" w:color="000000"/>
              <w:bottom w:val="single" w:sz="6" w:space="0" w:color="000000"/>
            </w:tcBorders>
            <w:vAlign w:val="center"/>
          </w:tcPr>
          <w:p>
            <w:pPr>
              <w:pStyle w:val="Normal"/>
              <w:spacing w:lineRule="auto" w:line="228"/>
              <w:jc w:val="center"/>
              <w:rPr/>
            </w:pPr>
            <w:r>
              <w:rPr>
                <w:sz w:val="17"/>
                <w:szCs w:val="17"/>
              </w:rPr>
              <w:t>min_biat (4.30)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(4.63)</w:t>
            </w:r>
          </w:p>
        </w:tc>
      </w:tr>
    </w:tbl>
    <w:p>
      <w:pPr>
        <w:pStyle w:val="Normal"/>
        <w:keepLines/>
        <w:spacing w:lineRule="auto" w:line="230" w:before="40" w:after="160"/>
        <w:jc w:val="both"/>
        <w:rPr/>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pPr>
        <w:pStyle w:val="Normal"/>
        <w:keepNext w:val="true"/>
        <w:spacing w:before="160" w:after="60"/>
        <w:jc w:val="center"/>
        <w:rPr/>
      </w:pPr>
      <w:r>
        <w:rPr/>
        <w:drawing>
          <wp:inline distT="0" distB="0" distL="0" distR="0">
            <wp:extent cx="5715000" cy="424688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a:picLocks noChangeAspect="1" noChangeArrowheads="1"/>
                    </pic:cNvPicPr>
                  </pic:nvPicPr>
                  <pic:blipFill>
                    <a:blip r:embed="rId7"/>
                    <a:stretch>
                      <a:fillRect/>
                    </a:stretch>
                  </pic:blipFill>
                  <pic:spPr bwMode="auto">
                    <a:xfrm>
                      <a:off x="0" y="0"/>
                      <a:ext cx="5715000" cy="424688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pPr>
        <w:pStyle w:val="Heading2"/>
        <w:keepNext w:val="true"/>
        <w:spacing w:before="180" w:after="80"/>
        <w:rPr/>
      </w:pPr>
      <w:r>
        <w:rPr/>
        <w:t>B. Cross-Context Agreement on the Primary Split</w:t>
      </w:r>
    </w:p>
    <w:p>
      <w:pPr>
        <w:pStyle w:val="Normal"/>
        <w:spacing w:lineRule="auto" w:line="264" w:before="0" w:after="100"/>
        <w:ind w:firstLine="284"/>
        <w:jc w:val="both"/>
        <w:rPr/>
      </w:pPr>
      <w:r>
        <w:rPr/>
        <w:t xml:space="preserve">For Random Forest, the Spearman </w:t>
      </w:r>
      <w:r>
        <w:rPr/>
      </w:r>
      <m:oMath xmlns:m="http://schemas.openxmlformats.org/officeDocument/2006/math">
        <m:r>
          <m:t xml:space="preserve">ρ</m:t>
        </m:r>
      </m:oMath>
      <w:r>
        <w:rPr/>
        <w:t xml:space="preserve"> between the Non-VPN and VPN rankings is 0.8300 and Kendall </w:t>
      </w:r>
      <w:r>
        <w:rPr/>
      </w:r>
      <m:oMath xmlns:m="http://schemas.openxmlformats.org/officeDocument/2006/math">
        <m:sSub>
          <m:e>
            <m:r>
              <m:t xml:space="preserve">τ</m:t>
            </m:r>
          </m:e>
          <m:sub>
            <m:r>
              <m:t xml:space="preserve">b</m:t>
            </m:r>
          </m:sub>
        </m:sSub>
      </m:oMath>
      <w:r>
        <w:rPr/>
        <w:t xml:space="preserve"> is 0.6443; for XGBoost, </w:t>
      </w:r>
      <w:r>
        <w:rPr/>
      </w:r>
      <m:oMath xmlns:m="http://schemas.openxmlformats.org/officeDocument/2006/math">
        <m:r>
          <m:t xml:space="preserve">ρ</m:t>
        </m:r>
      </m:oMath>
      <w:r>
        <w:rPr/>
        <w:t xml:space="preserve"> = 0.7856 and </w:t>
      </w:r>
      <w:r>
        <w:rPr/>
      </w:r>
      <m:oMath xmlns:m="http://schemas.openxmlformats.org/officeDocument/2006/math">
        <m:sSub>
          <m:e>
            <m:r>
              <m:t xml:space="preserve">τ</m:t>
            </m:r>
          </m:e>
          <m:sub>
            <m:r>
              <m:t xml:space="preserve">b</m:t>
            </m:r>
          </m:sub>
        </m:sSub>
      </m:oMath>
      <w:r>
        <w:rPr/>
        <w:t xml:space="preserve"> = 0.5810 (Table VI). The whole-ranking correlations are high, but each model keeps only three of its top five features (</w:t>
      </w:r>
      <w:r>
        <w:rPr/>
      </w:r>
      <m:oMath xmlns:m="http://schemas.openxmlformats.org/officeDocument/2006/math">
        <m:sSub>
          <m:e>
            <m:r>
              <m:t xml:space="preserve">κ</m:t>
            </m:r>
          </m:e>
          <m:sub>
            <m:r>
              <m:t xml:space="preserve">5</m:t>
            </m:r>
          </m:sub>
        </m:sSub>
      </m:oMath>
      <w:r>
        <w:rPr/>
        <w:t xml:space="preserve"> = 0.49), and RBO is 0.580 for Random Forest and 0.755 for XGBoost. The L1 distance between the share vectors is 0.333 and 0.360, which means that about one sixth of the total importance changes hands, and the mean absolute rank change is 3.04 and 3.39 positions. With ten features the overlap is 9 of 10 for Random Forest (</w:t>
      </w:r>
      <w:r>
        <w:rPr/>
      </w:r>
      <m:oMath xmlns:m="http://schemas.openxmlformats.org/officeDocument/2006/math">
        <m:sSub>
          <m:e>
            <m:r>
              <m:t xml:space="preserve">κ</m:t>
            </m:r>
          </m:e>
          <m:sub>
            <m:r>
              <m:t xml:space="preserve">10</m:t>
            </m:r>
          </m:sub>
        </m:sSub>
      </m:oMath>
      <w:r>
        <w:rPr/>
        <w:t xml:space="preserve"> = 0.82) and 8 of 10 for XGBoost (</w:t>
      </w:r>
      <w:r>
        <w:rPr/>
      </w:r>
      <m:oMath xmlns:m="http://schemas.openxmlformats.org/officeDocument/2006/math">
        <m:sSub>
          <m:e>
            <m:r>
              <m:t xml:space="preserve">κ</m:t>
            </m:r>
          </m:e>
          <m:sub>
            <m:r>
              <m:t xml:space="preserve">10</m:t>
            </m:r>
          </m:sub>
        </m:sSub>
      </m:oMath>
      <w:r>
        <w:rPr/>
        <w:t xml:space="preserve"> = 0.65). Equal weighting of the true classes changes the rankings within contexts very little (</w:t>
      </w:r>
      <w:r>
        <w:rPr/>
      </w:r>
      <m:oMath xmlns:m="http://schemas.openxmlformats.org/officeDocument/2006/math">
        <m:r>
          <m:t xml:space="preserve">ρ</m:t>
        </m:r>
      </m:oMath>
      <w:r>
        <w:rPr/>
        <w:t xml:space="preserve"> between the weighted and unweighted rankings 0.976–0.998), and cross-context </w:t>
      </w:r>
      <w:r>
        <w:rPr/>
      </w:r>
      <m:oMath xmlns:m="http://schemas.openxmlformats.org/officeDocument/2006/math">
        <m:r>
          <m:t xml:space="preserve">ρ</m:t>
        </m:r>
      </m:oMath>
      <w:r>
        <w:rPr/>
        <w:t xml:space="preserve"> stays at about the same level (0.821 and 0.792). The top-weighted measures move more: for Random Forest, RBO rises from 0.580 to 0.732 and the L1 distance falls from 0.333 to 0.270, and the Top-10 overlap drops by one feature for both models (Table VI).</w:t>
      </w:r>
    </w:p>
    <w:p>
      <w:pPr>
        <w:pStyle w:val="Normal"/>
        <w:spacing w:lineRule="auto" w:line="264" w:before="0" w:after="100"/>
        <w:ind w:firstLine="284"/>
        <w:jc w:val="both"/>
        <w:rPr/>
      </w:pPr>
      <w:r>
        <w:rPr/>
        <w:t>Fig. 5 plots single features (Non-VPN rank to VPN rank). In Random Forest, min_fiat (11 to 2) and min_biat (10 to 3) move up, but total_biat (1 to 5), total_fiat (3 to 8) and mean_fiat (7 to 14) all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pPr>
        <w:pStyle w:val="Normal"/>
        <w:spacing w:lineRule="auto" w:line="264" w:before="0" w:after="100"/>
        <w:ind w:firstLine="284"/>
        <w:jc w:val="both"/>
        <w:rPr/>
      </w:pPr>
      <w:r>
        <w:rPr/>
        <w:t>Several of the features that move are correlated with others (Fig. 6), and that matters for how SHAP divides credit. Nearly redundant pairs are duration versus total_fiat and total_biat (Spearman's correlation 0.89–0.95), total_fiat versus total_biat (0.84–0.90), and the two throughput features (0.94). A model can move credit within such a group with little change in its predictions, which fits the fall of total_biat and total_fiat. The three minimum IATs are less tightly linked. Their Spearman correlation is 0.60 in both contexts between min_fiat and min_biat, 0.11 and 0.41 between min_fiat and min_flowiat, and 0.19 and 0.24 between min_biat and min_flowiat. By construction min_flowiat never exceeds the smaller of min_fiat and min_biat, but among the training flows in which at least one directional minimum is defined, it equals that minimum in only 48% (Non-VPN) and 34% (VPN) of cases (43% and 31% of all training flows), because interleaved forward and backward packets create shorter gaps. Moderate and non-monotone dependence of this kind can still redistribute SHAP credit, so Section VI-E tests the minimum-IAT shifts by retraining.</w:t>
      </w:r>
    </w:p>
    <w:p>
      <w:pPr>
        <w:pStyle w:val="Normal"/>
        <w:keepNext w:val="true"/>
        <w:spacing w:lineRule="auto" w:line="240" w:before="200" w:after="0"/>
        <w:jc w:val="center"/>
        <w:rPr/>
      </w:pPr>
      <w:r>
        <w:rPr>
          <w:sz w:val="20"/>
          <w:szCs w:val="20"/>
        </w:rPr>
        <w:t>TABLE VI</w:t>
      </w:r>
    </w:p>
    <w:p>
      <w:pPr>
        <w:pStyle w:val="Normal"/>
        <w:keepNext w:val="true"/>
        <w:spacing w:lineRule="auto" w:line="240" w:before="0" w:after="80"/>
        <w:jc w:val="center"/>
        <w:rPr/>
      </w:pPr>
      <w:r>
        <w:rPr>
          <w:sz w:val="20"/>
          <w:szCs w:val="20"/>
        </w:rPr>
        <w:t>Cross-context ranking agreement of the primary fits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001"/>
        <w:gridCol w:w="1000"/>
        <w:gridCol w:w="798"/>
        <w:gridCol w:w="802"/>
        <w:gridCol w:w="1248"/>
        <w:gridCol w:w="1302"/>
        <w:gridCol w:w="976"/>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Spearman </w:t>
            </w:r>
            <w:r>
              <w:rPr/>
            </w:r>
            <m:oMath xmlns:m="http://schemas.openxmlformats.org/officeDocument/2006/math">
              <m:r>
                <m:t xml:space="preserve">ρ</m:t>
              </m:r>
            </m:oMath>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Kendall </w:t>
            </w:r>
            <w:r>
              <w:rPr/>
            </w:r>
            <m:oMath xmlns:m="http://schemas.openxmlformats.org/officeDocument/2006/math">
              <m:sSub>
                <m:e>
                  <m:r>
                    <m:t xml:space="preserve">τ</m:t>
                  </m:r>
                </m:e>
                <m:sub>
                  <m:r>
                    <m:t xml:space="preserve">b</m:t>
                  </m:r>
                </m:sub>
              </m:sSub>
            </m:oMath>
          </w:p>
        </w:tc>
        <w:tc>
          <w:tcPr>
            <w:tcW w:w="798"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802" w:type="dxa"/>
            <w:tcBorders>
              <w:top w:val="single" w:sz="6" w:space="0" w:color="000000"/>
              <w:bottom w:val="single" w:sz="6" w:space="0" w:color="000000"/>
            </w:tcBorders>
            <w:vAlign w:val="center"/>
          </w:tcPr>
          <w:p>
            <w:pPr>
              <w:pStyle w:val="Normal"/>
              <w:spacing w:lineRule="auto" w:line="228"/>
              <w:jc w:val="center"/>
              <w:rPr/>
            </w:pPr>
            <w:r>
              <w:rPr>
                <w:b/>
                <w:bCs/>
                <w:sz w:val="17"/>
                <w:szCs w:val="17"/>
              </w:rPr>
              <w:t>L1</w:t>
            </w:r>
          </w:p>
        </w:tc>
        <w:tc>
          <w:tcPr>
            <w:tcW w:w="1248" w:type="dxa"/>
            <w:tcBorders>
              <w:top w:val="single" w:sz="6" w:space="0" w:color="000000"/>
              <w:bottom w:val="single" w:sz="6" w:space="0" w:color="000000"/>
            </w:tcBorders>
            <w:vAlign w:val="center"/>
          </w:tcPr>
          <w:p>
            <w:pPr>
              <w:pStyle w:val="Normal"/>
              <w:spacing w:lineRule="auto" w:line="228"/>
              <w:jc w:val="center"/>
              <w:rPr/>
            </w:pPr>
            <w:r>
              <w:rPr>
                <w:b/>
                <w:bCs/>
                <w:sz w:val="17"/>
                <w:szCs w:val="17"/>
              </w:rPr>
              <w:t>Top-5 (</w:t>
            </w:r>
            <w:r>
              <w:rPr/>
            </w:r>
            <m:oMath xmlns:m="http://schemas.openxmlformats.org/officeDocument/2006/math">
              <m:sSub>
                <m:e>
                  <m:r>
                    <m:t xml:space="preserve">κ</m:t>
                  </m:r>
                </m:e>
                <m:sub>
                  <m:r>
                    <m:t xml:space="preserve">5</m:t>
                  </m:r>
                </m:sub>
              </m:sSub>
            </m:oMath>
            <w:r>
              <w:rPr>
                <w:b/>
                <w:bCs/>
                <w:sz w:val="17"/>
                <w:szCs w:val="17"/>
              </w:rPr>
              <w:t>)</w:t>
            </w:r>
          </w:p>
        </w:tc>
        <w:tc>
          <w:tcPr>
            <w:tcW w:w="1302" w:type="dxa"/>
            <w:tcBorders>
              <w:top w:val="single" w:sz="6" w:space="0" w:color="000000"/>
              <w:bottom w:val="single" w:sz="6" w:space="0" w:color="000000"/>
            </w:tcBorders>
            <w:vAlign w:val="center"/>
          </w:tcPr>
          <w:p>
            <w:pPr>
              <w:pStyle w:val="Normal"/>
              <w:spacing w:lineRule="auto" w:line="228"/>
              <w:jc w:val="center"/>
              <w:rPr/>
            </w:pPr>
            <w:r>
              <w:rPr>
                <w:b/>
                <w:bCs/>
                <w:sz w:val="17"/>
                <w:szCs w:val="17"/>
              </w:rPr>
              <w:t>Top-10 (</w:t>
            </w:r>
            <w:r>
              <w:rPr/>
            </w:r>
            <m:oMath xmlns:m="http://schemas.openxmlformats.org/officeDocument/2006/math">
              <m:sSub>
                <m:e>
                  <m:r>
                    <m:t xml:space="preserve">κ</m:t>
                  </m:r>
                </m:e>
                <m:sub>
                  <m:r>
                    <m:t xml:space="preserve">10</m:t>
                  </m:r>
                </m:sub>
              </m:sSub>
            </m:oMath>
            <w:r>
              <w:rPr>
                <w:b/>
                <w:bCs/>
                <w:sz w:val="17"/>
                <w:szCs w:val="17"/>
              </w:rPr>
              <w:t>)</w:t>
            </w:r>
          </w:p>
        </w:tc>
        <w:tc>
          <w:tcPr>
            <w:tcW w:w="976" w:type="dxa"/>
            <w:tcBorders>
              <w:top w:val="single" w:sz="6" w:space="0" w:color="000000"/>
              <w:bottom w:val="single" w:sz="6" w:space="0" w:color="000000"/>
            </w:tcBorders>
            <w:vAlign w:val="center"/>
          </w:tcPr>
          <w:p>
            <w:pPr>
              <w:pStyle w:val="Normal"/>
              <w:spacing w:lineRule="auto" w:line="228"/>
              <w:jc w:val="center"/>
              <w:rPr/>
            </w:pPr>
            <w:r>
              <w:rPr>
                <w:b/>
                <w:bCs/>
                <w:sz w:val="17"/>
                <w:szCs w:val="17"/>
              </w:rPr>
              <w:t>Rank disp.</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0.333</w:t>
            </w:r>
          </w:p>
        </w:tc>
        <w:tc>
          <w:tcPr>
            <w:tcW w:w="1248"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2" w:type="dxa"/>
            <w:tcBorders>
              <w:top w:val="single" w:sz="6" w:space="0" w:color="000000"/>
              <w:bottom w:val="single" w:sz="6" w:space="0" w:color="000000"/>
            </w:tcBorders>
            <w:vAlign w:val="center"/>
          </w:tcPr>
          <w:p>
            <w:pPr>
              <w:pStyle w:val="Normal"/>
              <w:spacing w:lineRule="auto" w:line="228"/>
              <w:jc w:val="center"/>
              <w:rPr/>
            </w:pPr>
            <w:r>
              <w:rPr>
                <w:sz w:val="17"/>
                <w:szCs w:val="17"/>
              </w:rPr>
              <w:t>9/10 (0.82)</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0.5810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0.360</w:t>
            </w:r>
          </w:p>
        </w:tc>
        <w:tc>
          <w:tcPr>
            <w:tcW w:w="1248"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2"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0.8211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0.732</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0.270</w:t>
            </w:r>
          </w:p>
        </w:tc>
        <w:tc>
          <w:tcPr>
            <w:tcW w:w="1248"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2"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0.7925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0.5968</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0.778</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0.376</w:t>
            </w:r>
          </w:p>
        </w:tc>
        <w:tc>
          <w:tcPr>
            <w:tcW w:w="1248"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2" w:type="dxa"/>
            <w:tcBorders>
              <w:top w:val="single" w:sz="6" w:space="0" w:color="000000"/>
              <w:bottom w:val="single" w:sz="6" w:space="0" w:color="000000"/>
            </w:tcBorders>
            <w:vAlign w:val="center"/>
          </w:tcPr>
          <w:p>
            <w:pPr>
              <w:pStyle w:val="Normal"/>
              <w:spacing w:lineRule="auto" w:line="228"/>
              <w:jc w:val="center"/>
              <w:rPr/>
            </w:pPr>
            <w:r>
              <w:rPr>
                <w:sz w:val="17"/>
                <w:szCs w:val="17"/>
              </w:rPr>
              <w:t>7/10 (0.47)</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bl>
    <w:p>
      <w:pPr>
        <w:pStyle w:val="Normal"/>
        <w:keepLines/>
        <w:spacing w:lineRule="auto" w:line="230" w:before="40" w:after="160"/>
        <w:jc w:val="both"/>
        <w:rPr/>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w:r>
        <w:rPr/>
      </w:r>
      <m:oMath xmlns:m="http://schemas.openxmlformats.org/officeDocument/2006/math">
        <m:sSub>
          <m:e>
            <m:r>
              <m:t xml:space="preserve">κ</m:t>
            </m:r>
          </m:e>
          <m:sub>
            <m:r>
              <m:t xml:space="preserve">k</m:t>
            </m:r>
          </m:sub>
        </m:sSub>
      </m:oMath>
      <w:r>
        <w:rPr>
          <w:sz w:val="17"/>
          <w:szCs w:val="17"/>
        </w:rPr>
        <w:t xml:space="preserve"> is the chance-corrected Top-k overlap of (5); rank disp. is the mean absolute rank displacement. Class-weighted rows give every true class the same weight in (2).</w:t>
      </w:r>
    </w:p>
    <w:p>
      <w:pPr>
        <w:pStyle w:val="Normal"/>
        <w:keepNext w:val="true"/>
        <w:spacing w:before="160" w:after="60"/>
        <w:jc w:val="center"/>
        <w:rPr/>
      </w:pPr>
      <w:r>
        <w:rPr/>
        <w:drawing>
          <wp:inline distT="0" distB="0" distL="0" distR="0">
            <wp:extent cx="5715000" cy="453517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a:picLocks noChangeAspect="1" noChangeArrowheads="1"/>
                    </pic:cNvPicPr>
                  </pic:nvPicPr>
                  <pic:blipFill>
                    <a:blip r:embed="rId8"/>
                    <a:stretch>
                      <a:fillRect/>
                    </a:stretch>
                  </pic:blipFill>
                  <pic:spPr bwMode="auto">
                    <a:xfrm>
                      <a:off x="0" y="0"/>
                      <a:ext cx="5715000" cy="453517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pPr>
        <w:pStyle w:val="Normal"/>
        <w:keepNext w:val="true"/>
        <w:spacing w:before="160" w:after="60"/>
        <w:jc w:val="center"/>
        <w:rPr/>
      </w:pPr>
      <w:r>
        <w:rPr/>
        <w:drawing>
          <wp:inline distT="0" distB="0" distL="0" distR="0">
            <wp:extent cx="5715000" cy="2658745"/>
            <wp:effectExtent l="0" t="0" r="0" b="0"/>
            <wp:docPr id="6"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13"/>
                    <pic:cNvPicPr>
                      <a:picLocks noChangeAspect="1" noChangeArrowheads="1"/>
                    </pic:cNvPicPr>
                  </pic:nvPicPr>
                  <pic:blipFill>
                    <a:blip r:embed="rId9"/>
                    <a:stretch>
                      <a:fillRect/>
                    </a:stretch>
                  </pic:blipFill>
                  <pic:spPr bwMode="auto">
                    <a:xfrm>
                      <a:off x="0" y="0"/>
                      <a:ext cx="5715000" cy="265874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pPr>
        <w:pStyle w:val="Heading2"/>
        <w:keepNext w:val="true"/>
        <w:spacing w:before="180" w:after="80"/>
        <w:rPr/>
      </w:pPr>
      <w:r>
        <w:rPr/>
        <w:t>C. Within-Context References and Permutation Null</w:t>
      </w:r>
    </w:p>
    <w:p>
      <w:pPr>
        <w:pStyle w:val="Normal"/>
        <w:spacing w:lineRule="auto" w:line="264" w:before="0" w:after="100"/>
        <w:ind w:firstLine="284"/>
        <w:jc w:val="both"/>
        <w:rPr/>
      </w:pPr>
      <w:r>
        <w:rP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w:r>
        <w:rPr/>
      </w:r>
      <m:oMath xmlns:m="http://schemas.openxmlformats.org/officeDocument/2006/math">
        <m:r>
          <m:t xml:space="preserve">ρ</m:t>
        </m:r>
      </m:oMath>
      <w:r>
        <w:rPr/>
        <w:t xml:space="preserve"> gaps are 0.133 and 0.183.</w:t>
      </w:r>
    </w:p>
    <w:p>
      <w:pPr>
        <w:pStyle w:val="Normal"/>
        <w:spacing w:lineRule="auto" w:line="264" w:before="0" w:after="100"/>
        <w:ind w:firstLine="284"/>
        <w:jc w:val="both"/>
        <w:rPr/>
      </w:pPr>
      <w:r>
        <w:rPr/>
        <w:t xml:space="preserve">The permutation null shows that the gap is not caused by either the half-split method or the class-mix difference alone. Allocating flows at random between two pseudo-contexts with the same Non-VPN and VPN class mixes gives a </w:t>
      </w:r>
      <w:r>
        <w:rPr/>
      </w:r>
      <m:oMath xmlns:m="http://schemas.openxmlformats.org/officeDocument/2006/math">
        <m:r>
          <m:t xml:space="preserve">Δ</m:t>
        </m:r>
      </m:oMath>
      <w:r>
        <w:rPr/>
        <w:t xml:space="preserve"> of -0.001 for XGBoost (range -0.019 to 0.009) and +0.028 for Random Forest (range -0.010 to 0.052). Nor does the gap come mainly from explaining the two contexts on different records. When every half-model is explained on the same records, </w:t>
      </w:r>
      <w:r>
        <w:rPr/>
      </w:r>
      <m:oMath xmlns:m="http://schemas.openxmlformats.org/officeDocument/2006/math">
        <m:r>
          <m:t xml:space="preserve">Δ</m:t>
        </m:r>
      </m:oMath>
      <w:r>
        <w:rPr/>
        <w:t xml:space="preserve"> is 0.123–0.130 for XGBoost and 0.134–0.147 for Random Forest across the three common record sets (the Non-VPN records, the VPN records and both together), against 0.129 and 0.186 when each model is explained on its own context's records, and it is positive in all 11 repeats for both models. For XGBoost the explained records make little difference to </w:t>
      </w:r>
      <w:r>
        <w:rPr/>
      </w:r>
      <m:oMath xmlns:m="http://schemas.openxmlformats.org/officeDocument/2006/math">
        <m:r>
          <m:t xml:space="preserve">ρ</m:t>
        </m:r>
      </m:oMath>
      <w:r>
        <w:rPr/>
        <w:t xml:space="preserve">, although the RBO gap falls from 0.152 to 0.121–0.149. For Random Forest they account for about 21–28% of the gap, and the RBO gap falls from 0.302 to 0.161–0.189. The primary models agree: on common records their cross-context </w:t>
      </w:r>
      <w:r>
        <w:rPr/>
      </w:r>
      <m:oMath xmlns:m="http://schemas.openxmlformats.org/officeDocument/2006/math">
        <m:r>
          <m:t xml:space="preserve">ρ</m:t>
        </m:r>
      </m:oMath>
      <w:r>
        <w:rPr/>
        <w:t xml:space="preserve"> is 0.863–0.883 for Random Forest and 0.771–0.787 for XGBoost, against 0.830 and 0.786 on their own test partitions.</w:t>
      </w:r>
    </w:p>
    <w:p>
      <w:pPr>
        <w:pStyle w:val="Normal"/>
        <w:spacing w:lineRule="auto" w:line="264" w:before="0" w:after="100"/>
        <w:ind w:firstLine="284"/>
        <w:jc w:val="both"/>
        <w:rPr/>
      </w:pPr>
      <w:r>
        <w:rPr/>
        <w:t xml:space="preserve">Cluster grouping alters the picture. Preserving clusters of approximately ten similar flows in one half reduces within-context agreement (XGBoost 0.888 and 0.934, Random Forest 0.850 and 0.809) while cross-context agreement changes little for XGBoost (0.832 against 0.825) but falls for Random Forest (0.730 against 0.766), and </w:t>
      </w:r>
      <w:r>
        <w:rPr/>
      </w:r>
      <m:oMath xmlns:m="http://schemas.openxmlformats.org/officeDocument/2006/math">
        <m:r>
          <m:t xml:space="preserve">Δ</m:t>
        </m:r>
      </m:oMath>
      <w:r>
        <w:rPr/>
        <w:t xml:space="preserve"> shrinks to 0.079 and 0.100. Even this fine grouping reduces the XGBoost gap by 39% and the Random Forest gap by 47%. With approximately 35 flows per cluster, </w:t>
      </w:r>
      <w:r>
        <w:rPr/>
      </w:r>
      <m:oMath xmlns:m="http://schemas.openxmlformats.org/officeDocument/2006/math">
        <m:r>
          <m:t xml:space="preserve">Δ</m:t>
        </m:r>
      </m:oMath>
      <w:r>
        <w:rPr/>
        <w:t xml:space="preserve"> is 0.014 and 0.042; the Random Forest gap is still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pPr>
        <w:pStyle w:val="Normal"/>
        <w:spacing w:lineRule="auto" w:line="264" w:before="0" w:after="100"/>
        <w:ind w:firstLine="284"/>
        <w:jc w:val="both"/>
        <w:rPr/>
      </w:pPr>
      <w:r>
        <w:rPr/>
        <w:t xml:space="preserve">The calibrated grouping, using approximately as many clusters per class as there are capture files, gives a gap of +0.016 for XGBoost (SD 0.039) and +0.018 for Random Forest (SD 0.084), with RBO gaps of +0.018 and +0.029. It shares the weaknesses of the coarse setting: because a VPN class is divided into only a few large clusters, the VPN half-models disagree strongly with each other (within-VPN </w:t>
      </w:r>
      <w:r>
        <w:rPr/>
      </w:r>
      <m:oMath xmlns:m="http://schemas.openxmlformats.org/officeDocument/2006/math">
        <m:r>
          <m:t xml:space="preserve">ρ</m:t>
        </m:r>
      </m:oMath>
      <w:r>
        <w:rPr/>
        <w:t xml:space="preserve"> 0.752 for XGBoost and 0.297 for Random Forest) and half-model macro F1 is 0.53–0.68. The near-zero mean also hides opposite signs. For Random Forest, within-Non-VPN agreement exceeds cross-context agreement by 0.228, whereas within-VPN agreement lies 0.193 below it (XGBoost: +0.067 and -0.035). The calibrated mean therefore does not show that the gap disappears in either context; it averages a positive and a negative gap.</w:t>
      </w:r>
    </w:p>
    <w:p>
      <w:pPr>
        <w:pStyle w:val="Normal"/>
        <w:spacing w:lineRule="auto" w:line="264" w:before="0" w:after="100"/>
        <w:ind w:firstLine="284"/>
        <w:jc w:val="both"/>
        <w:rPr/>
      </w:pPr>
      <w:r>
        <w:rPr/>
        <w:t xml:space="preserve">Blocks of consecutive rows in the original files yield a different picture (Section IV-D). They reduce within-context agreement considerably less than clusters do, and the half-models remain far more accurate than under coarse clusters (macro F1 0.73–0.90). With blocks of approximately 10, 35 and 140 training flows, </w:t>
      </w:r>
      <w:r>
        <w:rPr/>
      </w:r>
      <m:oMath xmlns:m="http://schemas.openxmlformats.org/officeDocument/2006/math">
        <m:r>
          <m:t xml:space="preserve">Δ</m:t>
        </m:r>
      </m:oMath>
      <w:r>
        <w:rPr/>
        <w:t xml:space="preserve"> is 0.113, 0.111 and 0.079 for XGBoost and 0.168, 0.159 and 0.127 for Random Forest. With as many blocks per class as capture files it is 0.074 (range 0.058 to 0.104) and 0.153 (0.105 to 0.193), and so grouping by row order removes 43% of the XGBoost gap and 18% of the Random Forest gap at that setting. The strictest split, training one half on the first and the other on the second half of each class, gives 0.033 (0.000 to 0.082) and 0.093 (0.045 to 0.143), with RBO gaps of +0.091 and +0.047. Under every row-order setting the Spearman gap is at or above zero in all 11 repeats for both models, but this is a weak observation. The repeats are not independent replications: they share one dataset, and in the first-versus-second-half split every repeat uses nearly the same two halves of each class, so what changes from repeat to repeat is mainly the outer partition, the subsample drawn from each half and the seeds. The smallest XGBoost value there is 0.0002, and the RBO and Top-5 gaps are negative in some of these repeats (RBO in 1 of 11 for XGBoost and 2 of 11 for Random Forest, Top-5 in 3 and 2).</w:t>
      </w:r>
    </w:p>
    <w:p>
      <w:pPr>
        <w:pStyle w:val="Normal"/>
        <w:spacing w:lineRule="auto" w:line="264" w:before="0" w:after="100"/>
        <w:ind w:firstLine="284"/>
        <w:jc w:val="both"/>
        <w:rPr/>
      </w:pPr>
      <w:r>
        <w:rPr/>
        <w:t xml:space="preserve">The grouped null separates the two proxies (Table VII). For row blocks, both versions of the null give a mean </w:t>
      </w:r>
      <w:r>
        <w:rPr/>
      </w:r>
      <m:oMath xmlns:m="http://schemas.openxmlformats.org/officeDocument/2006/math">
        <m:r>
          <m:t xml:space="preserve">Δ</m:t>
        </m:r>
      </m:oMath>
      <w:r>
        <w:rPr/>
        <w:t xml:space="preserve"> close to zero (-0.022 to 0.023) at the two settings tested, so this grouping produces almost no gap of its own, and the real row-block gaps lie above it: against the group-level null by 0.069 and 0.035 for XGBoost and by 0.130 and 0.111 for Random Forest at the calibrated and first-versus-second-half settings, with 5–11 of the 11 real repeats above the largest null repeat. The row-block gaps also remain when both contexts are explained on the same records: across the three common record sets they are 0.063–0.072 (calibrated) and 0.031–0.032 (first versus second half) for XGBoost and 0.107–0.119 and 0.061–0.071 for Random Forest, positive in 10–11 of the 11 repeats; for Random Forest this is 22–35% below the gaps on each context's own records. For clusters, the two versions of the null point in the directions expected from their construction. In the flow-level version, cross-context agreement exceeds within-context agreement (0.863 against 0.821 on average), so </w:t>
      </w:r>
      <w:r>
        <w:rPr/>
      </w:r>
      <m:oMath xmlns:m="http://schemas.openxmlformats.org/officeDocument/2006/math">
        <m:r>
          <m:t xml:space="preserve">Δ</m:t>
        </m:r>
      </m:oMath>
      <w:r>
        <w:rPr/>
        <w:t xml:space="preserve"> is negative (-0.095 to -0.009). In the group-level version, the pseudo-contexts agree less with each other than the real contexts do in all six model and cluster settings (for Random Forest with clusters of about 10 flows, cross-context </w:t>
      </w:r>
      <w:r>
        <w:rPr/>
      </w:r>
      <m:oMath xmlns:m="http://schemas.openxmlformats.org/officeDocument/2006/math">
        <m:r>
          <m:t xml:space="preserve">ρ</m:t>
        </m:r>
      </m:oMath>
      <w:r>
        <w:rPr/>
        <w:t xml:space="preserve"> 0.600 against 0.730), so </w:t>
      </w:r>
      <w:r>
        <w:rPr/>
      </w:r>
      <m:oMath xmlns:m="http://schemas.openxmlformats.org/officeDocument/2006/math">
        <m:r>
          <m:t xml:space="preserve">Δ</m:t>
        </m:r>
      </m:oMath>
      <w:r>
        <w:rPr/>
        <w:t xml:space="preserve"> is positive (0.040 to 0.265), with a spread across repeats of up to 0.184. The real cluster gaps (0.014 to 0.100) lie between the two versions for every model and cluster setting, in some close to the group-level null (XGBoost with about 10 flows: 0.079 against 0.097). No neutral null could be built for feature clusters, so the cluster results do not show whether an excess remains once related flows are kept together.</w:t>
      </w:r>
    </w:p>
    <w:p>
      <w:pPr>
        <w:pStyle w:val="Normal"/>
        <w:spacing w:lineRule="auto" w:line="264" w:before="0" w:after="100"/>
        <w:ind w:firstLine="284"/>
        <w:jc w:val="both"/>
        <w:rPr/>
      </w:pPr>
      <w:r>
        <w:rPr/>
        <w:t>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rather than directly by their features, and leave a positive mean Spearman gap at every setting. Neither proxy is a capture split. Clusters may overcorrect. Blocks may undercorrect wherever a capture crosses a block boundary, but they are not independent of the features either: row position is correlated with some features within a class, and the first-versus-second-half split lowers half-model macro F1 to 0.73–0.80, so it may also separate regions of feature space. Reading the two proxies, with these caveats, as rough bounds, they place the excess that remains once related flows are kept together between about zero and 0.07 for XGBoost and between about zero and 0.15 for Random Forest, with 0.03 and 0.09 under the strictest row-order split.</w:t>
      </w:r>
    </w:p>
    <w:p>
      <w:pPr>
        <w:pStyle w:val="Normal"/>
        <w:spacing w:lineRule="auto" w:line="264" w:before="0" w:after="100"/>
        <w:ind w:firstLine="284"/>
        <w:jc w:val="both"/>
        <w:rPr/>
      </w:pPr>
      <w:r>
        <w:rPr/>
        <w:t>The grouped null sharpens the row-order end of this range: at the two row-block settings tested, the grouping produces almost no gap by itself, and the real gaps stay positive on average when both contexts are explained on the same records, whereas for clusters the null itself is uncertain. Explaining both contexts on the same records lowers the XGBoost gap by at most about 15% and the Random Forest gap by about 21–28% under random halves and 22–35% under row blocks. None of this tests the excess at the level of captures: no grouped design keeps the test records apart from the training sessions, and both proxies only approximate capture boundaries. Part of the random-split gap therefore reflects variation between groups of related flows, and part of it survives the two row-block settings tested, on each context's own records and on common ones, although under the first-versus-second-half split the XGBoost gap is small and the RBO and Top-5 gaps are negative in some repeats. In every design the outer 80/20 partition is random, and because the two contexts are different sets of captures, the remaining differences cannot be attributed to tunnelling.</w:t>
      </w:r>
    </w:p>
    <w:p>
      <w:pPr>
        <w:pStyle w:val="Normal"/>
        <w:keepNext w:val="true"/>
        <w:spacing w:lineRule="auto" w:line="240" w:before="200" w:after="0"/>
        <w:jc w:val="center"/>
        <w:rPr/>
      </w:pPr>
      <w:r>
        <w:rPr>
          <w:sz w:val="20"/>
          <w:szCs w:val="20"/>
        </w:rPr>
        <w:t>TABLE VII</w:t>
      </w:r>
    </w:p>
    <w:p>
      <w:pPr>
        <w:pStyle w:val="Normal"/>
        <w:keepNext w:val="true"/>
        <w:spacing w:lineRule="auto" w:line="240" w:before="0" w:after="80"/>
        <w:jc w:val="center"/>
        <w:rPr/>
      </w:pPr>
      <w:r>
        <w:rPr>
          <w:sz w:val="20"/>
          <w:szCs w:val="20"/>
        </w:rPr>
        <w:t>Within- and cross-context Spearman agreement under the reference designs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201"/>
        <w:gridCol w:w="699"/>
        <w:gridCol w:w="701"/>
        <w:gridCol w:w="698"/>
        <w:gridCol w:w="1452"/>
        <w:gridCol w:w="800"/>
        <w:gridCol w:w="798"/>
        <w:gridCol w:w="778"/>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 / design</w:t>
            </w:r>
          </w:p>
        </w:tc>
        <w:tc>
          <w:tcPr>
            <w:tcW w:w="1201" w:type="dxa"/>
            <w:tcBorders>
              <w:top w:val="single" w:sz="6" w:space="0" w:color="000000"/>
              <w:bottom w:val="single" w:sz="6" w:space="0" w:color="000000"/>
            </w:tcBorders>
            <w:vAlign w:val="center"/>
          </w:tcPr>
          <w:p>
            <w:pPr>
              <w:pStyle w:val="Normal"/>
              <w:spacing w:lineRule="auto" w:line="228"/>
              <w:jc w:val="center"/>
              <w:rPr/>
            </w:pPr>
            <w:r>
              <w:rPr>
                <w:b/>
                <w:bCs/>
                <w:sz w:val="17"/>
                <w:szCs w:val="17"/>
              </w:rPr>
              <w:t>Half-model F1</w:t>
            </w:r>
          </w:p>
          <w:p>
            <w:pPr>
              <w:pStyle w:val="Normal"/>
              <w:spacing w:lineRule="auto" w:line="228"/>
              <w:jc w:val="center"/>
              <w:rPr/>
            </w:pPr>
            <w:r>
              <w:rPr>
                <w:b/>
                <w:bCs/>
                <w:sz w:val="17"/>
                <w:szCs w:val="17"/>
              </w:rPr>
              <w:t>NV / 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NV</w:t>
            </w:r>
          </w:p>
        </w:tc>
        <w:tc>
          <w:tcPr>
            <w:tcW w:w="70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VPN</w:t>
            </w:r>
          </w:p>
        </w:tc>
        <w:tc>
          <w:tcPr>
            <w:tcW w:w="698"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452"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mean (SD)</w:t>
            </w:r>
          </w:p>
          <w:p>
            <w:pPr>
              <w:pStyle w:val="Normal"/>
              <w:spacing w:lineRule="auto" w:line="228"/>
              <w:jc w:val="center"/>
              <w:rPr/>
            </w:pPr>
            <w:r>
              <w:rPr>
                <w:b/>
                <w:bCs/>
                <w:sz w:val="17"/>
                <w:szCs w:val="17"/>
              </w:rPr>
              <w:t>range</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RBO</w:t>
            </w:r>
          </w:p>
        </w:tc>
        <w:tc>
          <w:tcPr>
            <w:tcW w:w="79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Top-5</w:t>
            </w:r>
          </w:p>
        </w:tc>
        <w:tc>
          <w:tcPr>
            <w:tcW w:w="77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classes</w:t>
            </w:r>
          </w:p>
          <w:p>
            <w:pPr>
              <w:pStyle w:val="Normal"/>
              <w:spacing w:lineRule="auto" w:line="228"/>
              <w:jc w:val="center"/>
              <w:rPr/>
            </w:pPr>
            <w:r>
              <w:rPr>
                <w:b/>
                <w:bCs/>
                <w:sz w:val="17"/>
                <w:szCs w:val="17"/>
              </w:rPr>
              <w:t>weighted</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XGBoost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0.912 / 0.865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0.964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p>
            <w:pPr>
              <w:pStyle w:val="Normal"/>
              <w:spacing w:lineRule="auto" w:line="228"/>
              <w:jc w:val="center"/>
              <w:rPr/>
            </w:pPr>
            <w:r>
              <w:rPr>
                <w:sz w:val="17"/>
                <w:szCs w:val="17"/>
              </w:rPr>
              <w:t>0.072 to 0.163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+0.152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+0.133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0.818 / 0.747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+0.079 (0.028)</w:t>
            </w:r>
          </w:p>
          <w:p>
            <w:pPr>
              <w:pStyle w:val="Normal"/>
              <w:spacing w:lineRule="auto" w:line="228"/>
              <w:jc w:val="center"/>
              <w:rPr/>
            </w:pPr>
            <w:r>
              <w:rPr>
                <w:sz w:val="17"/>
                <w:szCs w:val="17"/>
              </w:rPr>
              <w:t>0.034 to 0.136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+0.074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0.709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0.877</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+0.014 (0.017)</w:t>
            </w:r>
          </w:p>
          <w:p>
            <w:pPr>
              <w:pStyle w:val="Normal"/>
              <w:spacing w:lineRule="auto" w:line="228"/>
              <w:jc w:val="center"/>
              <w:rPr/>
            </w:pPr>
            <w:r>
              <w:rPr>
                <w:sz w:val="17"/>
                <w:szCs w:val="17"/>
              </w:rPr>
              <w:t>-0.014 to 0.039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-0.05</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0.614 / 0.552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0.740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-0.015 (0.025)</w:t>
            </w:r>
          </w:p>
          <w:p>
            <w:pPr>
              <w:pStyle w:val="Normal"/>
              <w:spacing w:lineRule="auto" w:line="228"/>
              <w:jc w:val="center"/>
              <w:rPr/>
            </w:pPr>
            <w:r>
              <w:rPr>
                <w:sz w:val="17"/>
                <w:szCs w:val="17"/>
              </w:rPr>
              <w:t>-0.048 to 0.026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0.683 / 0.555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0.752</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p>
            <w:pPr>
              <w:pStyle w:val="Normal"/>
              <w:spacing w:lineRule="auto" w:line="228"/>
              <w:jc w:val="center"/>
              <w:rPr/>
            </w:pPr>
            <w:r>
              <w:rPr>
                <w:sz w:val="17"/>
                <w:szCs w:val="17"/>
              </w:rPr>
              <w:t>-0.053 to 0.073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0.903 / 0.857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+0.113 (0.026)</w:t>
            </w:r>
          </w:p>
          <w:p>
            <w:pPr>
              <w:pStyle w:val="Normal"/>
              <w:spacing w:lineRule="auto" w:line="228"/>
              <w:jc w:val="center"/>
              <w:rPr/>
            </w:pPr>
            <w:r>
              <w:rPr>
                <w:sz w:val="17"/>
                <w:szCs w:val="17"/>
              </w:rPr>
              <w:t>0.073 to 0.148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0.878 / 0.844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+0.111 (0.021)</w:t>
            </w:r>
          </w:p>
          <w:p>
            <w:pPr>
              <w:pStyle w:val="Normal"/>
              <w:spacing w:lineRule="auto" w:line="228"/>
              <w:jc w:val="center"/>
              <w:rPr/>
            </w:pPr>
            <w:r>
              <w:rPr>
                <w:sz w:val="17"/>
                <w:szCs w:val="17"/>
              </w:rPr>
              <w:t>0.078 to 0.149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+0.119</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+0.91</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+0.116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0.851 / 0.816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+0.079 (0.016)</w:t>
            </w:r>
          </w:p>
          <w:p>
            <w:pPr>
              <w:pStyle w:val="Normal"/>
              <w:spacing w:lineRule="auto" w:line="228"/>
              <w:jc w:val="center"/>
              <w:rPr/>
            </w:pPr>
            <w:r>
              <w:rPr>
                <w:sz w:val="17"/>
                <w:szCs w:val="17"/>
              </w:rPr>
              <w:t>0.040 to 0.101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+0.66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0.870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p>
            <w:pPr>
              <w:pStyle w:val="Normal"/>
              <w:spacing w:lineRule="auto" w:line="228"/>
              <w:jc w:val="center"/>
              <w:rPr/>
            </w:pPr>
            <w:r>
              <w:rPr>
                <w:sz w:val="17"/>
                <w:szCs w:val="17"/>
              </w:rPr>
              <w:t>0.058 to 0.104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+0.081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0.800 / 0.752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0.858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p>
            <w:pPr>
              <w:pStyle w:val="Normal"/>
              <w:spacing w:lineRule="auto" w:line="228"/>
              <w:jc w:val="center"/>
              <w:rPr/>
            </w:pPr>
            <w:r>
              <w:rPr>
                <w:sz w:val="17"/>
                <w:szCs w:val="17"/>
              </w:rPr>
              <w:t>0.000 to 0.082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0.843 / 0.853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0.938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-0.001 (0.009)</w:t>
            </w:r>
          </w:p>
          <w:p>
            <w:pPr>
              <w:pStyle w:val="Normal"/>
              <w:spacing w:lineRule="auto" w:line="228"/>
              <w:jc w:val="center"/>
              <w:rPr/>
            </w:pPr>
            <w:r>
              <w:rPr>
                <w:sz w:val="17"/>
                <w:szCs w:val="17"/>
              </w:rPr>
              <w:t>-0.019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-0.11</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0.720 / 0.746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-0.009 (0.015)</w:t>
            </w:r>
          </w:p>
          <w:p>
            <w:pPr>
              <w:pStyle w:val="Normal"/>
              <w:spacing w:lineRule="auto" w:line="228"/>
              <w:jc w:val="center"/>
              <w:rPr/>
            </w:pPr>
            <w:r>
              <w:rPr>
                <w:sz w:val="17"/>
                <w:szCs w:val="17"/>
              </w:rPr>
              <w:t>-0.034 to 0.007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-0.011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0.645 / 0.675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-0.029 (0.028)</w:t>
            </w:r>
          </w:p>
          <w:p>
            <w:pPr>
              <w:pStyle w:val="Normal"/>
              <w:spacing w:lineRule="auto" w:line="228"/>
              <w:jc w:val="center"/>
              <w:rPr/>
            </w:pPr>
            <w:r>
              <w:rPr>
                <w:sz w:val="17"/>
                <w:szCs w:val="17"/>
              </w:rPr>
              <w:t>-0.071 to 0.021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0.609 / 0.646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0.845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-0.028 (0.024)</w:t>
            </w:r>
          </w:p>
          <w:p>
            <w:pPr>
              <w:pStyle w:val="Normal"/>
              <w:spacing w:lineRule="auto" w:line="228"/>
              <w:jc w:val="center"/>
              <w:rPr/>
            </w:pPr>
            <w:r>
              <w:rPr>
                <w:sz w:val="17"/>
                <w:szCs w:val="17"/>
              </w:rPr>
              <w:t>-0.064 to 0.002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-0.55</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0.788 / 0.798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0.931</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-0.004 (0.009)</w:t>
            </w:r>
          </w:p>
          <w:p>
            <w:pPr>
              <w:pStyle w:val="Normal"/>
              <w:spacing w:lineRule="auto" w:line="228"/>
              <w:jc w:val="center"/>
              <w:rPr/>
            </w:pPr>
            <w:r>
              <w:rPr>
                <w:sz w:val="17"/>
                <w:szCs w:val="17"/>
              </w:rPr>
              <w:t>-0.021 to 0.014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+0.02</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0.770 / 0.774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-0.006 (0.013)</w:t>
            </w:r>
          </w:p>
          <w:p>
            <w:pPr>
              <w:pStyle w:val="Normal"/>
              <w:spacing w:lineRule="auto" w:line="228"/>
              <w:jc w:val="center"/>
              <w:rPr/>
            </w:pPr>
            <w:r>
              <w:rPr>
                <w:sz w:val="17"/>
                <w:szCs w:val="17"/>
              </w:rPr>
              <w:t>-0.019 to 0.023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0.893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+0.097 (0.079)</w:t>
            </w:r>
          </w:p>
          <w:p>
            <w:pPr>
              <w:pStyle w:val="Normal"/>
              <w:spacing w:lineRule="auto" w:line="228"/>
              <w:jc w:val="center"/>
              <w:rPr/>
            </w:pPr>
            <w:r>
              <w:rPr>
                <w:sz w:val="17"/>
                <w:szCs w:val="17"/>
              </w:rPr>
              <w:t>-0.017 to 0.291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0.717 / 0.706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0.794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+0.041 (0.058)</w:t>
            </w:r>
          </w:p>
          <w:p>
            <w:pPr>
              <w:pStyle w:val="Normal"/>
              <w:spacing w:lineRule="auto" w:line="228"/>
              <w:jc w:val="center"/>
              <w:rPr/>
            </w:pPr>
            <w:r>
              <w:rPr>
                <w:sz w:val="17"/>
                <w:szCs w:val="17"/>
              </w:rPr>
              <w:t>-0.025 to 0.186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+0.23</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0.645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0.797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0.814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+0.040 (0.075)</w:t>
            </w:r>
          </w:p>
          <w:p>
            <w:pPr>
              <w:pStyle w:val="Normal"/>
              <w:spacing w:lineRule="auto" w:line="228"/>
              <w:jc w:val="center"/>
              <w:rPr/>
            </w:pPr>
            <w:r>
              <w:rPr>
                <w:sz w:val="17"/>
                <w:szCs w:val="17"/>
              </w:rPr>
              <w:t>-0.061 to 0.234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+0.39</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+0.041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0.799 / 0.804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+0.006 (0.022)</w:t>
            </w:r>
          </w:p>
          <w:p>
            <w:pPr>
              <w:pStyle w:val="Normal"/>
              <w:spacing w:lineRule="auto" w:line="228"/>
              <w:jc w:val="center"/>
              <w:rPr/>
            </w:pPr>
            <w:r>
              <w:rPr>
                <w:sz w:val="17"/>
                <w:szCs w:val="17"/>
              </w:rPr>
              <w:t>-0.024 to 0.050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0.782 / 0.792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-0.002 (0.021)</w:t>
            </w:r>
          </w:p>
          <w:p>
            <w:pPr>
              <w:pStyle w:val="Normal"/>
              <w:spacing w:lineRule="auto" w:line="228"/>
              <w:jc w:val="center"/>
              <w:rPr/>
            </w:pPr>
            <w:r>
              <w:rPr>
                <w:sz w:val="17"/>
                <w:szCs w:val="17"/>
              </w:rPr>
              <w:t>-0.031 to 0.037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+0.09</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Random Forest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0.887 / 0.842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0.976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p>
            <w:pPr>
              <w:pStyle w:val="Normal"/>
              <w:spacing w:lineRule="auto" w:line="228"/>
              <w:jc w:val="center"/>
              <w:rPr/>
            </w:pPr>
            <w:r>
              <w:rPr>
                <w:sz w:val="17"/>
                <w:szCs w:val="17"/>
              </w:rPr>
              <w:t>0.143 to 0.252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+0.302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+0.183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0.774 / 0.715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0.730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+0.100 (0.018)</w:t>
            </w:r>
          </w:p>
          <w:p>
            <w:pPr>
              <w:pStyle w:val="Normal"/>
              <w:spacing w:lineRule="auto" w:line="228"/>
              <w:jc w:val="center"/>
              <w:rPr/>
            </w:pPr>
            <w:r>
              <w:rPr>
                <w:sz w:val="17"/>
                <w:szCs w:val="17"/>
              </w:rPr>
              <w:t>0.078 to 0.128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+0.84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+0.079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0.661 / 0.623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0.726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0.682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+0.042 (0.017)</w:t>
            </w:r>
          </w:p>
          <w:p>
            <w:pPr>
              <w:pStyle w:val="Normal"/>
              <w:spacing w:lineRule="auto" w:line="228"/>
              <w:jc w:val="center"/>
              <w:rPr/>
            </w:pPr>
            <w:r>
              <w:rPr>
                <w:sz w:val="17"/>
                <w:szCs w:val="17"/>
              </w:rPr>
              <w:t>0.015 to 0.071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+0.59</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0.589 / 0.531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0.612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0.431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0.519</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+0.002 (0.111)</w:t>
            </w:r>
          </w:p>
          <w:p>
            <w:pPr>
              <w:pStyle w:val="Normal"/>
              <w:spacing w:lineRule="auto" w:line="228"/>
              <w:jc w:val="center"/>
              <w:rPr/>
            </w:pPr>
            <w:r>
              <w:rPr>
                <w:sz w:val="17"/>
                <w:szCs w:val="17"/>
              </w:rPr>
              <w:t>-0.183 to 0.226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0.526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0.297</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0.489</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p>
            <w:pPr>
              <w:pStyle w:val="Normal"/>
              <w:spacing w:lineRule="auto" w:line="228"/>
              <w:jc w:val="center"/>
              <w:rPr/>
            </w:pPr>
            <w:r>
              <w:rPr>
                <w:sz w:val="17"/>
                <w:szCs w:val="17"/>
              </w:rPr>
              <w:t>-0.097 to 0.238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0.879 / 0.836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0.773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+0.168 (0.030)</w:t>
            </w:r>
          </w:p>
          <w:p>
            <w:pPr>
              <w:pStyle w:val="Normal"/>
              <w:spacing w:lineRule="auto" w:line="228"/>
              <w:jc w:val="center"/>
              <w:rPr/>
            </w:pPr>
            <w:r>
              <w:rPr>
                <w:sz w:val="17"/>
                <w:szCs w:val="17"/>
              </w:rPr>
              <w:t>0.115 to 0.209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+0.295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+0.164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0.852 / 0.825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+0.159 (0.022)</w:t>
            </w:r>
          </w:p>
          <w:p>
            <w:pPr>
              <w:pStyle w:val="Normal"/>
              <w:spacing w:lineRule="auto" w:line="228"/>
              <w:jc w:val="center"/>
              <w:rPr/>
            </w:pPr>
            <w:r>
              <w:rPr>
                <w:sz w:val="17"/>
                <w:szCs w:val="17"/>
              </w:rPr>
              <w:t>0.121 to 0.202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+0.255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+0.143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0.789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0.758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+0.127 (0.026)</w:t>
            </w:r>
          </w:p>
          <w:p>
            <w:pPr>
              <w:pStyle w:val="Normal"/>
              <w:spacing w:lineRule="auto" w:line="228"/>
              <w:jc w:val="center"/>
              <w:rPr/>
            </w:pPr>
            <w:r>
              <w:rPr>
                <w:sz w:val="17"/>
                <w:szCs w:val="17"/>
              </w:rPr>
              <w:t>0.091 to 0.175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+0.217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+0.098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0.848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p>
            <w:pPr>
              <w:pStyle w:val="Normal"/>
              <w:spacing w:lineRule="auto" w:line="228"/>
              <w:jc w:val="center"/>
              <w:rPr/>
            </w:pPr>
            <w:r>
              <w:rPr>
                <w:sz w:val="17"/>
                <w:szCs w:val="17"/>
              </w:rPr>
              <w:t>0.105 to 0.193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+0.226</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0.779 / 0.732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p>
            <w:pPr>
              <w:pStyle w:val="Normal"/>
              <w:spacing w:lineRule="auto" w:line="228"/>
              <w:jc w:val="center"/>
              <w:rPr/>
            </w:pPr>
            <w:r>
              <w:rPr>
                <w:sz w:val="17"/>
                <w:szCs w:val="17"/>
              </w:rPr>
              <w:t>0.045 to 0.143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+0.065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0.816 / 0.826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p>
            <w:pPr>
              <w:pStyle w:val="Normal"/>
              <w:spacing w:lineRule="auto" w:line="228"/>
              <w:jc w:val="center"/>
              <w:rPr/>
            </w:pPr>
            <w:r>
              <w:rPr>
                <w:sz w:val="17"/>
                <w:szCs w:val="17"/>
              </w:rPr>
              <w:t>-0.010 to 0.052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0.694 / 0.721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-0.026 (0.021)</w:t>
            </w:r>
          </w:p>
          <w:p>
            <w:pPr>
              <w:pStyle w:val="Normal"/>
              <w:spacing w:lineRule="auto" w:line="228"/>
              <w:jc w:val="center"/>
              <w:rPr/>
            </w:pPr>
            <w:r>
              <w:rPr>
                <w:sz w:val="17"/>
                <w:szCs w:val="17"/>
              </w:rPr>
              <w:t>-0.054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-0.30</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0.620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0.731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0.810</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-0.064 (0.027)</w:t>
            </w:r>
          </w:p>
          <w:p>
            <w:pPr>
              <w:pStyle w:val="Normal"/>
              <w:spacing w:lineRule="auto" w:line="228"/>
              <w:jc w:val="center"/>
              <w:rPr/>
            </w:pPr>
            <w:r>
              <w:rPr>
                <w:sz w:val="17"/>
                <w:szCs w:val="17"/>
              </w:rPr>
              <w:t>-0.120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-0.086</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-0.066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0.594 / 0.625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0.689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0.693</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-0.095 (0.042)</w:t>
            </w:r>
          </w:p>
          <w:p>
            <w:pPr>
              <w:pStyle w:val="Normal"/>
              <w:spacing w:lineRule="auto" w:line="228"/>
              <w:jc w:val="center"/>
              <w:rPr/>
            </w:pPr>
            <w:r>
              <w:rPr>
                <w:sz w:val="17"/>
                <w:szCs w:val="17"/>
              </w:rPr>
              <w:t>-0.193 to -0.034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-1.00</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0.770 / 0.778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0.894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0.904</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-0.007 (0.025)</w:t>
            </w:r>
          </w:p>
          <w:p>
            <w:pPr>
              <w:pStyle w:val="Normal"/>
              <w:spacing w:lineRule="auto" w:line="228"/>
              <w:jc w:val="center"/>
              <w:rPr/>
            </w:pPr>
            <w:r>
              <w:rPr>
                <w:sz w:val="17"/>
                <w:szCs w:val="17"/>
              </w:rPr>
              <w:t>-0.053 to 0.030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-0.02</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(flows),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0.748 / 0.751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-0.022 (0.019)</w:t>
            </w:r>
          </w:p>
          <w:p>
            <w:pPr>
              <w:pStyle w:val="Normal"/>
              <w:spacing w:lineRule="auto" w:line="228"/>
              <w:jc w:val="center"/>
              <w:rPr/>
            </w:pPr>
            <w:r>
              <w:rPr>
                <w:sz w:val="17"/>
                <w:szCs w:val="17"/>
              </w:rPr>
              <w:t>-0.050 to 0.004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-0.044</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-0.45</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-0.031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0.799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0.885</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0.600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+0.265 (0.184)</w:t>
            </w:r>
          </w:p>
          <w:p>
            <w:pPr>
              <w:pStyle w:val="Normal"/>
              <w:spacing w:lineRule="auto" w:line="228"/>
              <w:jc w:val="center"/>
              <w:rPr/>
            </w:pPr>
            <w:r>
              <w:rPr>
                <w:sz w:val="17"/>
                <w:szCs w:val="17"/>
              </w:rPr>
              <w:t>0.040 to 0.616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+0.187</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+1.52</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+0.249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0.686 / 0.677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0.656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0.791</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0.608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+0.115 (0.120)</w:t>
            </w:r>
          </w:p>
          <w:p>
            <w:pPr>
              <w:pStyle w:val="Normal"/>
              <w:spacing w:lineRule="auto" w:line="228"/>
              <w:jc w:val="center"/>
              <w:rPr/>
            </w:pPr>
            <w:r>
              <w:rPr>
                <w:sz w:val="17"/>
                <w:szCs w:val="17"/>
              </w:rPr>
              <w:t>-0.019 to 0.305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+0.102</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+0.82</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+0.109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0.631 / 0.624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0.514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0.589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0.472</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+0.080 (0.132)</w:t>
            </w:r>
          </w:p>
          <w:p>
            <w:pPr>
              <w:pStyle w:val="Normal"/>
              <w:spacing w:lineRule="auto" w:line="228"/>
              <w:jc w:val="center"/>
              <w:rPr/>
            </w:pPr>
            <w:r>
              <w:rPr>
                <w:sz w:val="17"/>
                <w:szCs w:val="17"/>
              </w:rPr>
              <w:t>-0.097 to 0.356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+0.55</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0.782 / 0.784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0.889</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0.878</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+0.023 (0.031)</w:t>
            </w:r>
          </w:p>
          <w:p>
            <w:pPr>
              <w:pStyle w:val="Normal"/>
              <w:spacing w:lineRule="auto" w:line="228"/>
              <w:jc w:val="center"/>
              <w:rPr/>
            </w:pPr>
            <w:r>
              <w:rPr>
                <w:sz w:val="17"/>
                <w:szCs w:val="17"/>
              </w:rPr>
              <w:t>-0.043 to 0.060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+0.045</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+0.34</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Null (groups),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0.764 / 0.769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0.872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0.854</w:t>
            </w:r>
          </w:p>
        </w:tc>
        <w:tc>
          <w:tcPr>
            <w:tcW w:w="698" w:type="dxa"/>
            <w:tcBorders>
              <w:top w:val="single" w:sz="6" w:space="0" w:color="000000"/>
              <w:bottom w:val="single" w:sz="6" w:space="0" w:color="000000"/>
            </w:tcBorders>
            <w:vAlign w:val="center"/>
          </w:tcPr>
          <w:p>
            <w:pPr>
              <w:pStyle w:val="Normal"/>
              <w:spacing w:lineRule="auto" w:line="228"/>
              <w:jc w:val="center"/>
              <w:rPr/>
            </w:pPr>
            <w:r>
              <w:rPr>
                <w:sz w:val="17"/>
                <w:szCs w:val="17"/>
              </w:rPr>
              <w:t>0.880</w:t>
            </w:r>
          </w:p>
        </w:tc>
        <w:tc>
          <w:tcPr>
            <w:tcW w:w="1452" w:type="dxa"/>
            <w:tcBorders>
              <w:top w:val="single" w:sz="6" w:space="0" w:color="000000"/>
              <w:bottom w:val="single" w:sz="6" w:space="0" w:color="000000"/>
            </w:tcBorders>
            <w:vAlign w:val="center"/>
          </w:tcPr>
          <w:p>
            <w:pPr>
              <w:pStyle w:val="Normal"/>
              <w:spacing w:lineRule="auto" w:line="228"/>
              <w:jc w:val="center"/>
              <w:rPr/>
            </w:pPr>
            <w:r>
              <w:rPr>
                <w:sz w:val="17"/>
                <w:szCs w:val="17"/>
              </w:rPr>
              <w:t>-0.017 (0.025)</w:t>
            </w:r>
          </w:p>
          <w:p>
            <w:pPr>
              <w:pStyle w:val="Normal"/>
              <w:spacing w:lineRule="auto" w:line="228"/>
              <w:jc w:val="center"/>
              <w:rPr/>
            </w:pPr>
            <w:r>
              <w:rPr>
                <w:sz w:val="17"/>
                <w:szCs w:val="17"/>
              </w:rPr>
              <w:t>-0.053 to 0.022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-0.16</w:t>
            </w:r>
          </w:p>
        </w:tc>
        <w:tc>
          <w:tcPr>
            <w:tcW w:w="778"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r>
    </w:tbl>
    <w:p>
      <w:pPr>
        <w:pStyle w:val="Normal"/>
        <w:keepLines/>
        <w:spacing w:lineRule="auto" w:line="230" w:before="40" w:after="160"/>
        <w:jc w:val="both"/>
        <w:rPr/>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w:t>
      </w:r>
      <w:r>
        <w:rPr/>
      </w:r>
      <m:oMath xmlns:m="http://schemas.openxmlformats.org/officeDocument/2006/math">
        <m:r>
          <m:t xml:space="preserve">Δ</m:t>
        </m:r>
      </m:oMath>
      <w:r>
        <w:rPr>
          <w:sz w:val="17"/>
          <w:szCs w:val="17"/>
        </w:rPr>
        <w:t xml:space="preserve"> is the within value minus the cross value, averaged over repeats; SD and range describe its spread across repeats and are not standard errors. Half-model F1 is macro F1 on the repeat's test partition. Grouped designs keep whole k-means clusters (fitted within class on log(x + 2)-standardised features) in one half of the training partition; the calibrated design sets the number of clusters per class to that class's number of capture files (Section IV-D). Row-block designs keep whole blocks of consecutive rows of the original ARFF files (within class) in one half. The null design pools the flows of each class across contexts and reassigns them at random, without replacement, to pseudo-contexts with the original class counts. Rows marked Null (flows) apply a grouped design to those pseudo-contexts; rows marked Null (groups) build the pseudo-contexts from whole calibrated clusters or row blocks first, so their class counts match the original ones only approximately (Section IV-D). Random Forest half-models are explained on 800 test records per repeat (their macro F1 uses the full test partition).</w:t>
      </w:r>
    </w:p>
    <w:p>
      <w:pPr>
        <w:pStyle w:val="Normal"/>
        <w:keepNext w:val="true"/>
        <w:spacing w:before="160" w:after="60"/>
        <w:jc w:val="center"/>
        <w:rPr/>
      </w:pPr>
      <w:r>
        <w:rPr/>
        <w:drawing>
          <wp:inline distT="0" distB="0" distL="0" distR="0">
            <wp:extent cx="5715000" cy="4150360"/>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a:picLocks noChangeAspect="1" noChangeArrowheads="1"/>
                    </pic:cNvPicPr>
                  </pic:nvPicPr>
                  <pic:blipFill>
                    <a:blip r:embed="rId10"/>
                    <a:stretch>
                      <a:fillRect/>
                    </a:stretch>
                  </pic:blipFill>
                  <pic:spPr bwMode="auto">
                    <a:xfrm>
                      <a:off x="0" y="0"/>
                      <a:ext cx="5715000" cy="415036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w:r>
        <w:rPr/>
      </w:r>
      <m:oMath xmlns:m="http://schemas.openxmlformats.org/officeDocument/2006/math">
        <m:r>
          <m:t xml:space="preserve">Δ</m:t>
        </m:r>
      </m:oMath>
      <w:r>
        <w:rPr>
          <w:sz w:val="20"/>
          <w:szCs w:val="20"/>
        </w:rPr>
        <w:t xml:space="preserve"> under each design is given below its label. Values are dependent across repeats and are shown descriptively.</w:t>
      </w:r>
    </w:p>
    <w:p>
      <w:pPr>
        <w:pStyle w:val="Heading2"/>
        <w:keepNext w:val="true"/>
        <w:spacing w:before="180" w:after="80"/>
        <w:rPr/>
      </w:pPr>
      <w:r>
        <w:rPr/>
        <w:t>D. Class Composition</w:t>
      </w:r>
    </w:p>
    <w:p>
      <w:pPr>
        <w:pStyle w:val="Normal"/>
        <w:spacing w:lineRule="auto" w:line="264" w:before="0" w:after="100"/>
        <w:ind w:firstLine="284"/>
        <w:jc w:val="both"/>
        <w:rPr/>
      </w:pPr>
      <w:r>
        <w:rPr/>
        <w:t xml:space="preserve">Table VIII reports the class-mix swap. Resampling a context to the other context's class mix changes its own ranking only a little: a natural-mix and a swapped-mix model of the same context agree at </w:t>
      </w:r>
      <w:r>
        <w:rPr/>
      </w:r>
      <m:oMath xmlns:m="http://schemas.openxmlformats.org/officeDocument/2006/math">
        <m:r>
          <m:t xml:space="preserve">ρ</m:t>
        </m:r>
      </m:oMath>
      <w:r>
        <w:rPr/>
        <w:t xml:space="preserve"> = 0.924–0.977 (last column), and each stays close to its context's primary ranking (</w:t>
      </w:r>
      <w:r>
        <w:rPr/>
      </w:r>
      <m:oMath xmlns:m="http://schemas.openxmlformats.org/officeDocument/2006/math">
        <m:r>
          <m:t xml:space="preserve">ρ</m:t>
        </m:r>
      </m:oMath>
      <w:r>
        <w:rPr/>
        <w:t xml:space="preserve"> = 0.936–0.986). The swap does not bring a context materially closer to the other one. Agreement with the other context's primary ranking changes by +0.008, +0.017, -0.035, -0.007 for XGBoost (Non-VPN, VPN) and Random Forest (Non-VPN, VPN), against a cross-context gap of 0.13–0.19 under random halves. The two XGBoost changes are small moves toward the other context, smaller than the spread of the natural-mix models across draws (SD 0.012 and 0.024). The permutation null of Section VI-C, which keeps both class mixes and removes everything else, gives no XGBoost gap and a Random Forest gap of 0.03. Class-weighted importance leaves the gaps in place (Table VII).</w:t>
      </w:r>
    </w:p>
    <w:p>
      <w:pPr>
        <w:pStyle w:val="Normal"/>
        <w:spacing w:lineRule="auto" w:line="264" w:before="0" w:after="100"/>
        <w:ind w:firstLine="284"/>
        <w:jc w:val="both"/>
        <w:rPr/>
      </w:pPr>
      <w:r>
        <w:rPr/>
        <w:t xml:space="preserve">Class-matched training of XGBoost gives the same answer when it is compared with a reference of the same size. With 1,330 training flows per model, two disjoint natural-mix draws of one context agree at </w:t>
      </w:r>
      <w:r>
        <w:rPr/>
      </w:r>
      <m:oMath xmlns:m="http://schemas.openxmlformats.org/officeDocument/2006/math">
        <m:r>
          <m:t xml:space="preserve">ρ</m:t>
        </m:r>
      </m:oMath>
      <w:r>
        <w:rPr/>
        <w:t xml:space="preserve"> = 0.946 (Non-VPN) and 0.945 (VPN); natural-mix draws of differing contexts agree at 0.853 and class-matched draws at 0.857. The higher cross-context </w:t>
      </w:r>
      <w:r>
        <w:rPr/>
      </w:r>
      <m:oMath xmlns:m="http://schemas.openxmlformats.org/officeDocument/2006/math">
        <m:r>
          <m:t xml:space="preserve">ρ</m:t>
        </m:r>
      </m:oMath>
      <w:r>
        <w:rPr/>
        <w:t xml:space="preserve"> of small matched training sets (approximately 0.85, compared with 0.786 for the full-size XGBoost models and 0.825 between their random halves) is therefore a characteristic of small training sets, which agree more closely with everything, and not evidence that class mix explains the discrepancy: at this size the within-minus-cross gap is still 0.09 with natural mixes. Two matched draws from Non-VPN share all 190 MAIL flows, so their agreement (0.971) is not used as a reference.</w:t>
      </w:r>
    </w:p>
    <w:p>
      <w:pPr>
        <w:pStyle w:val="Normal"/>
        <w:keepNext w:val="true"/>
        <w:spacing w:lineRule="auto" w:line="240" w:before="200" w:after="0"/>
        <w:jc w:val="center"/>
        <w:rPr/>
      </w:pPr>
      <w:r>
        <w:rPr>
          <w:sz w:val="20"/>
          <w:szCs w:val="20"/>
        </w:rPr>
        <w:t>TABLE VIII</w:t>
      </w:r>
    </w:p>
    <w:p>
      <w:pPr>
        <w:pStyle w:val="Normal"/>
        <w:keepNext w:val="true"/>
        <w:spacing w:lineRule="auto" w:line="240" w:before="0" w:after="80"/>
        <w:jc w:val="center"/>
        <w:rPr/>
      </w:pPr>
      <w:r>
        <w:rPr>
          <w:sz w:val="20"/>
          <w:szCs w:val="20"/>
        </w:rPr>
        <w:t>Class-mix swap: models trained on 3,400 flows with their own or the other context's class proportions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750"/>
        <w:gridCol w:w="1198"/>
        <w:gridCol w:w="1150"/>
        <w:gridCol w:w="1250"/>
        <w:gridCol w:w="1250"/>
        <w:gridCol w:w="1251"/>
        <w:gridCol w:w="1177"/>
      </w:tblGrid>
      <w:tr>
        <w:trPr>
          <w:tblHeader w:val="true"/>
          <w:cantSplit w:val="true"/>
        </w:trPr>
        <w:tc>
          <w:tcPr>
            <w:tcW w:w="17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98" w:type="dxa"/>
            <w:tcBorders>
              <w:top w:val="single" w:sz="6" w:space="0" w:color="000000"/>
              <w:bottom w:val="single" w:sz="6" w:space="0" w:color="000000"/>
            </w:tcBorders>
            <w:vAlign w:val="center"/>
          </w:tcPr>
          <w:p>
            <w:pPr>
              <w:pStyle w:val="Normal"/>
              <w:spacing w:lineRule="auto" w:line="228"/>
              <w:jc w:val="center"/>
              <w:rPr/>
            </w:pPr>
            <w:r>
              <w:rPr>
                <w:b/>
                <w:bCs/>
                <w:sz w:val="17"/>
                <w:szCs w:val="17"/>
              </w:rPr>
              <w:t>Training mix</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own</w:t>
            </w:r>
          </w:p>
          <w:p>
            <w:pPr>
              <w:pStyle w:val="Normal"/>
              <w:spacing w:lineRule="auto" w:line="228"/>
              <w:jc w:val="center"/>
              <w:rPr/>
            </w:pPr>
            <w:r>
              <w:rPr>
                <w:b/>
                <w:bCs/>
                <w:sz w:val="17"/>
                <w:szCs w:val="17"/>
              </w:rPr>
              <w:t>primary ranking</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other</w:t>
            </w:r>
          </w:p>
          <w:p>
            <w:pPr>
              <w:pStyle w:val="Normal"/>
              <w:spacing w:lineRule="auto" w:line="228"/>
              <w:jc w:val="center"/>
              <w:rPr/>
            </w:pPr>
            <w:r>
              <w:rPr>
                <w:b/>
                <w:bCs/>
                <w:sz w:val="17"/>
                <w:szCs w:val="17"/>
              </w:rPr>
              <w:t>context's ranking</w:t>
            </w:r>
          </w:p>
        </w:tc>
        <w:tc>
          <w:tcPr>
            <w:tcW w:w="1251" w:type="dxa"/>
            <w:tcBorders>
              <w:top w:val="single" w:sz="6" w:space="0" w:color="000000"/>
              <w:bottom w:val="single" w:sz="6" w:space="0" w:color="000000"/>
            </w:tcBorders>
            <w:vAlign w:val="center"/>
          </w:tcPr>
          <w:p>
            <w:pPr>
              <w:pStyle w:val="Normal"/>
              <w:spacing w:lineRule="auto" w:line="228"/>
              <w:jc w:val="center"/>
              <w:rPr/>
            </w:pPr>
            <w:r>
              <w:rPr>
                <w:b/>
                <w:bCs/>
                <w:sz w:val="17"/>
                <w:szCs w:val="17"/>
              </w:rPr>
              <w:t>RBO with other</w:t>
            </w:r>
          </w:p>
          <w:p>
            <w:pPr>
              <w:pStyle w:val="Normal"/>
              <w:spacing w:lineRule="auto" w:line="228"/>
              <w:jc w:val="center"/>
              <w:rPr/>
            </w:pPr>
            <w:r>
              <w:rPr>
                <w:b/>
                <w:bCs/>
                <w:sz w:val="17"/>
                <w:szCs w:val="17"/>
              </w:rPr>
              <w:t>context's ranking</w:t>
            </w:r>
          </w:p>
        </w:tc>
        <w:tc>
          <w:tcPr>
            <w:tcW w:w="11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natural vs</w:t>
            </w:r>
          </w:p>
          <w:p>
            <w:pPr>
              <w:pStyle w:val="Normal"/>
              <w:spacing w:lineRule="auto" w:line="228"/>
              <w:jc w:val="center"/>
              <w:rPr/>
            </w:pPr>
            <w:r>
              <w:rPr>
                <w:b/>
                <w:bCs/>
                <w:sz w:val="17"/>
                <w:szCs w:val="17"/>
              </w:rPr>
              <w:t>swapped</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0.922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0.977 (0.011)</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0.823 (0.012)</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0.681 (0.012)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0.925 (0.005)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0.971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0.831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0.700 (0.032)</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0.977 (0.004)</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0.859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0.986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0.781 (0.024)</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0.775 (0.038)</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0.980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0.797 (0.015)</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0.787 (0.031)</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(0.011)</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0.895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0.983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0.799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0.576 (0.019)</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0.898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0.936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0.765 (0.009)</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0.553 (0.023)</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0.924 (0.009)</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0.979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0.837 (0.022)</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0.581 (0.002)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8"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0.808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0.966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 (0.017)</w:t>
            </w:r>
          </w:p>
        </w:tc>
        <w:tc>
          <w:tcPr>
            <w:tcW w:w="1251" w:type="dxa"/>
            <w:tcBorders>
              <w:top w:val="single" w:sz="6" w:space="0" w:color="000000"/>
              <w:bottom w:val="single" w:sz="6" w:space="0" w:color="000000"/>
            </w:tcBorders>
            <w:vAlign w:val="center"/>
          </w:tcPr>
          <w:p>
            <w:pPr>
              <w:pStyle w:val="Normal"/>
              <w:spacing w:lineRule="auto" w:line="228"/>
              <w:jc w:val="center"/>
              <w:rPr/>
            </w:pPr>
            <w:r>
              <w:rPr>
                <w:sz w:val="17"/>
                <w:szCs w:val="17"/>
              </w:rPr>
              <w:t>0.610 (0.040)</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(0.022)</w:t>
            </w:r>
          </w:p>
        </w:tc>
      </w:tr>
    </w:tbl>
    <w:p>
      <w:pPr>
        <w:pStyle w:val="Normal"/>
        <w:keepLines/>
        <w:spacing w:lineRule="auto" w:line="230" w:before="40" w:after="160"/>
        <w:jc w:val="both"/>
        <w:rPr/>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pPr>
        <w:pStyle w:val="Heading2"/>
        <w:keepNext w:val="true"/>
        <w:spacing w:before="180" w:after="80"/>
        <w:rPr/>
      </w:pPr>
      <w:r>
        <w:rPr/>
        <w:t>E. The Minimum Inter-Arrival-Time Shifts</w:t>
      </w:r>
    </w:p>
    <w:p>
      <w:pPr>
        <w:pStyle w:val="Normal"/>
        <w:spacing w:lineRule="auto" w:line="264" w:before="0" w:after="100"/>
        <w:ind w:firstLine="284"/>
        <w:jc w:val="both"/>
        <w:rPr/>
      </w:pPr>
      <w:r>
        <w:rPr/>
        <w:t>The features that move most between contexts are the three minimum IATs. Because they are moderately correlated, a SHAP shift among them could reflect credit passing between features that the model treats as substitutes. We tested this in four ways (Table IX).</w:t>
      </w:r>
    </w:p>
    <w:p>
      <w:pPr>
        <w:pStyle w:val="Normal"/>
        <w:spacing w:lineRule="auto" w:line="264" w:before="0" w:after="100"/>
        <w:ind w:firstLine="284"/>
        <w:jc w:val="both"/>
        <w:rPr/>
      </w:pPr>
      <w:r>
        <w:rPr>
          <w:i/>
          <w:iCs/>
        </w:rPr>
        <w:t>Combined share.</w:t>
      </w:r>
      <w:r>
        <w:rP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block's combined SHAP share rises by about six percentage points under VPN.</w:t>
      </w:r>
    </w:p>
    <w:p>
      <w:pPr>
        <w:pStyle w:val="Normal"/>
        <w:spacing w:lineRule="auto" w:line="264" w:before="0" w:after="100"/>
        <w:ind w:firstLine="284"/>
        <w:jc w:val="both"/>
        <w:rPr/>
      </w:pPr>
      <w:r>
        <w:rPr/>
        <w:t xml:space="preserve">Drop-one and grouped retraining. Dropping any one of the three and retraining changes macro F1 by +0.001 to -0.016, whereas dropping all three costs 0.012–0.028. As a group, the minimum IATs carry information that the other features lack, but individually they partly substitute for one another, so dropping one shifts credit to the others. In the VPN Random Forest, for example, dropping min_fiat raises the shares of min_flowiat and min_biat by 1.6 and 0.8 percentage points more than renormalising the remaining shares after the loss of min_fiat's 8.2% would give (2.2 and 1.5 points before that correction). In the Non-VPN XGBoost, dropping min_flowiat moves min_biat from 10th to 5th place. With all three dropped, the remaining 20 features have cross-context </w:t>
      </w:r>
      <w:r>
        <w:rPr/>
      </w:r>
      <m:oMath xmlns:m="http://schemas.openxmlformats.org/officeDocument/2006/math">
        <m:r>
          <m:t xml:space="preserve">ρ</m:t>
        </m:r>
      </m:oMath>
      <w:r>
        <w:rPr/>
        <w:t xml:space="preserve"> of 0.890 (Random Forest) and 0.833 (XGBoost), so the disagreement between contexts is not confined to the three minima.</w:t>
      </w:r>
    </w:p>
    <w:p>
      <w:pPr>
        <w:pStyle w:val="Normal"/>
        <w:spacing w:lineRule="auto" w:line="264" w:before="0" w:after="100"/>
        <w:ind w:firstLine="284"/>
        <w:jc w:val="both"/>
        <w:rPr/>
      </w:pPr>
      <w:r>
        <w:rPr/>
        <w:t xml:space="preserve">Permutation importance. Permutation importance on the test partitions, measured in the decrease of the macro F1, does not obey the Shapley rules, but it is not a neutral reference either: with dependent features, it evaluates the model at feature combinations that do not occur in the data [34]. We therefore also report a simplified conditional variant inspired by [36], which permutes each feature only within the cells formed by the training-data quintiles of the two features most correlated with it (absolute Spearman correlation on the training partition).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XGBoost. These statements concern the minimum IATs. Over the whole ranking, permutation importance agrees less across contexts than SHAP does: cross-context </w:t>
      </w:r>
      <w:r>
        <w:rPr/>
      </w:r>
      <m:oMath xmlns:m="http://schemas.openxmlformats.org/officeDocument/2006/math">
        <m:r>
          <m:t xml:space="preserve">ρ</m:t>
        </m:r>
      </m:oMath>
      <w:r>
        <w:rPr/>
        <w:t xml:space="preserve"> is 0.523 (Random Forest) and 0.695 (XGBoost) for marginal and 0.618 and 0.557 for conditional permutation importance, against 0.830 and 0.786 for SHAP. Here negative permutation importances are set to zero and tied features receive their average rank; for Random Forest, 10 of the 23 features are tied at zero in each context under marginal permutation, and 9 and 12 under conditional permutation. Without setting negative values to zero, the four values are 0.590, 0.669, 0.565 and 0.563.</w:t>
      </w:r>
    </w:p>
    <w:p>
      <w:pPr>
        <w:pStyle w:val="Normal"/>
        <w:spacing w:lineRule="auto" w:line="264" w:before="0" w:after="100"/>
        <w:ind w:firstLine="284"/>
        <w:jc w:val="both"/>
        <w:rPr/>
      </w:pPr>
      <w:r>
        <w:rPr/>
        <w:t>Entries below -1. All entries below -1 in the data are negative min_flowiat values. There are 55 Non-VPN training flows (43 of them FT) and 43 VPN training flows (22 P2P). A negative gap between consecutive packets is impossible, so these values are probably timestamp errors. The test partitions hold 17 and 12 such flows, which account for 0.6% and 0.5% of the min_flowiat attribution of the Random Forest models (1.0% and 0.6% for XGBoost). When they are omitted from training, the rankings stay virtually unaltered (</w:t>
      </w:r>
      <w:r>
        <w:rPr/>
      </w:r>
      <m:oMath xmlns:m="http://schemas.openxmlformats.org/officeDocument/2006/math">
        <m:r>
          <m:t xml:space="preserve">ρ</m:t>
        </m:r>
      </m:oMath>
      <w:r>
        <w:rPr/>
        <w:t xml:space="preserve"> with the main ranking 0.986–0.997), so they are not responsible for the minimum-IAT changes.</w:t>
      </w:r>
    </w:p>
    <w:p>
      <w:pPr>
        <w:pStyle w:val="Normal"/>
        <w:spacing w:lineRule="auto" w:line="264" w:before="0" w:after="100"/>
        <w:ind w:firstLine="284"/>
        <w:jc w:val="both"/>
        <w:rPr/>
      </w:pPr>
      <w:r>
        <w:rPr/>
        <w:t>In other words, the minimum IATs are important as a group. For XGBoost, the block maintains its combined share and the visible SHAP shift is largely a redistribution of credit between the correlated timing features. For Random Forest, credit is redistributed within the block and the block's combined SHAP share also rises under VPN, but the measures based on predictive performance do not show greater reliance on it: permuting the three minima together costs 0.168 macro F1 without a VPN and 0.155 with one, and dropping them and retraining costs 0.028 and 0.012. The SHAP share and these measures therefore disagree on whether the Random Forest relies more on the block under VPN. Permutation-based measures move the minimum IATs less than SHAP does for both models, although their whole rankings differ more between contexts, and the remaining differences cannot be attributed to tunnelling, as the data cannot distinguish tunnelling from differences between capture sessions.</w:t>
      </w:r>
    </w:p>
    <w:p>
      <w:pPr>
        <w:pStyle w:val="Normal"/>
        <w:keepNext w:val="true"/>
        <w:spacing w:lineRule="auto" w:line="240" w:before="200" w:after="0"/>
        <w:jc w:val="center"/>
        <w:rPr/>
      </w:pPr>
      <w:r>
        <w:rPr>
          <w:sz w:val="20"/>
          <w:szCs w:val="20"/>
        </w:rPr>
        <w:t>TABLE IX</w:t>
      </w:r>
    </w:p>
    <w:p>
      <w:pPr>
        <w:pStyle w:val="Normal"/>
        <w:keepNext w:val="true"/>
        <w:spacing w:lineRule="auto" w:line="240" w:before="0" w:after="80"/>
        <w:jc w:val="center"/>
        <w:rPr/>
      </w:pPr>
      <w:r>
        <w:rPr>
          <w:sz w:val="20"/>
          <w:szCs w:val="20"/>
        </w:rPr>
        <w:t>Checks on the minimum-IAT features: combined share, retraining without them and permutation importance</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250"/>
        <w:gridCol w:w="1150"/>
        <w:gridCol w:w="899"/>
        <w:gridCol w:w="799"/>
        <w:gridCol w:w="802"/>
        <w:gridCol w:w="948"/>
        <w:gridCol w:w="802"/>
        <w:gridCol w:w="1375"/>
        <w:gridCol w:w="1001"/>
      </w:tblGrid>
      <w:tr>
        <w:trPr>
          <w:tblHeader w:val="true"/>
          <w:cantSplit w:val="true"/>
        </w:trPr>
        <w:tc>
          <w:tcPr>
            <w:tcW w:w="12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ranks</w:t>
            </w:r>
          </w:p>
          <w:p>
            <w:pPr>
              <w:pStyle w:val="Normal"/>
              <w:spacing w:lineRule="auto" w:line="228"/>
              <w:jc w:val="center"/>
              <w:rPr/>
            </w:pPr>
            <w:r>
              <w:rPr>
                <w:b/>
                <w:bCs/>
                <w:sz w:val="17"/>
                <w:szCs w:val="17"/>
              </w:rPr>
              <w:t>fiat / biat / flowiat</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share of</w:t>
            </w:r>
          </w:p>
          <w:p>
            <w:pPr>
              <w:pStyle w:val="Normal"/>
              <w:spacing w:lineRule="auto" w:line="228"/>
              <w:jc w:val="center"/>
              <w:rPr/>
            </w:pPr>
            <w:r>
              <w:rPr>
                <w:b/>
                <w:bCs/>
                <w:sz w:val="17"/>
                <w:szCs w:val="17"/>
              </w:rPr>
              <w:t>the three (%)</w:t>
            </w:r>
          </w:p>
        </w:tc>
        <w:tc>
          <w:tcPr>
            <w:tcW w:w="79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min_fiat</w:t>
            </w:r>
          </w:p>
        </w:tc>
        <w:tc>
          <w:tcPr>
            <w:tcW w:w="802"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min_biat</w:t>
            </w:r>
          </w:p>
        </w:tc>
        <w:tc>
          <w:tcPr>
            <w:tcW w:w="94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min_flowiat</w:t>
            </w:r>
          </w:p>
        </w:tc>
        <w:tc>
          <w:tcPr>
            <w:tcW w:w="802"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all three</w:t>
            </w:r>
          </w:p>
        </w:tc>
        <w:tc>
          <w:tcPr>
            <w:tcW w:w="1375" w:type="dxa"/>
            <w:tcBorders>
              <w:top w:val="single" w:sz="6" w:space="0" w:color="000000"/>
              <w:bottom w:val="single" w:sz="6" w:space="0" w:color="000000"/>
            </w:tcBorders>
            <w:vAlign w:val="center"/>
          </w:tcPr>
          <w:p>
            <w:pPr>
              <w:pStyle w:val="Normal"/>
              <w:spacing w:lineRule="auto" w:line="228"/>
              <w:jc w:val="center"/>
              <w:rPr/>
            </w:pPr>
            <w:r>
              <w:rPr>
                <w:b/>
                <w:bCs/>
                <w:sz w:val="17"/>
                <w:szCs w:val="17"/>
              </w:rPr>
              <w:t>Permutation ranks</w:t>
            </w:r>
          </w:p>
          <w:p>
            <w:pPr>
              <w:pStyle w:val="Normal"/>
              <w:spacing w:lineRule="auto" w:line="228"/>
              <w:jc w:val="center"/>
              <w:rPr/>
            </w:pPr>
            <w:r>
              <w:rPr>
                <w:b/>
                <w:bCs/>
                <w:sz w:val="17"/>
                <w:szCs w:val="17"/>
              </w:rPr>
              <w:t>marginal / conditional</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joint</w:t>
            </w:r>
          </w:p>
          <w:p>
            <w:pPr>
              <w:pStyle w:val="Normal"/>
              <w:spacing w:lineRule="auto" w:line="228"/>
              <w:jc w:val="center"/>
              <w:rPr/>
            </w:pPr>
            <w:r>
              <w:rPr>
                <w:b/>
                <w:bCs/>
                <w:sz w:val="17"/>
                <w:szCs w:val="17"/>
              </w:rPr>
              <w:t>permutation</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11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17.0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4 / 3 / 2</w:t>
            </w:r>
          </w:p>
          <w:p>
            <w:pPr>
              <w:pStyle w:val="Normal"/>
              <w:spacing w:lineRule="auto" w:line="228"/>
              <w:jc w:val="center"/>
              <w:rPr/>
            </w:pPr>
            <w:r>
              <w:rPr>
                <w:sz w:val="17"/>
                <w:szCs w:val="17"/>
              </w:rPr>
              <w:t>4 / 3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-0.168</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3 / 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23.3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8"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2 / 4</w:t>
            </w:r>
          </w:p>
          <w:p>
            <w:pPr>
              <w:pStyle w:val="Normal"/>
              <w:spacing w:lineRule="auto" w:line="228"/>
              <w:jc w:val="center"/>
              <w:rPr/>
            </w:pPr>
            <w:r>
              <w:rPr>
                <w:sz w:val="17"/>
                <w:szCs w:val="17"/>
              </w:rPr>
              <w:t>3 / 2 / 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-0.155</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4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26.3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0.000</w:t>
            </w:r>
          </w:p>
        </w:tc>
        <w:tc>
          <w:tcPr>
            <w:tcW w:w="94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5 / 2</w:t>
            </w:r>
          </w:p>
          <w:p>
            <w:pPr>
              <w:pStyle w:val="Normal"/>
              <w:spacing w:lineRule="auto" w:line="228"/>
              <w:jc w:val="center"/>
              <w:rPr/>
            </w:pPr>
            <w:r>
              <w:rPr>
                <w:sz w:val="17"/>
                <w:szCs w:val="17"/>
              </w:rPr>
              <w:t>3 / 4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-0.326</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4 / 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24.7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948"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2" w:type="dxa"/>
            <w:tcBorders>
              <w:top w:val="single" w:sz="6" w:space="0" w:color="000000"/>
              <w:bottom w:val="single" w:sz="6" w:space="0" w:color="000000"/>
            </w:tcBorders>
            <w:vAlign w:val="center"/>
          </w:tcPr>
          <w:p>
            <w:pPr>
              <w:pStyle w:val="Normal"/>
              <w:spacing w:lineRule="auto" w:line="228"/>
              <w:jc w:val="center"/>
              <w:rPr/>
            </w:pPr>
            <w:r>
              <w:rPr>
                <w:sz w:val="17"/>
                <w:szCs w:val="17"/>
              </w:rPr>
              <w:t>-0.024</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2 / 4 / 6</w:t>
            </w:r>
          </w:p>
          <w:p>
            <w:pPr>
              <w:pStyle w:val="Normal"/>
              <w:spacing w:lineRule="auto" w:line="228"/>
              <w:jc w:val="center"/>
              <w:rPr/>
            </w:pPr>
            <w:r>
              <w:rPr>
                <w:sz w:val="17"/>
                <w:szCs w:val="17"/>
              </w:rPr>
              <w:t>2 / 4 / 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-0.267</w:t>
            </w:r>
          </w:p>
        </w:tc>
      </w:tr>
    </w:tbl>
    <w:p>
      <w:pPr>
        <w:pStyle w:val="Normal"/>
        <w:keepLines/>
        <w:spacing w:lineRule="auto" w:line="230" w:before="40" w:after="160"/>
        <w:jc w:val="both"/>
        <w:rPr/>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w:r>
        <w:rPr/>
      </w:r>
      <m:oMath xmlns:m="http://schemas.openxmlformats.org/officeDocument/2006/math">
        <m:r>
          <m:t xml:space="preserve">Δ</m:t>
        </m:r>
      </m:oMath>
      <w:r>
        <w:rPr>
          <w:sz w:val="17"/>
          <w:szCs w:val="17"/>
        </w:rPr>
        <w:t>F1 is the change in macro F1 after retraining without the listed feature(s), or after permuting all three minima together in the test partition (mean of 10 permutations). Permutation ranks use macro F1 and 10 repeats; the conditional version permutes within cells formed by the training-data quintiles of each feature's two most correlated features.</w:t>
      </w:r>
    </w:p>
    <w:p>
      <w:pPr>
        <w:pStyle w:val="Heading2"/>
        <w:keepNext w:val="true"/>
        <w:spacing w:before="180" w:after="80"/>
        <w:rPr/>
      </w:pPr>
      <w:r>
        <w:rPr/>
        <w:t>F. Why VPN Rankings Look Steadier</w:t>
      </w:r>
    </w:p>
    <w:p>
      <w:pPr>
        <w:pStyle w:val="Normal"/>
        <w:spacing w:lineRule="auto" w:line="264" w:before="0" w:after="100"/>
        <w:ind w:firstLine="284"/>
        <w:jc w:val="both"/>
        <w:rPr/>
      </w:pPr>
      <w:r>
        <w:rPr/>
        <w:t>Under flow-level random halves, VPN rankings agree with each other more closely than Non-VPN rankings do (XGBoost 0.964 against 0.943; Random Forest 0.976 against 0.928), even though VPN accuracy is lower. This trend inverts under cluster grouping. With clusters of approximately 140 flows, within-VPN agreement falls below within-Non-VPN agreement for both models (0.740 against 0.804, and 0.431 against 0.612), and Random Forest reverses the trend at about ten flows per cluster. With blocks of consecutive rows, within-VPN rankings are again the steadier ones (calibrated blocks: 0.942 against 0.919 for XGBoost, 0.906 against 0.884 for Random Forest). Row blocks are, however, the weaker proxy in four VPN classes: adjacent rows of VPN FT, MAIL, P2P and VOIP are nearly as different as random rows (Section IV-D), so the blocks may keep fewer related VPN flows together than intended. Which context gives the steadier rankings therefore depends on the grouping, and neither proxy settles it. The capture counts of Section IV-D suggest one reason for the steadier VPN rankings under random halves: a VPN capture contributes several-fold more flows than a Non-VPN capture, hence random halves of VPN data share more related flows. Part of the apparent steadiness of the VPN explanations may therefore stem from redundancy among related VPN flows rather than from any stability of the VPN explanation itself. Class balance may contribute as well: the rarest VPN class holds 4.6% of the training flows, against 2.7% for Non-VPN MAIL, and rare classes give noisier attributions.</w:t>
      </w:r>
    </w:p>
    <w:p>
      <w:pPr>
        <w:pStyle w:val="Heading1"/>
        <w:keepNext w:val="true"/>
        <w:spacing w:before="280" w:after="120"/>
        <w:jc w:val="center"/>
        <w:rPr/>
      </w:pPr>
      <w:r>
        <w:rPr/>
        <w:t>VII. AGGREGATED FEATURE-FAMILY IMPORTANCE</w:t>
      </w:r>
    </w:p>
    <w:p>
      <w:pPr>
        <w:pStyle w:val="Normal"/>
        <w:spacing w:lineRule="auto" w:line="264" w:before="0" w:after="100"/>
        <w:ind w:firstLine="284"/>
        <w:jc w:val="both"/>
        <w:rPr/>
      </w:pPr>
      <w:r>
        <w:rP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pPr>
        <w:pStyle w:val="Normal"/>
        <w:keepNext w:val="true"/>
        <w:spacing w:lineRule="auto" w:line="240" w:before="200" w:after="0"/>
        <w:jc w:val="center"/>
        <w:rPr/>
      </w:pPr>
      <w:r>
        <w:rPr>
          <w:sz w:val="20"/>
          <w:szCs w:val="20"/>
        </w:rPr>
        <w:t>TABLE X</w:t>
      </w:r>
    </w:p>
    <w:p>
      <w:pPr>
        <w:pStyle w:val="Normal"/>
        <w:keepNext w:val="true"/>
        <w:spacing w:lineRule="auto" w:line="240" w:before="0" w:after="80"/>
        <w:jc w:val="center"/>
        <w:rPr/>
      </w:pPr>
      <w:r>
        <w:rPr>
          <w:sz w:val="20"/>
          <w:szCs w:val="20"/>
        </w:rPr>
        <w:t>Aggregated feature-family importance shares (%) of the primary fits, with ranks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026"/>
        <w:gridCol w:w="1498"/>
        <w:gridCol w:w="1500"/>
        <w:gridCol w:w="1500"/>
        <w:gridCol w:w="1502"/>
      </w:tblGrid>
      <w:tr>
        <w:trPr>
          <w:tblHeader w:val="true"/>
          <w:cantSplit w:val="true"/>
        </w:trPr>
        <w:tc>
          <w:tcPr>
            <w:tcW w:w="3026" w:type="dxa"/>
            <w:tcBorders>
              <w:top w:val="single" w:sz="6" w:space="0" w:color="000000"/>
              <w:bottom w:val="single" w:sz="6" w:space="0" w:color="000000"/>
            </w:tcBorders>
            <w:vAlign w:val="center"/>
          </w:tcPr>
          <w:p>
            <w:pPr>
              <w:pStyle w:val="Normal"/>
              <w:spacing w:lineRule="auto" w:line="228"/>
              <w:rPr/>
            </w:pPr>
            <w:r>
              <w:rPr>
                <w:b/>
                <w:bCs/>
                <w:sz w:val="17"/>
                <w:szCs w:val="17"/>
              </w:rPr>
              <w:t>Family (members)</w:t>
            </w:r>
          </w:p>
        </w:tc>
        <w:tc>
          <w:tcPr>
            <w:tcW w:w="1498"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1502"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Directional IAT (8)</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43.07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45.73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37.51 (1)</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42.63 (1)</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IAT (4)</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23.00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22.18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28.23 (2)</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25.30 (2)</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throughput (2)</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12.08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15.68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19.81 (3)</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16.66 (3)</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duration (1)</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6.29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5.82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5.43 (5)</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6.58 (4)</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Active period (4)</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6.76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3.71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6.52 (4)</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3.81 (6)</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Idle period (4)</w:t>
            </w:r>
          </w:p>
        </w:tc>
        <w:tc>
          <w:tcPr>
            <w:tcW w:w="1498" w:type="dxa"/>
            <w:tcBorders>
              <w:top w:val="single" w:sz="6" w:space="0" w:color="000000"/>
              <w:bottom w:val="single" w:sz="6" w:space="0" w:color="000000"/>
            </w:tcBorders>
            <w:vAlign w:val="center"/>
          </w:tcPr>
          <w:p>
            <w:pPr>
              <w:pStyle w:val="Normal"/>
              <w:spacing w:lineRule="auto" w:line="228"/>
              <w:jc w:val="center"/>
              <w:rPr/>
            </w:pPr>
            <w:r>
              <w:rPr>
                <w:sz w:val="17"/>
                <w:szCs w:val="17"/>
              </w:rPr>
              <w:t>8.80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6.88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2.50 (6)</w:t>
            </w:r>
          </w:p>
        </w:tc>
        <w:tc>
          <w:tcPr>
            <w:tcW w:w="1502" w:type="dxa"/>
            <w:tcBorders>
              <w:top w:val="single" w:sz="6" w:space="0" w:color="000000"/>
              <w:bottom w:val="single" w:sz="6" w:space="0" w:color="000000"/>
            </w:tcBorders>
            <w:vAlign w:val="center"/>
          </w:tcPr>
          <w:p>
            <w:pPr>
              <w:pStyle w:val="Normal"/>
              <w:spacing w:lineRule="auto" w:line="228"/>
              <w:jc w:val="center"/>
              <w:rPr/>
            </w:pPr>
            <w:r>
              <w:rPr>
                <w:sz w:val="17"/>
                <w:szCs w:val="17"/>
              </w:rPr>
              <w:t>5.03 (5)</w:t>
            </w:r>
          </w:p>
        </w:tc>
      </w:tr>
    </w:tbl>
    <w:p>
      <w:pPr>
        <w:pStyle w:val="Normal"/>
        <w:keepLines/>
        <w:spacing w:lineRule="auto" w:line="230" w:before="40" w:after="160"/>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pPr>
        <w:pStyle w:val="Normal"/>
        <w:spacing w:lineRule="auto" w:line="264" w:before="0" w:after="100"/>
        <w:ind w:firstLine="284"/>
        <w:jc w:val="both"/>
        <w:rPr/>
      </w:pPr>
      <w:r>
        <w:rPr>
          <w:lang w:val="en-US"/>
        </w:rPr>
        <w:t xml:space="preserve">How stable the family summary looks depends on how features are grouped. With importance summed over the six semantic families, the half-split gap is 0.112 for Random Forest and 0.075 for XGBoost, below the feature-level gaps. Six-family rankings are coarse, though: swapping one adjacent pair changes </w:t>
      </w:r>
      <w:r>
        <w:rPr/>
      </w:r>
      <m:oMath xmlns:m="http://schemas.openxmlformats.org/officeDocument/2006/math">
        <m:r>
          <m:t xml:space="preserve">ρ</m:t>
        </m:r>
      </m:oMath>
      <w:r>
        <w:rPr>
          <w:lang w:val="en-US"/>
        </w:rPr>
        <w:t xml:space="preserve"> by about 0.06. The eight-member directional family ranks first in every comparison, partly because it is the largest.</w:t>
      </w:r>
    </w:p>
    <w:p>
      <w:pPr>
        <w:pStyle w:val="Normal"/>
        <w:spacing w:lineRule="auto" w:line="264" w:before="0" w:after="100"/>
        <w:ind w:firstLine="284"/>
        <w:jc w:val="both"/>
        <w:rPr/>
      </w:pPr>
      <w:r>
        <w:rPr>
          <w:lang w:val="en-US"/>
        </w:rPr>
        <w:t>When ranked by mean importance per member, the gaps are 0.149 for Random Forest and 0.064 for XGBoost, with throughput or duration as the leading family. Moving total_fiat and total_biat into a duration-and-totals family produces gaps of 0.096 for Random Forest and 0.088 for XGBoost. This regrouping changes the primary summary: the shares of the three leading families on Non-VPN data are within 2.15 percentage points of one another for Random Forest, while Flow IAT leads for XGBoost without a VPN and Directional IAT leads with a VPN. The eight data-driven clusters give gaps of 0.096 for Random Forest and 0.099 for XGBoost. For XGBoost this is larger than every semantic-family gap (0.064–0.088), which fits with the three minimum IATs staying in separate clusters; for Random Forest it is not (0.096–0.149 under the semantic groupings).</w:t>
      </w:r>
    </w:p>
    <w:p>
      <w:pPr>
        <w:pStyle w:val="Normal"/>
        <w:spacing w:lineRule="auto" w:line="264" w:before="0" w:after="100"/>
        <w:ind w:firstLine="284"/>
        <w:jc w:val="both"/>
        <w:rPr/>
      </w:pPr>
      <w:r>
        <w:rPr>
          <w:lang w:val="en-US"/>
        </w:rPr>
        <w:t>Grouping the training data affects family-level gaps differently from feature-level gaps. For Random Forest, the summed-family gap decreases from 0.112 to +0.005 with clusters of approximately ten flows. For XGBoost,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pPr>
        <w:pStyle w:val="Normal"/>
        <w:spacing w:lineRule="auto" w:line="264" w:before="0" w:after="100"/>
        <w:ind w:firstLine="284"/>
        <w:jc w:val="both"/>
        <w:rPr/>
      </w:pPr>
      <w:r>
        <w:rPr>
          <w:lang w:val="en-US"/>
        </w:rPr>
        <w:t>Under fine grouping, then, part of the XGBoost difference between contexts persists at the family level although it shrinks at the level of single features. With clusters of about 35 flows or the calibrated grouping, the XGBoost family gap falls as well (0.014 and +0.016). Redundancy among related flows therefore does not explain the XGBoost family-level difference at the finest grouping, though it may at coarser ones. When we say that grouping reduces the gap, we mean the feature-level gap, and a family summary should be read together with its grouping rule and family sizes.</w:t>
      </w:r>
    </w:p>
    <w:p>
      <w:pPr>
        <w:pStyle w:val="Normal"/>
        <w:keepNext w:val="true"/>
        <w:spacing w:lineRule="auto" w:line="240" w:before="200" w:after="0"/>
        <w:jc w:val="center"/>
        <w:rPr/>
      </w:pPr>
      <w:r>
        <w:rPr>
          <w:sz w:val="20"/>
          <w:szCs w:val="20"/>
        </w:rPr>
        <w:t>TABLE XI</w:t>
      </w:r>
    </w:p>
    <w:p>
      <w:pPr>
        <w:pStyle w:val="Normal"/>
        <w:keepNext w:val="true"/>
        <w:spacing w:lineRule="auto" w:line="240" w:before="0" w:after="80"/>
        <w:jc w:val="center"/>
        <w:rPr/>
      </w:pPr>
      <w:r>
        <w:rPr>
          <w:sz w:val="20"/>
          <w:szCs w:val="20"/>
        </w:rPr>
        <w:t>Family-level agreement under four aggregation rules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224"/>
        <w:gridCol w:w="1001"/>
        <w:gridCol w:w="951"/>
        <w:gridCol w:w="949"/>
        <w:gridCol w:w="899"/>
        <w:gridCol w:w="1001"/>
        <w:gridCol w:w="1001"/>
      </w:tblGrid>
      <w:tr>
        <w:trPr>
          <w:tblHeader w:val="true"/>
          <w:cantSplit w:val="true"/>
        </w:trPr>
        <w:tc>
          <w:tcPr>
            <w:tcW w:w="3224" w:type="dxa"/>
            <w:tcBorders>
              <w:top w:val="single" w:sz="6" w:space="0" w:color="000000"/>
              <w:bottom w:val="single" w:sz="6" w:space="0" w:color="000000"/>
            </w:tcBorders>
            <w:vAlign w:val="center"/>
          </w:tcPr>
          <w:p>
            <w:pPr>
              <w:pStyle w:val="Normal"/>
              <w:spacing w:lineRule="auto" w:line="228"/>
              <w:rPr/>
            </w:pPr>
            <w:r>
              <w:rPr>
                <w:b/>
                <w:bCs/>
                <w:sz w:val="17"/>
                <w:szCs w:val="17"/>
              </w:rPr>
              <w:t>Model / aggregation</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Primary </w:t>
            </w:r>
            <w:r>
              <w:rPr/>
            </w:r>
            <m:oMath xmlns:m="http://schemas.openxmlformats.org/officeDocument/2006/math">
              <m:r>
                <m:t xml:space="preserve">ρ</m:t>
              </m:r>
            </m:oMath>
          </w:p>
        </w:tc>
        <w:tc>
          <w:tcPr>
            <w:tcW w:w="95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NV</w:t>
            </w:r>
          </w:p>
        </w:tc>
        <w:tc>
          <w:tcPr>
            <w:tcW w:w="94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VPN</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random</w:t>
            </w:r>
          </w:p>
          <w:p>
            <w:pPr>
              <w:pStyle w:val="Normal"/>
              <w:spacing w:lineRule="auto" w:line="228"/>
              <w:jc w:val="center"/>
              <w:rPr/>
            </w:pPr>
            <w:r>
              <w:rPr>
                <w:b/>
                <w:bCs/>
                <w:sz w:val="17"/>
                <w:szCs w:val="17"/>
              </w:rPr>
              <w:t>halves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grouped</w:t>
            </w:r>
          </w:p>
          <w:p>
            <w:pPr>
              <w:pStyle w:val="Normal"/>
              <w:spacing w:lineRule="auto" w:line="228"/>
              <w:jc w:val="center"/>
              <w:rPr/>
            </w:pPr>
            <w:r>
              <w:rPr>
                <w:b/>
                <w:bCs/>
                <w:sz w:val="17"/>
                <w:szCs w:val="17"/>
              </w:rPr>
              <w:t>~10 per cluster</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Six families,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0.990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0.860</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+0.112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Six families, mean per member</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+0.149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Totals moved to duration,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0.927</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1.000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RF / Eight correlation clusters,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0.881</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0.873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Six families,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0.829</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0.958</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0.891</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+0.077</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Six families, mean per member</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0.922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+0.064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Totals moved to duration,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+0.088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3224" w:type="dxa"/>
            <w:tcBorders>
              <w:top w:val="single" w:sz="6" w:space="0" w:color="000000"/>
              <w:bottom w:val="single" w:sz="6" w:space="0" w:color="000000"/>
            </w:tcBorders>
            <w:vAlign w:val="center"/>
          </w:tcPr>
          <w:p>
            <w:pPr>
              <w:pStyle w:val="Normal"/>
              <w:spacing w:lineRule="auto" w:line="228"/>
              <w:rPr/>
            </w:pPr>
            <w:r>
              <w:rPr>
                <w:sz w:val="17"/>
                <w:szCs w:val="17"/>
              </w:rPr>
              <w:t>XGB / Eight correlation clusters, summed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0.948</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bl>
    <w:p>
      <w:pPr>
        <w:pStyle w:val="Normal"/>
        <w:keepLines/>
        <w:spacing w:lineRule="auto" w:line="230" w:before="40" w:after="160"/>
        <w:jc w:val="both"/>
        <w:rPr/>
      </w:pPr>
      <w:r>
        <w:rPr>
          <w:i/>
          <w:iCs/>
          <w:sz w:val="17"/>
          <w:szCs w:val="17"/>
        </w:rPr>
        <w:t xml:space="preserve">Note. </w:t>
      </w:r>
      <w:r>
        <w:rPr>
          <w:sz w:val="17"/>
          <w:szCs w:val="17"/>
        </w:rPr>
        <w:t xml:space="preserve">Within, cross and </w:t>
      </w:r>
      <w:r>
        <w:rPr/>
      </w:r>
      <m:oMath xmlns:m="http://schemas.openxmlformats.org/officeDocument/2006/math">
        <m:r>
          <m:t xml:space="preserve">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w:r>
        <w:rPr/>
      </w:r>
      <m:oMath xmlns:m="http://schemas.openxmlformats.org/officeDocument/2006/math">
        <m:sSub>
          <m:e>
            <m:r>
              <m:t xml:space="preserve">ρ</m:t>
            </m:r>
          </m:e>
          <m:sub>
            <m:r>
              <m:t xml:space="preserve">S</m:t>
            </m:r>
          </m:sub>
        </m:sSub>
      </m:oMath>
      <w:r>
        <w:rPr>
          <w:sz w:val="17"/>
          <w:szCs w:val="17"/>
        </w:rPr>
        <w:t>| on training data, cut at 0.2.</w:t>
      </w:r>
    </w:p>
    <w:p>
      <w:pPr>
        <w:pStyle w:val="Heading1"/>
        <w:keepNext w:val="true"/>
        <w:spacing w:before="280" w:after="120"/>
        <w:jc w:val="center"/>
        <w:rPr/>
      </w:pPr>
      <w:r>
        <w:rPr/>
        <w:t>VIII. CONSEQUENCE TESTS</w:t>
      </w:r>
    </w:p>
    <w:p>
      <w:pPr>
        <w:pStyle w:val="Heading2"/>
        <w:keepNext w:val="true"/>
        <w:spacing w:before="180" w:after="80"/>
        <w:rPr/>
      </w:pPr>
      <w:r>
        <w:rPr/>
        <w:t>A. Direct Model Transfer</w:t>
      </w:r>
    </w:p>
    <w:p>
      <w:pPr>
        <w:pStyle w:val="Normal"/>
        <w:spacing w:lineRule="auto" w:line="264" w:before="0" w:after="100"/>
        <w:ind w:firstLine="284"/>
        <w:jc w:val="both"/>
        <w:rPr/>
      </w:pPr>
      <w:r>
        <w:rPr/>
        <w:t>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are close to those of the cluster-grouped cross-validation of Section III-C (0.47–0.64), although both Non-VPN-to-VPN scores (0.430 and 0.438) fall below that range, and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pPr>
        <w:pStyle w:val="Heading2"/>
        <w:keepNext w:val="true"/>
        <w:spacing w:before="180" w:after="80"/>
        <w:rPr/>
      </w:pPr>
      <w:r>
        <w:rPr/>
        <w:t>B. Transfer of a SHAP-Selected Feature List</w:t>
      </w:r>
    </w:p>
    <w:p>
      <w:pPr>
        <w:pStyle w:val="Normal"/>
        <w:spacing w:lineRule="auto" w:line="264" w:before="0" w:after="100"/>
        <w:ind w:firstLine="284"/>
        <w:jc w:val="both"/>
        <w:rPr>
          <w:lang w:val="en-US"/>
        </w:rPr>
      </w:pPr>
      <w:r>
        <w:rPr/>
        <w:t xml:space="preserve">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w:t>
      </w:r>
      <w:r>
        <w:rPr>
          <w:lang w:val="en-US"/>
        </w:rPr>
        <w:t>The VPN Random Forest contrast is positive for all five seeds (+0.007 to +0.017) and its paired interval for the first seed, [0.006, 0.028], excludes zero; the XGBoost VPN contrast is positive for every seed but smaller (+0.002 to +0.009), with an interval that includes zero. The five seeds are not five different lists: they yield one to three distinct Top-k lists per model, context and k, and each distinct list is refitted once with a fixed seed.</w:t>
      </w:r>
    </w:p>
    <w:p>
      <w:pPr>
        <w:pStyle w:val="Normal"/>
        <w:spacing w:lineRule="auto" w:line="264" w:before="0" w:after="100"/>
        <w:ind w:firstLine="284"/>
        <w:jc w:val="both"/>
        <w:rPr/>
      </w:pPr>
      <w:r>
        <w:rPr/>
        <w:t xml:space="preserve">These per-target contrasts mix two effects, because each list is evaluated on both targets: the four scores of a model form a 2 </w:t>
      </w:r>
      <w:r>
        <w:rPr/>
      </w:r>
      <m:oMath xmlns:m="http://schemas.openxmlformats.org/officeDocument/2006/math">
        <m:r>
          <m:t xml:space="preserve">×</m:t>
        </m:r>
      </m:oMath>
      <w:r>
        <w:rPr/>
        <w:t xml:space="preserve"> 2 design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other effect, the context-match term, is the sum of the two own-minus-transferred contrasts. It is small: +0.008 for Random Forest and +0.010 for XGBoost at k = 10, +0.020 and -0.025 at k = 5, and within 0.002 of zero at k = 15.</w:t>
      </w:r>
    </w:p>
    <w:p>
      <w:pPr>
        <w:pStyle w:val="Normal"/>
        <w:spacing w:lineRule="auto" w:line="264" w:before="0" w:after="100"/>
        <w:ind w:firstLine="284"/>
        <w:jc w:val="both"/>
        <w:rPr/>
      </w:pPr>
      <w:r>
        <w:rPr/>
        <w:t>The controls show that SHAP-based selection does real work.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pPr>
        <w:pStyle w:val="Normal"/>
        <w:keepNext w:val="true"/>
        <w:spacing w:lineRule="auto" w:line="240" w:before="200" w:after="0"/>
        <w:jc w:val="center"/>
        <w:rPr/>
      </w:pPr>
      <w:r>
        <w:rPr>
          <w:sz w:val="20"/>
          <w:szCs w:val="20"/>
        </w:rPr>
        <w:t>TABLE XII</w:t>
      </w:r>
    </w:p>
    <w:p>
      <w:pPr>
        <w:pStyle w:val="Normal"/>
        <w:keepNext w:val="true"/>
        <w:spacing w:lineRule="auto" w:line="240" w:before="0" w:after="80"/>
        <w:jc w:val="center"/>
        <w:rPr/>
      </w:pPr>
      <w:r>
        <w:rPr>
          <w:sz w:val="20"/>
          <w:szCs w:val="20"/>
        </w:rPr>
        <w:t>Transfer of SHAP-selected Top-k feature lists (macro F1 on the untouched test partitions)</w:t>
      </w:r>
    </w:p>
    <w:tbl>
      <w:tblPr>
        <w:tblW w:w="947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350"/>
        <w:gridCol w:w="1000"/>
        <w:gridCol w:w="1150"/>
        <w:gridCol w:w="1148"/>
        <w:gridCol w:w="752"/>
        <w:gridCol w:w="1148"/>
        <w:gridCol w:w="752"/>
        <w:gridCol w:w="1074"/>
        <w:gridCol w:w="1102"/>
      </w:tblGrid>
      <w:tr>
        <w:trPr>
          <w:tblHeader w:val="true"/>
          <w:cantSplit w:val="true"/>
        </w:trPr>
        <w:tc>
          <w:tcPr>
            <w:tcW w:w="1350" w:type="dxa"/>
            <w:tcBorders>
              <w:top w:val="single" w:sz="6" w:space="0" w:color="000000"/>
              <w:bottom w:val="single" w:sz="6" w:space="0" w:color="000000"/>
            </w:tcBorders>
            <w:vAlign w:val="center"/>
          </w:tcPr>
          <w:p>
            <w:pPr>
              <w:pStyle w:val="Normal"/>
              <w:spacing w:lineRule="auto" w:line="228"/>
              <w:rPr/>
            </w:pPr>
            <w:r>
              <w:rPr>
                <w:b/>
                <w:bCs/>
                <w:sz w:val="17"/>
                <w:szCs w:val="17"/>
              </w:rPr>
              <w:t>Target / model</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Shared</w:t>
            </w:r>
          </w:p>
          <w:p>
            <w:pPr>
              <w:pStyle w:val="Normal"/>
              <w:spacing w:lineRule="auto" w:line="228"/>
              <w:jc w:val="center"/>
              <w:rPr/>
            </w:pPr>
            <w:r>
              <w:rPr>
                <w:b/>
                <w:bCs/>
                <w:sz w:val="17"/>
                <w:szCs w:val="17"/>
              </w:rPr>
              <w:t>k = 5/10/15</w:t>
            </w:r>
          </w:p>
        </w:tc>
        <w:tc>
          <w:tcPr>
            <w:tcW w:w="11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5</w:t>
            </w:r>
          </w:p>
          <w:p>
            <w:pPr>
              <w:pStyle w:val="Normal"/>
              <w:spacing w:lineRule="auto" w:line="228"/>
              <w:jc w:val="center"/>
              <w:rPr/>
            </w:pPr>
            <w:r>
              <w:rPr>
                <w:b/>
                <w:bCs/>
                <w:sz w:val="17"/>
                <w:szCs w:val="17"/>
              </w:rPr>
              <w:t>mean [min, max]</w:t>
            </w:r>
          </w:p>
        </w:tc>
        <w:tc>
          <w:tcPr>
            <w:tcW w:w="114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w:t>
            </w:r>
          </w:p>
          <w:p>
            <w:pPr>
              <w:pStyle w:val="Normal"/>
              <w:spacing w:lineRule="auto" w:line="228"/>
              <w:jc w:val="center"/>
              <w:rPr/>
            </w:pPr>
            <w:r>
              <w:rPr>
                <w:b/>
                <w:bCs/>
                <w:sz w:val="17"/>
                <w:szCs w:val="17"/>
              </w:rPr>
              <w:t>mean [min, max]</w:t>
            </w:r>
          </w:p>
        </w:tc>
        <w:tc>
          <w:tcPr>
            <w:tcW w:w="752"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15</w:t>
            </w:r>
          </w:p>
          <w:p>
            <w:pPr>
              <w:pStyle w:val="Normal"/>
              <w:spacing w:lineRule="auto" w:line="228"/>
              <w:jc w:val="center"/>
              <w:rPr/>
            </w:pPr>
            <w:r>
              <w:rPr>
                <w:b/>
                <w:bCs/>
                <w:sz w:val="17"/>
                <w:szCs w:val="17"/>
              </w:rPr>
              <w:t>mean</w:t>
            </w:r>
          </w:p>
        </w:tc>
        <w:tc>
          <w:tcPr>
            <w:tcW w:w="1148"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 seed 1</w:t>
            </w:r>
          </w:p>
          <w:p>
            <w:pPr>
              <w:pStyle w:val="Normal"/>
              <w:spacing w:lineRule="auto" w:line="228"/>
              <w:jc w:val="center"/>
              <w:rPr/>
            </w:pPr>
            <w:r>
              <w:rPr>
                <w:b/>
                <w:bCs/>
                <w:sz w:val="17"/>
                <w:szCs w:val="17"/>
              </w:rPr>
              <w:t>95% interval</w:t>
            </w:r>
          </w:p>
        </w:tc>
        <w:tc>
          <w:tcPr>
            <w:tcW w:w="752" w:type="dxa"/>
            <w:tcBorders>
              <w:top w:val="single" w:sz="6" w:space="0" w:color="000000"/>
              <w:bottom w:val="single" w:sz="6" w:space="0" w:color="000000"/>
            </w:tcBorders>
            <w:vAlign w:val="center"/>
          </w:tcPr>
          <w:p>
            <w:pPr>
              <w:pStyle w:val="Normal"/>
              <w:spacing w:lineRule="auto" w:line="228"/>
              <w:jc w:val="center"/>
              <w:rPr/>
            </w:pPr>
            <w:r>
              <w:rPr>
                <w:b/>
                <w:bCs/>
                <w:sz w:val="17"/>
                <w:szCs w:val="17"/>
              </w:rPr>
              <w:t>Bottom-10</w:t>
            </w:r>
          </w:p>
        </w:tc>
        <w:tc>
          <w:tcPr>
            <w:tcW w:w="1074"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Random-10</w:t>
            </w:r>
          </w:p>
          <w:p>
            <w:pPr>
              <w:pStyle w:val="Normal"/>
              <w:spacing w:lineRule="auto" w:line="228"/>
              <w:jc w:val="center"/>
              <w:rPr/>
            </w:pPr>
            <w:r>
              <w:rPr>
                <w:b/>
                <w:bCs/>
                <w:sz w:val="17"/>
                <w:szCs w:val="17"/>
              </w:rPr>
              <w:t>mean [min, max]</w:t>
            </w:r>
          </w:p>
        </w:tc>
        <w:tc>
          <w:tcPr>
            <w:tcW w:w="1102" w:type="dxa"/>
            <w:tcBorders>
              <w:top w:val="single" w:sz="6" w:space="0" w:color="000000"/>
              <w:bottom w:val="single" w:sz="6" w:space="0" w:color="000000"/>
            </w:tcBorders>
            <w:vAlign w:val="center"/>
          </w:tcPr>
          <w:p>
            <w:pPr>
              <w:pStyle w:val="Normal"/>
              <w:spacing w:lineRule="auto" w:line="228"/>
              <w:jc w:val="center"/>
              <w:rPr/>
            </w:pPr>
            <w:r>
              <w:rPr>
                <w:b/>
                <w:bCs/>
                <w:sz w:val="17"/>
                <w:szCs w:val="17"/>
              </w:rPr>
              <w:t>Beat random</w:t>
            </w:r>
          </w:p>
          <w:p>
            <w:pPr>
              <w:pStyle w:val="Normal"/>
              <w:spacing w:lineRule="auto" w:line="228"/>
              <w:jc w:val="center"/>
              <w:rPr/>
            </w:pPr>
            <w:r>
              <w:rPr>
                <w:b/>
                <w:bCs/>
                <w:sz w:val="17"/>
                <w:szCs w:val="17"/>
              </w:rPr>
              <w:t>own / transferred</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p>
            <w:pPr>
              <w:pStyle w:val="Normal"/>
              <w:spacing w:lineRule="auto" w:line="228"/>
              <w:jc w:val="center"/>
              <w:rPr/>
            </w:pPr>
            <w:r>
              <w:rPr>
                <w:sz w:val="17"/>
                <w:szCs w:val="17"/>
              </w:rPr>
              <w:t>[-0.027, -0.022]</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[-0.007, -0.003]</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[-0.018, 0.006]</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1074" w:type="dxa"/>
            <w:tcBorders>
              <w:top w:val="single" w:sz="6" w:space="0" w:color="000000"/>
              <w:bottom w:val="single" w:sz="6" w:space="0" w:color="000000"/>
            </w:tcBorders>
            <w:vAlign w:val="center"/>
          </w:tcPr>
          <w:p>
            <w:pPr>
              <w:pStyle w:val="Normal"/>
              <w:spacing w:lineRule="auto" w:line="228"/>
              <w:jc w:val="center"/>
              <w:rPr/>
            </w:pPr>
            <w:r>
              <w:rPr>
                <w:sz w:val="17"/>
                <w:szCs w:val="17"/>
              </w:rPr>
              <w:t>0.887</w:t>
            </w:r>
          </w:p>
          <w:p>
            <w:pPr>
              <w:pStyle w:val="Normal"/>
              <w:spacing w:lineRule="auto" w:line="228"/>
              <w:jc w:val="center"/>
              <w:rPr/>
            </w:pPr>
            <w:r>
              <w:rPr>
                <w:sz w:val="17"/>
                <w:szCs w:val="17"/>
              </w:rPr>
              <w:t>[0.852, 0.924]</w:t>
            </w:r>
          </w:p>
        </w:tc>
        <w:tc>
          <w:tcPr>
            <w:tcW w:w="1102" w:type="dxa"/>
            <w:tcBorders>
              <w:top w:val="single" w:sz="6" w:space="0" w:color="000000"/>
              <w:bottom w:val="single" w:sz="6" w:space="0" w:color="000000"/>
            </w:tcBorders>
            <w:vAlign w:val="center"/>
          </w:tcPr>
          <w:p>
            <w:pPr>
              <w:pStyle w:val="Normal"/>
              <w:spacing w:lineRule="auto" w:line="228"/>
              <w:jc w:val="center"/>
              <w:rPr/>
            </w:pPr>
            <w:r>
              <w:rPr>
                <w:sz w:val="17"/>
                <w:szCs w:val="17"/>
              </w:rPr>
              <w:t>80% / 90%</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p>
            <w:pPr>
              <w:pStyle w:val="Normal"/>
              <w:spacing w:lineRule="auto" w:line="228"/>
              <w:jc w:val="center"/>
              <w:rPr/>
            </w:pPr>
            <w:r>
              <w:rPr>
                <w:sz w:val="17"/>
                <w:szCs w:val="17"/>
              </w:rPr>
              <w:t>[-0.030, -0.002]</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[-0.003, +0.010]</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[-0.006, 0.010]</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0.696</w:t>
            </w:r>
          </w:p>
        </w:tc>
        <w:tc>
          <w:tcPr>
            <w:tcW w:w="1074"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p>
            <w:pPr>
              <w:pStyle w:val="Normal"/>
              <w:spacing w:lineRule="auto" w:line="228"/>
              <w:jc w:val="center"/>
              <w:rPr/>
            </w:pPr>
            <w:r>
              <w:rPr>
                <w:sz w:val="17"/>
                <w:szCs w:val="17"/>
              </w:rPr>
              <w:t>[0.854, 0.938]</w:t>
            </w:r>
          </w:p>
        </w:tc>
        <w:tc>
          <w:tcPr>
            <w:tcW w:w="1102" w:type="dxa"/>
            <w:tcBorders>
              <w:top w:val="single" w:sz="6" w:space="0" w:color="000000"/>
              <w:bottom w:val="single" w:sz="6" w:space="0" w:color="000000"/>
            </w:tcBorders>
            <w:vAlign w:val="center"/>
          </w:tcPr>
          <w:p>
            <w:pPr>
              <w:pStyle w:val="Normal"/>
              <w:spacing w:lineRule="auto" w:line="228"/>
              <w:jc w:val="center"/>
              <w:rPr/>
            </w:pPr>
            <w:r>
              <w:rPr>
                <w:sz w:val="17"/>
                <w:szCs w:val="17"/>
              </w:rPr>
              <w:t>92% / 87%</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p>
            <w:pPr>
              <w:pStyle w:val="Normal"/>
              <w:spacing w:lineRule="auto" w:line="228"/>
              <w:jc w:val="center"/>
              <w:rPr/>
            </w:pPr>
            <w:r>
              <w:rPr>
                <w:sz w:val="17"/>
                <w:szCs w:val="17"/>
              </w:rPr>
              <w:t>[+0.044, +0.048]</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p>
            <w:pPr>
              <w:pStyle w:val="Normal"/>
              <w:spacing w:lineRule="auto" w:line="228"/>
              <w:jc w:val="center"/>
              <w:rPr/>
            </w:pPr>
            <w:r>
              <w:rPr>
                <w:sz w:val="17"/>
                <w:szCs w:val="17"/>
              </w:rPr>
              <w:t>[+0.007, +0.017]</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-0.003</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[0.006, 0.028]</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0.685</w:t>
            </w:r>
          </w:p>
        </w:tc>
        <w:tc>
          <w:tcPr>
            <w:tcW w:w="1074" w:type="dxa"/>
            <w:tcBorders>
              <w:top w:val="single" w:sz="6" w:space="0" w:color="000000"/>
              <w:bottom w:val="single" w:sz="6" w:space="0" w:color="000000"/>
            </w:tcBorders>
            <w:vAlign w:val="center"/>
          </w:tcPr>
          <w:p>
            <w:pPr>
              <w:pStyle w:val="Normal"/>
              <w:spacing w:lineRule="auto" w:line="228"/>
              <w:jc w:val="center"/>
              <w:rPr/>
            </w:pPr>
            <w:r>
              <w:rPr>
                <w:sz w:val="17"/>
                <w:szCs w:val="17"/>
              </w:rPr>
              <w:t>0.818</w:t>
            </w:r>
          </w:p>
          <w:p>
            <w:pPr>
              <w:pStyle w:val="Normal"/>
              <w:spacing w:lineRule="auto" w:line="228"/>
              <w:jc w:val="center"/>
              <w:rPr/>
            </w:pPr>
            <w:r>
              <w:rPr>
                <w:sz w:val="17"/>
                <w:szCs w:val="17"/>
              </w:rPr>
              <w:t>[0.783, 0.863]</w:t>
            </w:r>
          </w:p>
        </w:tc>
        <w:tc>
          <w:tcPr>
            <w:tcW w:w="1102" w:type="dxa"/>
            <w:tcBorders>
              <w:top w:val="single" w:sz="6" w:space="0" w:color="000000"/>
              <w:bottom w:val="single" w:sz="6" w:space="0" w:color="000000"/>
            </w:tcBorders>
            <w:vAlign w:val="center"/>
          </w:tcPr>
          <w:p>
            <w:pPr>
              <w:pStyle w:val="Normal"/>
              <w:spacing w:lineRule="auto" w:line="228"/>
              <w:jc w:val="center"/>
              <w:rPr/>
            </w:pPr>
            <w:r>
              <w:rPr>
                <w:sz w:val="17"/>
                <w:szCs w:val="17"/>
              </w:rPr>
              <w:t>100% / 89%</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p>
            <w:pPr>
              <w:pStyle w:val="Normal"/>
              <w:spacing w:lineRule="auto" w:line="228"/>
              <w:jc w:val="center"/>
              <w:rPr/>
            </w:pPr>
            <w:r>
              <w:rPr>
                <w:sz w:val="17"/>
                <w:szCs w:val="17"/>
              </w:rPr>
              <w:t>[-0.019, +0.002]</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p>
            <w:pPr>
              <w:pStyle w:val="Normal"/>
              <w:spacing w:lineRule="auto" w:line="228"/>
              <w:jc w:val="center"/>
              <w:rPr/>
            </w:pPr>
            <w:r>
              <w:rPr>
                <w:sz w:val="17"/>
                <w:szCs w:val="17"/>
              </w:rPr>
              <w:t>[+0.002, +0.009]</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8" w:type="dxa"/>
            <w:tcBorders>
              <w:top w:val="single" w:sz="6" w:space="0" w:color="000000"/>
              <w:bottom w:val="single" w:sz="6" w:space="0" w:color="000000"/>
            </w:tcBorders>
            <w:vAlign w:val="center"/>
          </w:tcPr>
          <w:p>
            <w:pPr>
              <w:pStyle w:val="Normal"/>
              <w:spacing w:lineRule="auto" w:line="228"/>
              <w:jc w:val="center"/>
              <w:rPr/>
            </w:pPr>
            <w:r>
              <w:rPr>
                <w:sz w:val="17"/>
                <w:szCs w:val="17"/>
              </w:rPr>
              <w:t>[-0.006, 0.015]</w:t>
            </w:r>
          </w:p>
        </w:tc>
        <w:tc>
          <w:tcPr>
            <w:tcW w:w="752" w:type="dxa"/>
            <w:tcBorders>
              <w:top w:val="single" w:sz="6" w:space="0" w:color="000000"/>
              <w:bottom w:val="single" w:sz="6" w:space="0" w:color="000000"/>
            </w:tcBorders>
            <w:vAlign w:val="center"/>
          </w:tcPr>
          <w:p>
            <w:pPr>
              <w:pStyle w:val="Normal"/>
              <w:spacing w:lineRule="auto" w:line="228"/>
              <w:jc w:val="center"/>
              <w:rPr/>
            </w:pPr>
            <w:r>
              <w:rPr>
                <w:sz w:val="17"/>
                <w:szCs w:val="17"/>
              </w:rPr>
              <w:t>0.735</w:t>
            </w:r>
          </w:p>
        </w:tc>
        <w:tc>
          <w:tcPr>
            <w:tcW w:w="1074" w:type="dxa"/>
            <w:tcBorders>
              <w:top w:val="single" w:sz="6" w:space="0" w:color="000000"/>
              <w:bottom w:val="single" w:sz="6" w:space="0" w:color="000000"/>
            </w:tcBorders>
            <w:vAlign w:val="center"/>
          </w:tcPr>
          <w:p>
            <w:pPr>
              <w:pStyle w:val="Normal"/>
              <w:spacing w:lineRule="auto" w:line="228"/>
              <w:jc w:val="center"/>
              <w:rPr/>
            </w:pPr>
            <w:r>
              <w:rPr>
                <w:sz w:val="17"/>
                <w:szCs w:val="17"/>
              </w:rPr>
              <w:t>0.838</w:t>
            </w:r>
          </w:p>
          <w:p>
            <w:pPr>
              <w:pStyle w:val="Normal"/>
              <w:spacing w:lineRule="auto" w:line="228"/>
              <w:jc w:val="center"/>
              <w:rPr/>
            </w:pPr>
            <w:r>
              <w:rPr>
                <w:sz w:val="17"/>
                <w:szCs w:val="17"/>
              </w:rPr>
              <w:t>[0.808, 0.876]</w:t>
            </w:r>
          </w:p>
        </w:tc>
        <w:tc>
          <w:tcPr>
            <w:tcW w:w="1102" w:type="dxa"/>
            <w:tcBorders>
              <w:top w:val="single" w:sz="6" w:space="0" w:color="000000"/>
              <w:bottom w:val="single" w:sz="6" w:space="0" w:color="000000"/>
            </w:tcBorders>
            <w:vAlign w:val="center"/>
          </w:tcPr>
          <w:p>
            <w:pPr>
              <w:pStyle w:val="Normal"/>
              <w:spacing w:lineRule="auto" w:line="228"/>
              <w:jc w:val="center"/>
              <w:rPr/>
            </w:pPr>
            <w:r>
              <w:rPr>
                <w:sz w:val="17"/>
                <w:szCs w:val="17"/>
              </w:rPr>
              <w:t>100% / 100%</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pPr>
        <w:pStyle w:val="Normal"/>
        <w:keepNext w:val="true"/>
        <w:spacing w:lineRule="auto" w:line="240" w:before="200" w:after="0"/>
        <w:jc w:val="center"/>
        <w:rPr/>
      </w:pPr>
      <w:r>
        <w:rPr>
          <w:sz w:val="20"/>
          <w:szCs w:val="20"/>
        </w:rPr>
        <w:t>TABLE XIII</w:t>
      </w:r>
    </w:p>
    <w:p>
      <w:pPr>
        <w:pStyle w:val="Normal"/>
        <w:keepNext w:val="true"/>
        <w:spacing w:lineRule="auto" w:line="240" w:before="0" w:after="80"/>
        <w:jc w:val="center"/>
        <w:rPr/>
      </w:pPr>
      <w:r>
        <w:rPr>
          <w:sz w:val="20"/>
          <w:szCs w:val="20"/>
        </w:rPr>
        <w:t>List origin by target: decomposition of the Top-k transfer</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500"/>
        <w:gridCol w:w="798"/>
        <w:gridCol w:w="3364"/>
        <w:gridCol w:w="3364"/>
      </w:tblGrid>
      <w:tr>
        <w:trPr>
          <w:tblHeader w:val="true"/>
          <w:cantSplit w:val="true"/>
        </w:trPr>
        <w:tc>
          <w:tcPr>
            <w:tcW w:w="15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798" w:type="dxa"/>
            <w:tcBorders>
              <w:top w:val="single" w:sz="6" w:space="0" w:color="000000"/>
              <w:bottom w:val="single" w:sz="6" w:space="0" w:color="000000"/>
            </w:tcBorders>
            <w:vAlign w:val="center"/>
          </w:tcPr>
          <w:p>
            <w:pPr>
              <w:pStyle w:val="Normal"/>
              <w:spacing w:lineRule="auto" w:line="228"/>
              <w:jc w:val="center"/>
              <w:rPr/>
            </w:pPr>
            <w:r>
              <w:rPr>
                <w:b/>
                <w:bCs/>
                <w:sz w:val="17"/>
                <w:szCs w:val="17"/>
              </w:rPr>
              <w:t>k</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Context-match term</w:t>
            </w:r>
          </w:p>
          <w:p>
            <w:pPr>
              <w:pStyle w:val="Normal"/>
              <w:spacing w:lineRule="auto" w:line="228"/>
              <w:jc w:val="center"/>
              <w:rPr/>
            </w:pPr>
            <w:r>
              <w:rPr>
                <w:b/>
                <w:bCs/>
                <w:sz w:val="17"/>
                <w:szCs w:val="17"/>
              </w:rPr>
              <w:t>mean [min, max]</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VPN-list advantage</w:t>
            </w:r>
          </w:p>
          <w:p>
            <w:pPr>
              <w:pStyle w:val="Normal"/>
              <w:spacing w:lineRule="auto" w:line="228"/>
              <w:jc w:val="center"/>
              <w:rPr/>
            </w:pPr>
            <w:r>
              <w:rPr>
                <w:b/>
                <w:bCs/>
                <w:sz w:val="17"/>
                <w:szCs w:val="17"/>
              </w:rPr>
              <w:t>mean [min, max]</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+0.020 [+0.018, +0.022]</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+0.036 [+0.033, +0.037]</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+0.008 [+0.004, +0.013]</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+0.009 [+0.005, +0.012]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-0.025 [-0.028, -0.021]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+0.006 [-0.009, +0.016]</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+0.010 [-0.001, +0.018]</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[-0.001, +0.002]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8"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+0.002]</w:t>
            </w:r>
          </w:p>
        </w:tc>
      </w:tr>
    </w:tbl>
    <w:p>
      <w:pPr>
        <w:pStyle w:val="Normal"/>
        <w:keepLines/>
        <w:spacing w:lineRule="auto" w:line="230" w:before="40" w:after="160"/>
        <w:jc w:val="both"/>
        <w:rPr/>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pPr>
        <w:pStyle w:val="Normal"/>
        <w:keepNext w:val="true"/>
        <w:spacing w:before="160" w:after="60"/>
        <w:jc w:val="center"/>
        <w:rPr/>
      </w:pPr>
      <w:r>
        <w:rPr/>
        <w:drawing>
          <wp:inline distT="0" distB="0" distL="0" distR="0">
            <wp:extent cx="5715000" cy="2044700"/>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a:picLocks noChangeAspect="1" noChangeArrowheads="1"/>
                    </pic:cNvPicPr>
                  </pic:nvPicPr>
                  <pic:blipFill>
                    <a:blip r:embed="rId11"/>
                    <a:stretch>
                      <a:fillRect/>
                    </a:stretch>
                  </pic:blipFill>
                  <pic:spPr bwMode="auto">
                    <a:xfrm>
                      <a:off x="0" y="0"/>
                      <a:ext cx="5715000" cy="204470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pPr>
        <w:pStyle w:val="Heading1"/>
        <w:keepNext w:val="true"/>
        <w:spacing w:before="280" w:after="120"/>
        <w:jc w:val="center"/>
        <w:rPr/>
      </w:pPr>
      <w:r>
        <w:rPr/>
        <w:t>IX. SENTINEL AND ROBUSTNESS CHECKS</w:t>
      </w:r>
    </w:p>
    <w:p>
      <w:pPr>
        <w:pStyle w:val="Normal"/>
        <w:spacing w:lineRule="auto" w:line="264" w:before="0" w:after="100"/>
        <w:ind w:firstLine="284"/>
        <w:jc w:val="both"/>
        <w:rPr/>
      </w:pPr>
      <w:r>
        <w:rPr/>
        <w:t xml:space="preserve">Table XIV collects the sensitivity checks. The two sentinel encodings differ in macro F1 by at most 0.0085, and within one context they rank the 23 original features at </w:t>
      </w:r>
      <w:r>
        <w:rPr/>
      </w:r>
      <m:oMath xmlns:m="http://schemas.openxmlformats.org/officeDocument/2006/math">
        <m:r>
          <m:t xml:space="preserve">ρ</m:t>
        </m:r>
      </m:oMath>
      <w:r>
        <w:rP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pPr>
        <w:pStyle w:val="Normal"/>
        <w:spacing w:lineRule="auto" w:line="264" w:before="0" w:after="100"/>
        <w:ind w:firstLine="284"/>
        <w:jc w:val="both"/>
        <w:rPr/>
      </w:pPr>
      <w:r>
        <w:rPr/>
        <w:t xml:space="preserve">How large is the encoding effect? The S1-versus-S2 disagreement, 1 - </w:t>
      </w:r>
      <w:r>
        <w:rPr/>
      </w:r>
      <m:oMath xmlns:m="http://schemas.openxmlformats.org/officeDocument/2006/math">
        <m:r>
          <m:t xml:space="preserve">ρ</m:t>
        </m:r>
      </m:oMath>
      <w:r>
        <w:rPr/>
        <w:t xml:space="preserve"> = 0.06–0.11, is about 1.5 to 4 times smaller than the cross-context disagreement on the primary split (1 - </w:t>
      </w:r>
      <w:r>
        <w:rPr/>
      </w:r>
      <m:oMath xmlns:m="http://schemas.openxmlformats.org/officeDocument/2006/math">
        <m:r>
          <m:t xml:space="preserve">ρ</m:t>
        </m:r>
      </m:oMath>
      <w:r>
        <w:rPr/>
        <w:t xml:space="preserve"> = 0.17–0.21). The more relevant comparison is the disagreement between random halves of one context (1 - </w:t>
      </w:r>
      <w:r>
        <w:rPr/>
      </w:r>
      <m:oMath xmlns:m="http://schemas.openxmlformats.org/officeDocument/2006/math">
        <m:r>
          <m:t xml:space="preserve">ρ</m:t>
        </m:r>
      </m:oMath>
      <w:r>
        <w:rPr/>
        <w:t xml:space="preserve"> = 0.02–0.07). The two ranges overlap, although the encoding change can produce the larger disagreement, so changing the encoding of undefined statistics moves a ranking by an amount comparable in scale to random-half retraining variation. Cross-context agreement under the alternative encodings stays close to the primary values: </w:t>
      </w:r>
      <w:r>
        <w:rPr/>
      </w:r>
      <m:oMath xmlns:m="http://schemas.openxmlformats.org/officeDocument/2006/math">
        <m:r>
          <m:t xml:space="preserve">ρ</m:t>
        </m:r>
      </m:oMath>
      <w:r>
        <w:rPr/>
        <w:t xml:space="preserve"> = 0.8281 under both S1 and S2 for Random Forest, and 0.7915 (S1) and 0.7806 (S2) for XGBoost. We recomputed the identical Random Forest values from the saved rankings; the two rankings differ (Kendall </w:t>
      </w:r>
      <w:r>
        <w:rPr/>
      </w:r>
      <m:oMath xmlns:m="http://schemas.openxmlformats.org/officeDocument/2006/math">
        <m:sSub>
          <m:e>
            <m:r>
              <m:t xml:space="preserve">τ</m:t>
            </m:r>
          </m:e>
          <m:sub>
            <m:r>
              <m:t xml:space="preserve">b</m:t>
            </m:r>
          </m:sub>
        </m:sSub>
      </m:oMath>
      <w:r>
        <w:rPr/>
        <w:t xml:space="preserve"> 0.6364 and 0.6285, Top-5 overlap 3 and 2), but their squared rank differences happen to sum to the same total.</w:t>
      </w:r>
    </w:p>
    <w:p>
      <w:pPr>
        <w:pStyle w:val="Normal"/>
        <w:spacing w:lineRule="auto" w:line="264" w:before="0" w:after="100"/>
        <w:ind w:firstLine="284"/>
        <w:jc w:val="both"/>
        <w:rPr/>
      </w:pPr>
      <w:r>
        <w:rPr/>
        <w:t xml:space="preserve">Across the six model and TreeSHAP configurations explained on 500 records, cross-context </w:t>
      </w:r>
      <w:r>
        <w:rPr/>
      </w:r>
      <m:oMath xmlns:m="http://schemas.openxmlformats.org/officeDocument/2006/math">
        <m:r>
          <m:t xml:space="preserve">ρ</m:t>
        </m:r>
      </m:oMath>
      <w:r>
        <w:rPr/>
        <w:t xml:space="preserve"> ranges from 0.681 to 0.819, and three of five leading features are shared in all six. Within one model and context, path-dependent and interventional rankings agree at </w:t>
      </w:r>
      <w:r>
        <w:rPr/>
      </w:r>
      <m:oMath xmlns:m="http://schemas.openxmlformats.org/officeDocument/2006/math">
        <m:r>
          <m:t xml:space="preserve">ρ</m:t>
        </m:r>
      </m:oMath>
      <w:r>
        <w:rPr/>
        <w:t xml:space="preserve"> = 0.969–0.984 for Random Forest and XGBoost and 0.960–0.970 for Extra Trees. Extra Trees agrees less well with Random Forest (</w:t>
      </w:r>
      <w:r>
        <w:rPr/>
      </w:r>
      <m:oMath xmlns:m="http://schemas.openxmlformats.org/officeDocument/2006/math">
        <m:r>
          <m:t xml:space="preserve">ρ</m:t>
        </m:r>
      </m:oMath>
      <w:r>
        <w:rPr/>
        <w:t xml:space="preserve"> = 0.730–0.801 when both are explained with the path-dependent formulation and 0.731–0.743 when both use the interventional one). Refitting XGBoost with three other seeds gives mean within-context </w:t>
      </w:r>
      <w:r>
        <w:rPr/>
      </w:r>
      <m:oMath xmlns:m="http://schemas.openxmlformats.org/officeDocument/2006/math">
        <m:r>
          <m:t xml:space="preserve">ρ</m:t>
        </m:r>
      </m:oMath>
      <w:r>
        <w:rPr/>
        <w:t xml:space="preserve"> of 0.9928 (Non-VPN) and 0.9928 (VPN), so seed noise alone is small, and max_depth = 3 or 10 leaves cross-context </w:t>
      </w:r>
      <w:r>
        <w:rPr/>
      </w:r>
      <m:oMath xmlns:m="http://schemas.openxmlformats.org/officeDocument/2006/math">
        <m:r>
          <m:t xml:space="preserve">ρ</m:t>
        </m:r>
      </m:oMath>
      <w:r>
        <w:rPr/>
        <w:t xml:space="preserve"> at 0.767 and 0.803. Table XIV gives percentile intervals from resampling the explained records. The resampled values are centred within 0.015 of the point estimates, above them for some configurations and below for others, so we see no consistent bias.</w:t>
      </w:r>
    </w:p>
    <w:p>
      <w:pPr>
        <w:pStyle w:val="Normal"/>
        <w:keepNext w:val="true"/>
        <w:spacing w:lineRule="auto" w:line="240" w:before="200" w:after="0"/>
        <w:jc w:val="center"/>
        <w:rPr/>
      </w:pPr>
      <w:r>
        <w:rPr>
          <w:sz w:val="20"/>
          <w:szCs w:val="20"/>
        </w:rPr>
        <w:t>TABLE XIV</w:t>
      </w:r>
    </w:p>
    <w:p>
      <w:pPr>
        <w:pStyle w:val="Normal"/>
        <w:keepNext w:val="true"/>
        <w:spacing w:lineRule="auto" w:line="240" w:before="0" w:after="80"/>
        <w:jc w:val="center"/>
        <w:rPr/>
      </w:pPr>
      <w:r>
        <w:rPr>
          <w:sz w:val="20"/>
          <w:szCs w:val="20"/>
        </w:rPr>
        <w:t>Sensitivity of cross-context agreement to sentinel encoding, model, TreeSHAP formulation and hyperparameters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900"/>
        <w:gridCol w:w="1350"/>
        <w:gridCol w:w="1250"/>
        <w:gridCol w:w="1598"/>
        <w:gridCol w:w="900"/>
        <w:gridCol w:w="1028"/>
      </w:tblGrid>
      <w:tr>
        <w:trPr>
          <w:tblHeader w:val="true"/>
          <w:cantSplit w:val="true"/>
        </w:trPr>
        <w:tc>
          <w:tcPr>
            <w:tcW w:w="2900" w:type="dxa"/>
            <w:tcBorders>
              <w:top w:val="single" w:sz="6" w:space="0" w:color="000000"/>
              <w:bottom w:val="single" w:sz="6" w:space="0" w:color="000000"/>
            </w:tcBorders>
            <w:vAlign w:val="center"/>
          </w:tcPr>
          <w:p>
            <w:pPr>
              <w:pStyle w:val="Normal"/>
              <w:spacing w:lineRule="auto" w:line="228"/>
              <w:rPr/>
            </w:pPr>
            <w:r>
              <w:rPr>
                <w:b/>
                <w:bCs/>
                <w:sz w:val="17"/>
                <w:szCs w:val="17"/>
              </w:rPr>
              <w:t>Configuration</w:t>
            </w:r>
          </w:p>
        </w:tc>
        <w:tc>
          <w:tcPr>
            <w:tcW w:w="13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p>
            <w:pPr>
              <w:pStyle w:val="Normal"/>
              <w:spacing w:lineRule="auto" w:line="228"/>
              <w:jc w:val="center"/>
              <w:rPr/>
            </w:pPr>
            <w:r>
              <w:rPr>
                <w:b/>
                <w:bCs/>
                <w:sz w:val="17"/>
                <w:szCs w:val="17"/>
              </w:rPr>
              <w:t>NV / VPN</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Cross-context </w:t>
            </w:r>
            <w:r>
              <w:rPr/>
            </w:r>
            <m:oMath xmlns:m="http://schemas.openxmlformats.org/officeDocument/2006/math">
              <m:r>
                <m:t xml:space="preserve">ρ</m:t>
              </m:r>
            </m:oMath>
          </w:p>
        </w:tc>
        <w:tc>
          <w:tcPr>
            <w:tcW w:w="1598" w:type="dxa"/>
            <w:tcBorders>
              <w:top w:val="single" w:sz="6" w:space="0" w:color="000000"/>
              <w:bottom w:val="single" w:sz="6" w:space="0" w:color="000000"/>
            </w:tcBorders>
            <w:vAlign w:val="center"/>
          </w:tcPr>
          <w:p>
            <w:pPr>
              <w:pStyle w:val="Normal"/>
              <w:spacing w:lineRule="auto" w:line="228"/>
              <w:jc w:val="center"/>
              <w:rPr/>
            </w:pPr>
            <w:r>
              <w:rPr>
                <w:b/>
                <w:bCs/>
                <w:sz w:val="17"/>
                <w:szCs w:val="17"/>
              </w:rPr>
              <w:t>95% interval</w:t>
            </w:r>
          </w:p>
          <w:p>
            <w:pPr>
              <w:pStyle w:val="Normal"/>
              <w:spacing w:lineRule="auto" w:line="228"/>
              <w:jc w:val="center"/>
              <w:rPr/>
            </w:pPr>
            <w:r>
              <w:rPr>
                <w:b/>
                <w:bCs/>
                <w:sz w:val="17"/>
                <w:szCs w:val="17"/>
              </w:rPr>
              <w:t>(explained records)</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1028" w:type="dxa"/>
            <w:tcBorders>
              <w:top w:val="single" w:sz="6" w:space="0" w:color="000000"/>
              <w:bottom w:val="single" w:sz="6" w:space="0" w:color="000000"/>
            </w:tcBorders>
            <w:vAlign w:val="center"/>
          </w:tcPr>
          <w:p>
            <w:pPr>
              <w:pStyle w:val="Normal"/>
              <w:spacing w:lineRule="auto" w:line="228"/>
              <w:jc w:val="center"/>
              <w:rPr/>
            </w:pPr>
            <w:r>
              <w:rPr>
                <w:b/>
                <w:bCs/>
                <w:sz w:val="17"/>
                <w:szCs w:val="17"/>
              </w:rPr>
              <w:t>Top-5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Primary fits and sentinel encodings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0.919 / 0.855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0.639</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0.920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0.564</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2/5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0.935 / 0.886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0.7915</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0.933 / 0.878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0.7806</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Model and TreeSHAP formulation (500 explained records per context)</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0.8192</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[0.803, 0.841]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0.578</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0.8024</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[0.771, 0.814]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0.7955</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[0.769, 0.804]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0.658</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0.7727</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[0.761, 0.794]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0.6808</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[0.633, 0.763]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0.764</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0.7381</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[0.661, 0.771]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0.750</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XGBoost hyperparameters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3</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0.928 / 0.864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0.7668</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0.727</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10</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0.931 / 0.872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0.8034</w:t>
            </w:r>
          </w:p>
        </w:tc>
        <w:tc>
          <w:tcPr>
            <w:tcW w:w="1598"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0.768</w:t>
            </w:r>
          </w:p>
        </w:tc>
        <w:tc>
          <w:tcPr>
            <w:tcW w:w="1028"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bl>
    <w:p>
      <w:pPr>
        <w:pStyle w:val="Normal"/>
        <w:keepLines/>
        <w:spacing w:lineRule="auto" w:line="230" w:before="40" w:after="160"/>
        <w:jc w:val="both"/>
        <w:rPr/>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pPr>
        <w:pStyle w:val="Heading1"/>
        <w:keepNext w:val="true"/>
        <w:spacing w:before="280" w:after="120"/>
        <w:jc w:val="center"/>
        <w:rPr/>
      </w:pPr>
      <w:r>
        <w:rPr/>
        <w:t>X. SUMMARY AND DISCUSSION</w:t>
      </w:r>
    </w:p>
    <w:p>
      <w:pPr>
        <w:pStyle w:val="Normal"/>
        <w:spacing w:lineRule="auto" w:line="264" w:before="0" w:after="100"/>
        <w:ind w:firstLine="284"/>
        <w:jc w:val="both"/>
        <w:rPr/>
      </w:pPr>
      <w:r>
        <w:rPr/>
        <w:t>Table XV collects the main quantities from Sections V to IX in one place.</w:t>
      </w:r>
    </w:p>
    <w:p>
      <w:pPr>
        <w:pStyle w:val="Normal"/>
        <w:keepNext w:val="true"/>
        <w:spacing w:lineRule="auto" w:line="240" w:before="200" w:after="0"/>
        <w:jc w:val="center"/>
        <w:rPr/>
      </w:pPr>
      <w:r>
        <w:rPr>
          <w:sz w:val="20"/>
          <w:szCs w:val="20"/>
        </w:rPr>
        <w:t>TABLE XV</w:t>
      </w:r>
    </w:p>
    <w:p>
      <w:pPr>
        <w:pStyle w:val="Normal"/>
        <w:keepNext w:val="true"/>
        <w:spacing w:lineRule="auto" w:line="240" w:before="0" w:after="80"/>
        <w:jc w:val="center"/>
        <w:rPr/>
      </w:pPr>
      <w:r>
        <w:rPr>
          <w:sz w:val="20"/>
          <w:szCs w:val="20"/>
        </w:rPr>
        <w:t>Summary of the main results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4299"/>
        <w:gridCol w:w="1949"/>
        <w:gridCol w:w="1952"/>
        <w:gridCol w:w="826"/>
      </w:tblGrid>
      <w:tr>
        <w:trPr>
          <w:tblHeader w:val="true"/>
          <w:cantSplit w:val="true"/>
        </w:trPr>
        <w:tc>
          <w:tcPr>
            <w:tcW w:w="4299" w:type="dxa"/>
            <w:tcBorders>
              <w:top w:val="single" w:sz="6" w:space="0" w:color="000000"/>
              <w:bottom w:val="single" w:sz="6" w:space="0" w:color="000000"/>
            </w:tcBorders>
            <w:vAlign w:val="center"/>
          </w:tcPr>
          <w:p>
            <w:pPr>
              <w:pStyle w:val="Normal"/>
              <w:spacing w:lineRule="auto" w:line="228"/>
              <w:rPr/>
            </w:pPr>
            <w:r>
              <w:rPr>
                <w:b/>
                <w:bCs/>
                <w:sz w:val="17"/>
                <w:szCs w:val="17"/>
              </w:rPr>
              <w:t>Quantity</w:t>
            </w:r>
          </w:p>
        </w:tc>
        <w:tc>
          <w:tcPr>
            <w:tcW w:w="1949"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 Forest</w:t>
            </w:r>
          </w:p>
        </w:tc>
        <w:tc>
          <w:tcPr>
            <w:tcW w:w="1952" w:type="dxa"/>
            <w:tcBorders>
              <w:top w:val="single" w:sz="6" w:space="0" w:color="000000"/>
              <w:bottom w:val="single" w:sz="6" w:space="0" w:color="000000"/>
            </w:tcBorders>
            <w:vAlign w:val="center"/>
          </w:tcPr>
          <w:p>
            <w:pPr>
              <w:pStyle w:val="Normal"/>
              <w:spacing w:lineRule="auto" w:line="228"/>
              <w:jc w:val="center"/>
              <w:rPr/>
            </w:pPr>
            <w:r>
              <w:rPr>
                <w:b/>
                <w:bCs/>
                <w:sz w:val="17"/>
                <w:szCs w:val="17"/>
              </w:rPr>
              <w:t>XGBoost</w:t>
            </w:r>
          </w:p>
        </w:tc>
        <w:tc>
          <w:tcPr>
            <w:tcW w:w="826" w:type="dxa"/>
            <w:tcBorders>
              <w:top w:val="single" w:sz="6" w:space="0" w:color="000000"/>
              <w:bottom w:val="single" w:sz="6" w:space="0" w:color="000000"/>
            </w:tcBorders>
            <w:vAlign w:val="center"/>
          </w:tcPr>
          <w:p>
            <w:pPr>
              <w:pStyle w:val="Normal"/>
              <w:spacing w:lineRule="auto" w:line="228"/>
              <w:jc w:val="center"/>
              <w:rPr/>
            </w:pPr>
            <w:r>
              <w:rPr>
                <w:b/>
                <w:bCs/>
                <w:sz w:val="17"/>
                <w:szCs w:val="17"/>
              </w:rPr>
              <w:t>Section</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Macro F1, Non-VPN / VPN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Primary cross-context </w:t>
            </w:r>
            <w:r>
              <w:rPr/>
            </w:r>
            <m:oMath xmlns:m="http://schemas.openxmlformats.org/officeDocument/2006/math">
              <m:r>
                <m:t xml:space="preserve">ρ</m:t>
              </m:r>
            </m:oMath>
            <w:r>
              <w:rPr>
                <w:sz w:val="17"/>
                <w:szCs w:val="17"/>
              </w:rPr>
              <w:t xml:space="preserve"> / RBO / Top-5</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0.830 / 0.580 / 3</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0.786 / 0.755 / 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Half-split cross-context </w:t>
            </w:r>
            <w:r>
              <w:rPr/>
            </w:r>
            <m:oMath xmlns:m="http://schemas.openxmlformats.org/officeDocument/2006/math">
              <m:r>
                <m:t xml:space="preserve">ρ</m:t>
              </m:r>
            </m:oMath>
            <w:r>
              <w:rPr>
                <w:sz w:val="17"/>
                <w:szCs w:val="17"/>
              </w:rPr>
              <w:t xml:space="preserve"> (mean)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permutation null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-0.001 (0.009)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~10 / ~35 / ~140 per cluster</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+0.100 / +0.042 / +0.002</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+0.079 / +0.014 /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calibrated to captures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~10 / ~35 / ~140 per block</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+0.168 / +0.159 / +0.127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+0.113 / +0.111 / +0.079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to captures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first vs second half (SD)</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on common records (range)</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0.134–0.147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0.123–0.130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 first vs second half, on common records (both test sets)</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+0.114 / +0.068</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+0.066 / +0.032</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xml:space="preserve"> </w:t>
            </w:r>
            <w:r>
              <w:rPr>
                <w:sz w:val="17"/>
                <w:szCs w:val="17"/>
              </w:rPr>
              <w:t>minus group-level null, row blocks calibrated / first vs second half</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+0.130 / +0.111</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+0.069 / +0.035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Class-mix swap: change in </w:t>
            </w:r>
            <w:r>
              <w:rPr/>
            </w:r>
            <m:oMath xmlns:m="http://schemas.openxmlformats.org/officeDocument/2006/math">
              <m:r>
                <m:t xml:space="preserve">ρ</m:t>
              </m:r>
            </m:oMath>
            <w:r>
              <w:rPr>
                <w:sz w:val="17"/>
                <w:szCs w:val="17"/>
              </w:rPr>
              <w:t xml:space="preserve"> with the other context (NV / VPN)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-0.035 / -0.007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+0.008 / +0.017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VI-D</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SHAP share of the three minimum IATs, NV / VPN (%)</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17.0 / 23.3</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26.3 / 24.7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VI-E</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Model transfer macro F1, Non-VPN to VPN / VPN to Non-VPN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0.438 / 0.606</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0.430 / 0.613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VIII-A</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list transfer, own - transferred F1 (NV / VPN target)</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-0.004 / +0.013</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+0.004 / +0.006</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context-match term</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+0.008</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Within-context </w:t>
            </w:r>
            <w:r>
              <w:rPr/>
            </w:r>
            <m:oMath xmlns:m="http://schemas.openxmlformats.org/officeDocument/2006/math">
              <m:r>
                <m:t xml:space="preserve">ρ</m:t>
              </m:r>
            </m:oMath>
            <w:r>
              <w:rPr>
                <w:sz w:val="17"/>
                <w:szCs w:val="17"/>
              </w:rPr>
              <w:t>, S1 vs S2 encoding (NV / VPN)</w:t>
            </w:r>
          </w:p>
        </w:tc>
        <w:tc>
          <w:tcPr>
            <w:tcW w:w="1949" w:type="dxa"/>
            <w:tcBorders>
              <w:top w:val="single" w:sz="6" w:space="0" w:color="000000"/>
              <w:bottom w:val="single" w:sz="6" w:space="0" w:color="000000"/>
            </w:tcBorders>
            <w:vAlign w:val="center"/>
          </w:tcPr>
          <w:p>
            <w:pPr>
              <w:pStyle w:val="Normal"/>
              <w:spacing w:lineRule="auto" w:line="228"/>
              <w:jc w:val="center"/>
              <w:rPr/>
            </w:pPr>
            <w:r>
              <w:rPr>
                <w:sz w:val="17"/>
                <w:szCs w:val="17"/>
              </w:rPr>
              <w:t>0.914 / 0.887</w:t>
            </w:r>
          </w:p>
        </w:tc>
        <w:tc>
          <w:tcPr>
            <w:tcW w:w="1952" w:type="dxa"/>
            <w:tcBorders>
              <w:top w:val="single" w:sz="6" w:space="0" w:color="000000"/>
              <w:bottom w:val="single" w:sz="6" w:space="0" w:color="000000"/>
            </w:tcBorders>
            <w:vAlign w:val="center"/>
          </w:tcPr>
          <w:p>
            <w:pPr>
              <w:pStyle w:val="Normal"/>
              <w:spacing w:lineRule="auto" w:line="228"/>
              <w:jc w:val="center"/>
              <w:rPr/>
            </w:pPr>
            <w:r>
              <w:rPr>
                <w:sz w:val="17"/>
                <w:szCs w:val="17"/>
              </w:rPr>
              <w:t>0.942 / 0.943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IX</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pPr>
        <w:pStyle w:val="Heading2"/>
        <w:keepNext w:val="true"/>
        <w:spacing w:before="180" w:after="80"/>
        <w:rPr/>
      </w:pPr>
      <w:r>
        <w:rPr/>
        <w:t>A. What the References Show</w:t>
      </w:r>
    </w:p>
    <w:p>
      <w:pPr>
        <w:pStyle w:val="Normal"/>
        <w:spacing w:lineRule="auto" w:line="264" w:before="0" w:after="100"/>
        <w:ind w:firstLine="284"/>
        <w:jc w:val="both"/>
        <w:rPr/>
      </w:pPr>
      <w:r>
        <w:rPr/>
        <w:t xml:space="preserve"> </w:t>
      </w:r>
      <w:r>
        <w:rPr/>
        <w:t>The answer to the question posed in the title depends on what cross-context agreement is compared with. Against models trained on random halves of one context, VPN and Non-VPN rankings disagree more, in every repeat, and the permutation null shows that neither the half-split procedure nor the class-mix difference produces such a gap. Keeping related flows together reduces the gap, but by how much depends on the proxy for related flows. Feature clusters eliminate most of it; at the settings that the capture counts point to the mean gap is near zero, but the half-models are weak, the gap varies widely, and for Random Forest the mean averages a gap of +0.23 on the Non-VPN side and -0.19 on the VPN side, and clusters also separate regions of feature space that a capture split would not. Blocks of consecutive rows in the original files are not built from the features, although row position is correlated with some of them, and they leave the half-models far more accurate than coarse clusters do. At the capture-calibrated setting they reduce the gap to 0.07 for XGBoost and 0.15 for Random Forest, and even the first-versus-second-half split leaves 0.03 and 0.09 on average. The Spearman gap stays at or above zero in every repeat, but the repeats reuse nearly the same halves, and the RBO and Top-5 gaps turn negative in some of them. The two proxies disagree, and neither is a capture split: clusters may overcorrect, and blocks may undercorrect or, at their strictest, also separate regions of feature space. Together they suggest that part of the random-split gap reflects variation between groups of related flows, from about 20% to nearly all of it depending on the proxy and model. Two further checks narrow this. Explaining both contexts on the same records lowers the XGBoost gap by at most about 15% and the Random Forest gap by about 21–28% under random halves and 22–35% under row blocks, so the choice of explained records is not the main source of the disagreement. A grouped permutation null, run for two row-block and three cluster settings, shows that row-block grouping produces almost no gap by itself, so the positive row-block gaps are excess over the null; for clusters, the two versions of the null fall on either side of the observed gap, and the cluster results leave the question open. Some excess therefore remains under the grouping least tied to the features, but its size depends on how closely row blocks follow captures, and without capture identifiers or an independent second capture it cannot be pinned down. Because the contexts are different sets of captures, it cannot be attributed to tunnelling. A random within-context split, which is the usual way such references are built, would have exaggerated it.</w:t>
      </w:r>
    </w:p>
    <w:p>
      <w:pPr>
        <w:pStyle w:val="Heading2"/>
        <w:keepNext w:val="true"/>
        <w:spacing w:before="180" w:after="80"/>
        <w:rPr/>
      </w:pPr>
      <w:r>
        <w:rPr/>
        <w:t>B. Accuracy and Correlation Do Not Guarantee Consistent Explanations</w:t>
      </w:r>
    </w:p>
    <w:p>
      <w:pPr>
        <w:pStyle w:val="Normal"/>
        <w:spacing w:lineRule="auto" w:line="264" w:before="0" w:after="100"/>
        <w:ind w:firstLine="284"/>
        <w:jc w:val="both"/>
        <w:rPr/>
      </w:pPr>
      <w:r>
        <w:rPr/>
        <w:t>Predictive accuracy, whole-ranking correlation and agreement among the leading features measure different things. Here a cross-context Spearman of about 0.8 comes with only three shared Top-5 features and an RBO of 0.58–0.75. The leading features also depend on the explanation method: the minimum IATs that rise most under SHAP move much less under marginal or conditional permutation importance. A single summary statistic would hide both points. Reporting accuracy, whole-ranking and top-weighted agreement, a within-context reference built from data that are as independent as possible, and a second importance measure gives a fuller picture.</w:t>
      </w:r>
    </w:p>
    <w:p>
      <w:pPr>
        <w:pStyle w:val="Heading2"/>
        <w:keepNext w:val="true"/>
        <w:spacing w:before="180" w:after="80"/>
        <w:rPr/>
      </w:pPr>
      <w:r>
        <w:rPr/>
        <w:t>C. Correlated Features and the Role of Grouping</w:t>
      </w:r>
    </w:p>
    <w:p>
      <w:pPr>
        <w:pStyle w:val="Normal"/>
        <w:spacing w:lineRule="auto" w:line="264" w:before="0" w:after="100"/>
        <w:ind w:firstLine="284"/>
        <w:jc w:val="both"/>
        <w:rPr/>
      </w:pPr>
      <w:r>
        <w:rPr>
          <w:lang w:val="en-US"/>
        </w:rPr>
        <w:t>Aggregation into semantic families reduces the gaps, but family-level rankings differ from feature-level rankings, and the grouping definitions influence the results. Summing importance favours larger families. Per-member means give a larger gap than summing for Random Forest but not for XGBoost, and correlation-based clusters give a larger gap for XGBoost but not for Random Forest. Moving two correlated totals into the duration family also changes which family ranks highest.</w:t>
      </w:r>
    </w:p>
    <w:p>
      <w:pPr>
        <w:pStyle w:val="Normal"/>
        <w:spacing w:lineRule="auto" w:line="264" w:before="0" w:after="100"/>
        <w:ind w:firstLine="284"/>
        <w:jc w:val="both"/>
        <w:rPr/>
      </w:pPr>
      <w:r>
        <w:rPr>
          <w:lang w:val="en-US"/>
        </w:rPr>
        <w:t>Correlated features complicate the interpretation of individual feature shifts. For XGBoost, the three minimum IATs maintain their combined importance share across contexts, whereas for Random Forest the block's combined SHAP share rises under VPN, although permuting or removing the block costs slightly less macro F1 under VPN than without it. At the family level, the XGBoost gap stays about the same under clusters of about ten flows, so related-flow redundancy explains it less clearly than it explains the feature-level gap, and family-level conclusions depend on the grouping rule and family sizes (Section VII).</w:t>
      </w:r>
    </w:p>
    <w:p>
      <w:pPr>
        <w:pStyle w:val="Heading2"/>
        <w:keepNext w:val="true"/>
        <w:spacing w:before="180" w:after="80"/>
        <w:rPr/>
      </w:pPr>
      <w:r>
        <w:rPr/>
        <w:t>D. Do Explanation Differences Matter?</w:t>
      </w:r>
    </w:p>
    <w:p>
      <w:pPr>
        <w:pStyle w:val="Normal"/>
        <w:spacing w:lineRule="auto" w:line="264" w:before="0" w:after="100"/>
        <w:ind w:firstLine="284"/>
        <w:jc w:val="both"/>
        <w:rPr/>
      </w:pPr>
      <w:r>
        <w:rPr>
          <w:lang w:val="en-US"/>
        </w:rPr>
        <w:t>The two consequence tests point in different directions. A trained model transfers poorly, with macro F1 dropping to 0.43–0.61 in the other context, whereas a SHAP-selected feature list transfers more reliably. At k = 10 and k = 15, transferring a feature list reduces macro F1 by at most about 0.013 on average across selection seeds, with a maximum of 0.017 for an individual seed. For some target contexts, the transferred list performs better than the context-specific list. The test has limited power, however: the selection seeds yield only one to three distinct lists per model, context and k, each list is refitted once, and there is no equivalence margin, so the test rules out a large cost rather than showing that there is none.</w:t>
      </w:r>
    </w:p>
    <w:p>
      <w:pPr>
        <w:pStyle w:val="Normal"/>
        <w:spacing w:lineRule="auto" w:line="264" w:before="0" w:after="100"/>
        <w:ind w:firstLine="284"/>
        <w:jc w:val="both"/>
        <w:rPr/>
      </w:pPr>
      <w:r>
        <w:rPr>
          <w:lang w:val="en-US"/>
        </w:rPr>
        <w:t>At k = 10, matching the feature list to its context has a small effect, with differences of +0.008 for Random Forest and +0.010 for XGBoost. The largest per-target cost occurs for the VPN Random Forest and mostly reflects a Non-VPN feature list that is weaker on both targets. At k = 5, where two of the five selected features differ, single comparisons reach 0.05. The conclusion therefore holds only for moderately long feature lists.</w:t>
      </w:r>
    </w:p>
    <w:p>
      <w:pPr>
        <w:pStyle w:val="Heading2"/>
        <w:keepNext w:val="true"/>
        <w:spacing w:before="180" w:after="80"/>
        <w:rPr/>
      </w:pPr>
      <w:r>
        <w:rPr/>
        <w:t>E. Implications for Explainable Network Security Systems</w:t>
      </w:r>
    </w:p>
    <w:p>
      <w:pPr>
        <w:pStyle w:val="Normal"/>
        <w:spacing w:lineRule="auto" w:line="264" w:before="0" w:after="100"/>
        <w:ind w:firstLine="284"/>
        <w:jc w:val="both"/>
        <w:rPr/>
      </w:pPr>
      <w:r>
        <w:rPr>
          <w:b w:val="false"/>
          <w:bCs w:val="false"/>
          <w:lang w:val="en-US"/>
        </w:rPr>
        <w:t xml:space="preserve">An explanation report for a traffic classifier should specify the observation context, fitted model, attribution method, handling of undefined statistics, and aggregation rules. Claims of consistency should be checked against a reference in which the compared models do not share sessions, because randomly splitting dependent flows overstates within-context consistency. When two sets of rankings are compared, it helps to know how much of the difference comes only from explaining the models on different records: under random halves this accounts for about 21–28% of the Random Forest gap here and for almost none of the XGBoost gap. Explaining a model on the other context's records evaluates it outside its own data, so this is a diagnostic, not a better ranking. When explanations drive a decision, such as which features to keep, that decision should be tested on held-out data from the target context. Similar explanations alone do not guarantee that a deployed model will perform reliably in a different observation context.</w:t>
      </w:r>
    </w:p>
    <w:p>
      <w:pPr>
        <w:pStyle w:val="Heading1"/>
        <w:keepNext w:val="true"/>
        <w:spacing w:before="280" w:after="120"/>
        <w:jc w:val="center"/>
        <w:rPr/>
      </w:pPr>
      <w:r>
        <w:rPr/>
        <w:t>XI. THREATS TO VALIDITY AND LIMITATIONS</w:t>
      </w:r>
    </w:p>
    <w:p>
      <w:pPr>
        <w:pStyle w:val="Normal"/>
        <w:spacing w:lineRule="auto" w:line="264" w:before="0" w:after="100"/>
        <w:ind w:firstLine="284"/>
        <w:jc w:val="both"/>
        <w:rPr/>
      </w:pPr>
      <w:r>
        <w:rPr>
          <w:b/>
          <w:bCs/>
        </w:rPr>
        <w:t>Session dependence and the missing group split.</w:t>
      </w:r>
      <w:r>
        <w:rPr/>
        <w:t xml:space="preserve"> This is the most serious limitation, and it bears directly on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our inference, from the similarity of neighbouring rows, that the original files retain flows of one capture together; equal-sized blocks do not follow capture boundaries, and the first-versus-second-half split may also separate applications within a class. For VPN FT, MAIL, P2P and VOIP, adjacent rows are nearly as different as random rows, and BROWSING (no listed captures) and P2P (at most one listed capture per context) cannot be split by capture with the information available. The two proxies give different answers (a mean gap near zero against a positive mean gap), and the calibration from capture counts is rough. Only the division of training data into halves is grouped; the outer 80/20 split is random. The grouped null has no neutral form for clusters: reassigning single flows puts flows of one capture in both pseudo-contexts, and reassigning whole clusters makes the pseudo-contexts differ in feature space. For row blocks both versions agree, but they inherit the uncertainty about how well row blocks follow captures. The null was run for two of the five row-block settings and three of the four cluster settings. Within-context pairs are explained on shared test records and cross-context pairs, in the designs themselves, are not. Explaining both contexts on common records lowers the Random Forest gaps by about 21–28% under random halves and 22–35% under the two row-block settings, so Random Forest gaps measured on each context's own records overstate the difference between the models by roughly that much; the cluster designs and the other row-block settings were not recomputed on common records. The size of the cross-context excess therefore depends on an unknown session structure. Regenerating flows from the raw captures and splitting by capture file, or using a second independent capture of both contexts, would settle this.</w:t>
      </w:r>
    </w:p>
    <w:p>
      <w:pPr>
        <w:pStyle w:val="Normal"/>
        <w:spacing w:lineRule="auto" w:line="264" w:before="0" w:after="100"/>
        <w:ind w:firstLine="284"/>
        <w:jc w:val="both"/>
        <w:rPr/>
      </w:pPr>
      <w:r>
        <w:rPr>
          <w:b/>
          <w:bCs/>
        </w:rPr>
        <w:t>Benchmark age, reuse and construction.</w:t>
      </w:r>
      <w:r>
        <w:rP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pPr>
        <w:pStyle w:val="Normal"/>
        <w:spacing w:lineRule="auto" w:line="264" w:before="0" w:after="100"/>
        <w:ind w:firstLine="284"/>
        <w:jc w:val="both"/>
        <w:rPr/>
      </w:pPr>
      <w:r>
        <w:rPr>
          <w:b/>
          <w:bCs/>
        </w:rPr>
        <w:t>Class distribution.</w:t>
      </w:r>
      <w:r>
        <w:rPr/>
        <w:t xml:space="preserve"> The contexts have different class mixes. Class weighting, the class-mix swap, class-matched training of XGBoost with a same-size reference and the permutation null all leave the class-mix effect small, but the swapped training sets are limited to 3,400 flows and the matched sets reuse every Non-VPN MAIL flow.</w:t>
      </w:r>
    </w:p>
    <w:p>
      <w:pPr>
        <w:pStyle w:val="Normal"/>
        <w:spacing w:lineRule="auto" w:line="264" w:before="0" w:after="100"/>
        <w:ind w:firstLine="284"/>
        <w:jc w:val="both"/>
        <w:rPr/>
      </w:pPr>
      <w:r>
        <w:rPr>
          <w:b/>
          <w:bCs/>
        </w:rPr>
        <w:t>Correlated features and aggregation.</w:t>
      </w:r>
      <w:r>
        <w:rP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pPr>
        <w:pStyle w:val="Normal"/>
        <w:spacing w:lineRule="auto" w:line="264" w:before="0" w:after="100"/>
        <w:ind w:firstLine="284"/>
        <w:jc w:val="both"/>
        <w:rPr/>
      </w:pPr>
      <w:r>
        <w:rPr>
          <w:b/>
          <w:bCs/>
        </w:rPr>
        <w:t>Model, TreeSHAP and global aggregation.</w:t>
      </w:r>
      <w:r>
        <w:rP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pPr>
        <w:pStyle w:val="Normal"/>
        <w:spacing w:lineRule="auto" w:line="264" w:before="0" w:after="100"/>
        <w:ind w:firstLine="284"/>
        <w:jc w:val="both"/>
        <w:rPr/>
      </w:pPr>
      <w:r>
        <w:rPr>
          <w:b/>
          <w:bCs/>
        </w:rPr>
        <w:t>Consequence tests.</w:t>
      </w:r>
      <w:r>
        <w:rPr/>
        <w:t xml:space="preserve"> The feature-list test uses five inner splits per context, which yield only one to three distinct lists, and one refit per feature set; its intervals hold the models fixed, and it is not an equivalence test. The model-transfer test uses one model per context, and its comparison with cluster-grouped cross-validation is only indicative.</w:t>
      </w:r>
    </w:p>
    <w:p>
      <w:pPr>
        <w:pStyle w:val="Normal"/>
        <w:spacing w:lineRule="auto" w:line="264" w:before="0" w:after="100"/>
        <w:ind w:firstLine="284"/>
        <w:jc w:val="both"/>
        <w:rPr/>
      </w:pPr>
      <w:r>
        <w:rPr>
          <w:b/>
          <w:bCs/>
        </w:rPr>
        <w:t>Representation.</w:t>
      </w:r>
      <w:r>
        <w:rP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pPr>
        <w:pStyle w:val="Normal"/>
        <w:spacing w:lineRule="auto" w:line="264" w:before="0" w:after="100"/>
        <w:ind w:firstLine="284"/>
        <w:jc w:val="both"/>
        <w:rPr/>
      </w:pPr>
      <w:r>
        <w:rPr>
          <w:b/>
          <w:bCs/>
        </w:rPr>
        <w:t>Replication.</w:t>
      </w:r>
      <w:r>
        <w:rP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pPr>
        <w:pStyle w:val="Heading1"/>
        <w:keepNext w:val="true"/>
        <w:spacing w:before="280" w:after="120"/>
        <w:jc w:val="center"/>
        <w:rPr/>
      </w:pPr>
      <w:r>
        <w:rPr/>
        <w:t>XII. CONCLUSION AND FUTURE WORK</w:t>
      </w:r>
    </w:p>
    <w:p>
      <w:pPr>
        <w:pStyle w:val="Normal"/>
        <w:spacing w:lineRule="auto" w:line="264" w:before="0" w:after="100"/>
        <w:ind w:firstLine="284"/>
        <w:jc w:val="both"/>
        <w:rPr/>
      </w:pPr>
      <w:r>
        <w:rPr/>
        <w:t xml:space="preserve">This study asked whether the features a classifier relies on to separate seven application categories stay the same when traffic is observed with and without a VPN, and how any difference compares with the variation inside one context. On the ISCX VPN-nonVPN benchmark with its 23 time-related flow features, both models lose accuracy under VPN (macro F1 falls from 0.9340 to 0.8836 for XGBoost and from 0.9171 to 0.8533 for Random Forest), and a model trained in one context reaches only 0.43–0.61 macro F1 in the other. The SHAP rankings of the two contexts are correlated but not interchangeable: Spearman's </w:t>
      </w:r>
      <w:r>
        <w:rPr/>
      </w:r>
      <m:oMath xmlns:m="http://schemas.openxmlformats.org/officeDocument/2006/math">
        <m:r>
          <m:t xml:space="preserve">ρ</m:t>
        </m:r>
      </m:oMath>
      <w:r>
        <w:rPr/>
        <w:t xml:space="preserve"> is 0.83 for Random Forest and 0.79 for XGBoost, RBO is 0.58 and 0.75, and each model keeps three of its five leading features.</w:t>
      </w:r>
    </w:p>
    <w:p>
      <w:pPr>
        <w:pStyle w:val="Normal"/>
        <w:spacing w:lineRule="auto" w:line="264" w:before="0" w:after="100"/>
        <w:ind w:firstLine="284"/>
        <w:jc w:val="both"/>
        <w:rPr/>
      </w:pPr>
      <w:r>
        <w:rPr/>
        <w:t>How large this disagreement is depends on the reference. Against random halves of one context, cross-context Spearman agreement is lower by 0.13 for XGBoost and 0.19 for Random Forest, and a permutation null that keeps both class mixes produces little or no gap. Explaining the random-half models on the same records changes little for XGBoost and removes about 21–28% of the Random Forest gap. Keeping related flows in the same half also reduces the gap, measured on each context's own records: to 0.08–0.10 with clusters of about 10 flows, to 0.01–0.04 with clusters of about 35, and to about zero on average at the capture-calibrated setting, where the half-models are weak and opposite gaps in the two contexts cancel. Blocks of consecutive rows in the original files leave 0.07 and 0.15 at the calibrated setting and 0.03 and 0.09 when each class is split into its first and second halves. At these two settings the gaps remain when both contexts are explained on the same records, and a grouped permutation null shows that row-block grouping produces almost no gap by itself, although the RBO and Top-5 gaps are negative in some repeats of the first-versus-second-half split. For feature clusters no neutral null could be built, so the cluster results leave open whether an excess remains, and the top-weighted RBO gap and the XGBoost family-level gap shrink less under clusters than the Spearman gap does.</w:t>
      </w:r>
    </w:p>
    <w:p>
      <w:pPr>
        <w:pStyle w:val="Normal"/>
        <w:spacing w:lineRule="auto" w:line="264" w:before="0" w:after="100"/>
        <w:ind w:firstLine="284"/>
        <w:jc w:val="both"/>
        <w:rPr/>
      </w:pPr>
      <w:r>
        <w:rPr/>
        <w:t>Among single features, the clearest change is the rise of the three minimum inter-arrival times. For XGBoost it is mostly a redistribution of Shapley values within the block. For Random Forest the block's combined SHAP share rises, but permuting or removing the block costs less macro F1 under VPN than without it, so the two kinds of measure disagree on whether the model relies on it more. In practice, the useful distinction is between a trained model and a selected feature list: the model does not transfer, whereas for feature sets of 10 or 15 features a SHAP-selected list carries over at an average macro F1 loss of at most about 0.013 across selection seeds. Because the seeds produced few distinct lists, this test has limited power.</w:t>
      </w:r>
    </w:p>
    <w:p>
      <w:pPr>
        <w:pStyle w:val="Normal"/>
        <w:spacing w:lineRule="auto" w:line="264" w:before="0" w:after="100"/>
        <w:ind w:firstLine="284"/>
        <w:jc w:val="both"/>
        <w:rPr/>
      </w:pPr>
      <w:r>
        <w:rPr/>
        <w:t>On this benchmark, then, part of the random-split gap between SHAP rankings reflects variation between groups of related flows within a context, and part of it survives the two row-order settings tested against the null and on common records. The two contexts are different sets of captures, so none of the remaining difference can be attributed to tunnelling, and the proxies used here cannot measure a true between-session effect. Captures that keep session identifiers, or an independent second capture of both contexts, would settle the question, and newer traffic and class-specific explanations would show whether the pattern holds beyond this benchmark.</w:t>
      </w:r>
    </w:p>
    <w:p>
      <w:pPr>
        <w:pStyle w:val="Heading1"/>
        <w:keepNext w:val="true"/>
        <w:spacing w:before="280" w:after="120"/>
        <w:jc w:val="center"/>
        <w:rPr/>
      </w:pPr>
      <w:r>
        <w:rPr/>
        <w:t>DATA AND CODE AVAILABILITY</w:t>
      </w:r>
    </w:p>
    <w:p>
      <w:pPr>
        <w:pStyle w:val="Normal"/>
        <w:spacing w:lineRule="auto" w:line="264" w:before="0" w:after="100"/>
        <w:ind w:firstLine="284"/>
        <w:jc w:val="both"/>
        <w:rPr/>
      </w:pPr>
      <w:r>
        <w:rPr/>
        <w:t>The ISCX VPN-nonVPN benchmark, including the Scenario A2 time-based ARFF files used here, is publicly available from the Canadian Institute for Cybersecurity [50]. The analysis code (Python scripts for preprocessing, the reference designs, the explanation analyses, the tables and the figures) is kept in a private repository and has not been publicly released; it is available from the corresponding author on reasonable request. The processed artefacts (the deduplicated partitions, the mapping of each flow to its row in the original ARFF files, the per-record SHAP values and the result files) are available on the same terms, and the row mapping can be rebuilt from the public ARFF files with that code. Every table and figure that reports results was generated from these result files by the same code.</w:t>
      </w:r>
    </w:p>
    <w:p>
      <w:pPr>
        <w:pStyle w:val="Heading1"/>
        <w:keepNext w:val="true"/>
        <w:spacing w:before="280" w:after="120"/>
        <w:jc w:val="center"/>
        <w:rPr/>
      </w:pPr>
      <w:r>
        <w:rPr/>
        <w:t>REFERENCES</w:t>
      </w:r>
    </w:p>
    <w:p>
      <w:pPr>
        <w:pStyle w:val="Normal"/>
        <w:tabs>
          <w:tab w:val="clear" w:pos="720"/>
          <w:tab w:val="left" w:pos="460" w:leader="none"/>
        </w:tabs>
        <w:spacing w:lineRule="auto" w:line="228" w:before="0" w:after="30"/>
        <w:ind w:hanging="460" w:start="460"/>
        <w:rPr/>
      </w:pPr>
      <w:r>
        <w:rPr>
          <w:sz w:val="18"/>
          <w:szCs w:val="18"/>
        </w:rPr>
        <w:t>[1]</w:t>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pPr>
        <w:pStyle w:val="Normal"/>
        <w:tabs>
          <w:tab w:val="clear" w:pos="720"/>
          <w:tab w:val="left" w:pos="460" w:leader="none"/>
        </w:tabs>
        <w:spacing w:lineRule="auto" w:line="228" w:before="0" w:after="30"/>
        <w:ind w:hanging="460" w:start="460"/>
        <w:rPr/>
      </w:pPr>
      <w:r>
        <w:rPr>
          <w:sz w:val="18"/>
          <w:szCs w:val="18"/>
        </w:rPr>
        <w:t>[2]</w:t>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pPr>
        <w:pStyle w:val="Normal"/>
        <w:tabs>
          <w:tab w:val="clear" w:pos="720"/>
          <w:tab w:val="left" w:pos="460" w:leader="none"/>
        </w:tabs>
        <w:spacing w:lineRule="auto" w:line="228" w:before="0" w:after="30"/>
        <w:ind w:hanging="460" w:start="460"/>
        <w:rPr/>
      </w:pPr>
      <w:r>
        <w:rPr>
          <w:sz w:val="18"/>
          <w:szCs w:val="18"/>
        </w:rPr>
        <w:t>[3]</w:t>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pPr>
        <w:pStyle w:val="Normal"/>
        <w:tabs>
          <w:tab w:val="clear" w:pos="720"/>
          <w:tab w:val="left" w:pos="460" w:leader="none"/>
        </w:tabs>
        <w:spacing w:lineRule="auto" w:line="228" w:before="0" w:after="30"/>
        <w:ind w:hanging="460" w:start="460"/>
        <w:rPr/>
      </w:pPr>
      <w:r>
        <w:rPr>
          <w:sz w:val="18"/>
          <w:szCs w:val="18"/>
        </w:rPr>
        <w:t>[4]</w:t>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pPr>
        <w:pStyle w:val="Normal"/>
        <w:tabs>
          <w:tab w:val="clear" w:pos="720"/>
          <w:tab w:val="left" w:pos="460" w:leader="none"/>
        </w:tabs>
        <w:spacing w:lineRule="auto" w:line="228" w:before="0" w:after="30"/>
        <w:ind w:hanging="460" w:start="460"/>
        <w:rPr/>
      </w:pPr>
      <w:r>
        <w:rPr>
          <w:sz w:val="18"/>
          <w:szCs w:val="18"/>
        </w:rPr>
        <w:t>[5]</w:t>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pPr>
        <w:pStyle w:val="Normal"/>
        <w:tabs>
          <w:tab w:val="clear" w:pos="720"/>
          <w:tab w:val="left" w:pos="460" w:leader="none"/>
        </w:tabs>
        <w:spacing w:lineRule="auto" w:line="228" w:before="0" w:after="30"/>
        <w:ind w:hanging="460" w:start="460"/>
        <w:rPr/>
      </w:pPr>
      <w:r>
        <w:rPr>
          <w:sz w:val="18"/>
          <w:szCs w:val="18"/>
        </w:rPr>
        <w:t>[6]</w:t>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pPr>
        <w:pStyle w:val="Normal"/>
        <w:tabs>
          <w:tab w:val="clear" w:pos="720"/>
          <w:tab w:val="left" w:pos="460" w:leader="none"/>
        </w:tabs>
        <w:spacing w:lineRule="auto" w:line="228" w:before="0" w:after="30"/>
        <w:ind w:hanging="460" w:start="460"/>
        <w:rPr/>
      </w:pPr>
      <w:r>
        <w:rPr>
          <w:sz w:val="18"/>
          <w:szCs w:val="18"/>
        </w:rPr>
        <w:t>[7]</w:t>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pPr>
        <w:pStyle w:val="Normal"/>
        <w:tabs>
          <w:tab w:val="clear" w:pos="720"/>
          <w:tab w:val="left" w:pos="460" w:leader="none"/>
        </w:tabs>
        <w:spacing w:lineRule="auto" w:line="228" w:before="0" w:after="30"/>
        <w:ind w:hanging="460" w:start="460"/>
        <w:rPr/>
      </w:pPr>
      <w:r>
        <w:rPr>
          <w:sz w:val="18"/>
          <w:szCs w:val="18"/>
        </w:rPr>
        <w:t>[8]</w:t>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pPr>
        <w:pStyle w:val="Normal"/>
        <w:tabs>
          <w:tab w:val="clear" w:pos="720"/>
          <w:tab w:val="left" w:pos="460" w:leader="none"/>
        </w:tabs>
        <w:spacing w:lineRule="auto" w:line="228" w:before="0" w:after="30"/>
        <w:ind w:hanging="460" w:start="460"/>
        <w:rPr/>
      </w:pPr>
      <w:r>
        <w:rPr>
          <w:sz w:val="18"/>
          <w:szCs w:val="18"/>
        </w:rPr>
        <w:t>[9]</w:t>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w:t>
      </w:r>
    </w:p>
    <w:p>
      <w:pPr>
        <w:pStyle w:val="Normal"/>
        <w:tabs>
          <w:tab w:val="clear" w:pos="720"/>
          <w:tab w:val="left" w:pos="460" w:leader="none"/>
        </w:tabs>
        <w:spacing w:lineRule="auto" w:line="228" w:before="0" w:after="30"/>
        <w:ind w:hanging="460" w:start="460"/>
        <w:rPr/>
      </w:pPr>
      <w:r>
        <w:rPr>
          <w:sz w:val="18"/>
          <w:szCs w:val="18"/>
        </w:rPr>
        <w:t>[10]</w:t>
        <w:tab/>
        <w:t xml:space="preserve">M. Wang, K. Zheng, Y. Yang, and X. Wang, “An explainable machine learning framework for intrusion detection systems,” </w:t>
      </w:r>
      <w:r>
        <w:rPr>
          <w:i/>
          <w:iCs/>
          <w:sz w:val="18"/>
          <w:szCs w:val="18"/>
        </w:rPr>
        <w:t>IEEE Access</w:t>
      </w:r>
      <w:r>
        <w:rPr>
          <w:sz w:val="18"/>
          <w:szCs w:val="18"/>
        </w:rPr>
        <w:t>, vol. 8, pp. 73127-73141, 2020.</w:t>
      </w:r>
    </w:p>
    <w:p>
      <w:pPr>
        <w:pStyle w:val="Normal"/>
        <w:tabs>
          <w:tab w:val="clear" w:pos="720"/>
          <w:tab w:val="left" w:pos="460" w:leader="none"/>
        </w:tabs>
        <w:spacing w:lineRule="auto" w:line="228" w:before="0" w:after="30"/>
        <w:ind w:hanging="460" w:start="460"/>
        <w:rPr/>
      </w:pPr>
      <w:r>
        <w:rPr>
          <w:sz w:val="18"/>
          <w:szCs w:val="18"/>
        </w:rPr>
        <w:t>[11]</w:t>
        <w:tab/>
        <w:t xml:space="preserve">N. Capuano, G. Fenza, V. Loia, and C. Stanzione, “Explainable artificial intelligence in cybersecurity: A survey,” </w:t>
      </w:r>
      <w:r>
        <w:rPr>
          <w:i/>
          <w:iCs/>
          <w:sz w:val="18"/>
          <w:szCs w:val="18"/>
        </w:rPr>
        <w:t>IEEE Access</w:t>
      </w:r>
      <w:r>
        <w:rPr>
          <w:sz w:val="18"/>
          <w:szCs w:val="18"/>
        </w:rPr>
        <w:t>, vol. 10, pp. 93575-93600, 2022.</w:t>
      </w:r>
    </w:p>
    <w:p>
      <w:pPr>
        <w:pStyle w:val="Normal"/>
        <w:tabs>
          <w:tab w:val="clear" w:pos="720"/>
          <w:tab w:val="left" w:pos="460" w:leader="none"/>
        </w:tabs>
        <w:spacing w:lineRule="auto" w:line="228" w:before="0" w:after="30"/>
        <w:ind w:hanging="460" w:start="460"/>
        <w:rPr/>
      </w:pPr>
      <w:r>
        <w:rPr>
          <w:sz w:val="18"/>
          <w:szCs w:val="18"/>
        </w:rPr>
        <w:t>[12]</w:t>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w:t>
      </w:r>
    </w:p>
    <w:p>
      <w:pPr>
        <w:pStyle w:val="Normal"/>
        <w:tabs>
          <w:tab w:val="clear" w:pos="720"/>
          <w:tab w:val="left" w:pos="460" w:leader="none"/>
        </w:tabs>
        <w:spacing w:lineRule="auto" w:line="228" w:before="0" w:after="30"/>
        <w:ind w:hanging="460" w:start="460"/>
        <w:rPr/>
      </w:pPr>
      <w:r>
        <w:rPr>
          <w:sz w:val="18"/>
          <w:szCs w:val="18"/>
        </w:rPr>
        <w:t>[13]</w:t>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pPr>
        <w:pStyle w:val="Normal"/>
        <w:tabs>
          <w:tab w:val="clear" w:pos="720"/>
          <w:tab w:val="left" w:pos="460" w:leader="none"/>
        </w:tabs>
        <w:spacing w:lineRule="auto" w:line="228" w:before="0" w:after="30"/>
        <w:ind w:hanging="460" w:start="460"/>
        <w:rPr/>
      </w:pPr>
      <w:r>
        <w:rPr>
          <w:sz w:val="18"/>
          <w:szCs w:val="18"/>
        </w:rPr>
        <w:t>[14]</w:t>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pPr>
        <w:pStyle w:val="Normal"/>
        <w:tabs>
          <w:tab w:val="clear" w:pos="720"/>
          <w:tab w:val="left" w:pos="460" w:leader="none"/>
        </w:tabs>
        <w:spacing w:lineRule="auto" w:line="228" w:before="0" w:after="30"/>
        <w:ind w:hanging="460" w:start="460"/>
        <w:rPr/>
      </w:pPr>
      <w:r>
        <w:rPr>
          <w:sz w:val="18"/>
          <w:szCs w:val="18"/>
        </w:rPr>
        <w:t>[15]</w:t>
        <w:tab/>
        <w:t xml:space="preserve">D. Alvarez-Melis and T. S. Jaakkola, “On the robustness of interpretability methods,” 2018, </w:t>
      </w:r>
      <w:r>
        <w:rPr>
          <w:i/>
          <w:iCs/>
          <w:sz w:val="18"/>
          <w:szCs w:val="18"/>
        </w:rPr>
        <w:t>arXiv:1806.08049</w:t>
      </w:r>
      <w:r>
        <w:rPr>
          <w:sz w:val="18"/>
          <w:szCs w:val="18"/>
        </w:rPr>
        <w:t>.</w:t>
      </w:r>
    </w:p>
    <w:p>
      <w:pPr>
        <w:pStyle w:val="Normal"/>
        <w:tabs>
          <w:tab w:val="clear" w:pos="720"/>
          <w:tab w:val="left" w:pos="460" w:leader="none"/>
        </w:tabs>
        <w:spacing w:lineRule="auto" w:line="228" w:before="0" w:after="30"/>
        <w:ind w:hanging="460" w:start="460"/>
        <w:rPr/>
      </w:pPr>
      <w:r>
        <w:rPr>
          <w:sz w:val="18"/>
          <w:szCs w:val="18"/>
        </w:rPr>
        <w:t>[16]</w:t>
        <w:tab/>
        <w:t xml:space="preserve">A. Ghorbani, A. Abid, and J. Zou, “Interpretation of neural networks is fragile,” in </w:t>
      </w:r>
      <w:r>
        <w:rPr>
          <w:i/>
          <w:iCs/>
          <w:sz w:val="18"/>
          <w:szCs w:val="18"/>
        </w:rPr>
        <w:t>Proc. AAAI Conf. Artif. Intell.</w:t>
      </w:r>
      <w:r>
        <w:rPr>
          <w:sz w:val="18"/>
          <w:szCs w:val="18"/>
        </w:rPr>
        <w:t>, vol. 33, 2019, pp. 3681-3688.</w:t>
      </w:r>
    </w:p>
    <w:p>
      <w:pPr>
        <w:pStyle w:val="Normal"/>
        <w:tabs>
          <w:tab w:val="clear" w:pos="720"/>
          <w:tab w:val="left" w:pos="460" w:leader="none"/>
        </w:tabs>
        <w:spacing w:lineRule="auto" w:line="228" w:before="0" w:after="30"/>
        <w:ind w:hanging="460" w:start="460"/>
        <w:rPr/>
      </w:pPr>
      <w:r>
        <w:rPr>
          <w:sz w:val="18"/>
          <w:szCs w:val="18"/>
        </w:rPr>
        <w:t>[17]</w:t>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pPr>
        <w:pStyle w:val="Normal"/>
        <w:tabs>
          <w:tab w:val="clear" w:pos="720"/>
          <w:tab w:val="left" w:pos="460" w:leader="none"/>
        </w:tabs>
        <w:spacing w:lineRule="auto" w:line="228" w:before="0" w:after="30"/>
        <w:ind w:hanging="460" w:start="460"/>
        <w:rPr/>
      </w:pPr>
      <w:r>
        <w:rPr>
          <w:sz w:val="18"/>
          <w:szCs w:val="18"/>
        </w:rPr>
        <w:t>[18]</w:t>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pPr>
        <w:pStyle w:val="Normal"/>
        <w:tabs>
          <w:tab w:val="clear" w:pos="720"/>
          <w:tab w:val="left" w:pos="460" w:leader="none"/>
        </w:tabs>
        <w:spacing w:lineRule="auto" w:line="228" w:before="0" w:after="30"/>
        <w:ind w:hanging="460" w:start="460"/>
        <w:rPr/>
      </w:pPr>
      <w:r>
        <w:rPr>
          <w:sz w:val="18"/>
          <w:szCs w:val="18"/>
        </w:rPr>
        <w:t>[19]</w:t>
        <w:tab/>
        <w:t xml:space="preserve">H. Chen, J. D. Janizek, S. Lundberg, and S.-I. Lee, “True to the model or true to the data?” 2020, </w:t>
      </w:r>
      <w:r>
        <w:rPr>
          <w:i/>
          <w:iCs/>
          <w:sz w:val="18"/>
          <w:szCs w:val="18"/>
        </w:rPr>
        <w:t>arXiv:2006.16234</w:t>
      </w:r>
      <w:r>
        <w:rPr>
          <w:sz w:val="18"/>
          <w:szCs w:val="18"/>
        </w:rPr>
        <w:t>.</w:t>
      </w:r>
    </w:p>
    <w:p>
      <w:pPr>
        <w:pStyle w:val="Normal"/>
        <w:tabs>
          <w:tab w:val="clear" w:pos="720"/>
          <w:tab w:val="left" w:pos="460" w:leader="none"/>
        </w:tabs>
        <w:spacing w:lineRule="auto" w:line="228" w:before="0" w:after="30"/>
        <w:ind w:hanging="460" w:start="460"/>
        <w:rPr/>
      </w:pPr>
      <w:r>
        <w:rPr>
          <w:sz w:val="18"/>
          <w:szCs w:val="18"/>
        </w:rPr>
        <w:t>[20]</w:t>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pPr>
        <w:pStyle w:val="Normal"/>
        <w:tabs>
          <w:tab w:val="clear" w:pos="720"/>
          <w:tab w:val="left" w:pos="460" w:leader="none"/>
        </w:tabs>
        <w:spacing w:lineRule="auto" w:line="228" w:before="0" w:after="30"/>
        <w:ind w:hanging="460" w:start="460"/>
        <w:rPr/>
      </w:pPr>
      <w:r>
        <w:rPr>
          <w:sz w:val="18"/>
          <w:szCs w:val="18"/>
        </w:rPr>
        <w:t>[21]</w:t>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pPr>
        <w:pStyle w:val="Normal"/>
        <w:tabs>
          <w:tab w:val="clear" w:pos="720"/>
          <w:tab w:val="left" w:pos="460" w:leader="none"/>
        </w:tabs>
        <w:spacing w:lineRule="auto" w:line="228" w:before="0" w:after="30"/>
        <w:ind w:hanging="460" w:start="460"/>
        <w:rPr/>
      </w:pPr>
      <w:r>
        <w:rPr>
          <w:sz w:val="18"/>
          <w:szCs w:val="18"/>
        </w:rPr>
        <w:t>[22]</w:t>
        <w:tab/>
        <w:t xml:space="preserve">J. Holland, P. Schmitt, N. Feamster, and P. Mittal, “New directions in automated traffic analysis,” in </w:t>
      </w:r>
      <w:r>
        <w:rPr>
          <w:i/>
          <w:iCs/>
          <w:sz w:val="18"/>
          <w:szCs w:val="18"/>
        </w:rPr>
        <w:t>Proc. ACM SIGSAC Conf. Comput. Commun. Secur. (CCS)</w:t>
      </w:r>
      <w:r>
        <w:rPr>
          <w:sz w:val="18"/>
          <w:szCs w:val="18"/>
        </w:rPr>
        <w:t>, 2021, pp. 3366-3383.</w:t>
      </w:r>
    </w:p>
    <w:p>
      <w:pPr>
        <w:pStyle w:val="Normal"/>
        <w:tabs>
          <w:tab w:val="clear" w:pos="720"/>
          <w:tab w:val="left" w:pos="460" w:leader="none"/>
        </w:tabs>
        <w:spacing w:lineRule="auto" w:line="228" w:before="0" w:after="30"/>
        <w:ind w:hanging="460" w:start="460"/>
        <w:rPr/>
      </w:pPr>
      <w:r>
        <w:rPr>
          <w:sz w:val="18"/>
          <w:szCs w:val="18"/>
        </w:rPr>
        <w:t>[23]</w:t>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w:t>
      </w:r>
    </w:p>
    <w:p>
      <w:pPr>
        <w:pStyle w:val="Normal"/>
        <w:tabs>
          <w:tab w:val="clear" w:pos="720"/>
          <w:tab w:val="left" w:pos="460" w:leader="none"/>
        </w:tabs>
        <w:spacing w:lineRule="auto" w:line="228" w:before="0" w:after="30"/>
        <w:ind w:hanging="460" w:start="460"/>
        <w:rPr/>
      </w:pPr>
      <w:r>
        <w:rPr>
          <w:sz w:val="18"/>
          <w:szCs w:val="18"/>
        </w:rPr>
        <w:t>[24]</w:t>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w:t>
      </w:r>
    </w:p>
    <w:p>
      <w:pPr>
        <w:pStyle w:val="Normal"/>
        <w:tabs>
          <w:tab w:val="clear" w:pos="720"/>
          <w:tab w:val="left" w:pos="460" w:leader="none"/>
        </w:tabs>
        <w:spacing w:lineRule="auto" w:line="228" w:before="0" w:after="30"/>
        <w:ind w:hanging="460" w:start="460"/>
        <w:rPr/>
      </w:pPr>
      <w:r>
        <w:rPr>
          <w:sz w:val="18"/>
          <w:szCs w:val="18"/>
        </w:rPr>
        <w:t>[25]</w:t>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pPr>
        <w:pStyle w:val="Normal"/>
        <w:tabs>
          <w:tab w:val="clear" w:pos="720"/>
          <w:tab w:val="left" w:pos="460" w:leader="none"/>
        </w:tabs>
        <w:spacing w:lineRule="auto" w:line="228" w:before="0" w:after="30"/>
        <w:ind w:hanging="460" w:start="460"/>
        <w:rPr/>
      </w:pPr>
      <w:r>
        <w:rPr>
          <w:sz w:val="18"/>
          <w:szCs w:val="18"/>
        </w:rPr>
        <w:t>[26]</w:t>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pPr>
        <w:pStyle w:val="Normal"/>
        <w:tabs>
          <w:tab w:val="clear" w:pos="720"/>
          <w:tab w:val="left" w:pos="460" w:leader="none"/>
        </w:tabs>
        <w:spacing w:lineRule="auto" w:line="228" w:before="0" w:after="30"/>
        <w:ind w:hanging="460" w:start="460"/>
        <w:rPr/>
      </w:pPr>
      <w:r>
        <w:rPr>
          <w:sz w:val="18"/>
          <w:szCs w:val="18"/>
        </w:rPr>
        <w:t>[27]</w:t>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w:t>
      </w:r>
    </w:p>
    <w:p>
      <w:pPr>
        <w:pStyle w:val="Normal"/>
        <w:tabs>
          <w:tab w:val="clear" w:pos="720"/>
          <w:tab w:val="left" w:pos="460" w:leader="none"/>
        </w:tabs>
        <w:spacing w:lineRule="auto" w:line="228" w:before="0" w:after="30"/>
        <w:ind w:hanging="460" w:start="460"/>
        <w:rPr/>
      </w:pPr>
      <w:r>
        <w:rPr>
          <w:sz w:val="18"/>
          <w:szCs w:val="18"/>
        </w:rPr>
        <w:t>[28]</w:t>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pPr>
        <w:pStyle w:val="Normal"/>
        <w:tabs>
          <w:tab w:val="clear" w:pos="720"/>
          <w:tab w:val="left" w:pos="460" w:leader="none"/>
        </w:tabs>
        <w:spacing w:lineRule="auto" w:line="228" w:before="0" w:after="30"/>
        <w:ind w:hanging="460" w:start="460"/>
        <w:rPr/>
      </w:pPr>
      <w:r>
        <w:rPr>
          <w:sz w:val="18"/>
          <w:szCs w:val="18"/>
        </w:rPr>
        <w:t>[29]</w:t>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pPr>
        <w:pStyle w:val="Normal"/>
        <w:tabs>
          <w:tab w:val="clear" w:pos="720"/>
          <w:tab w:val="left" w:pos="460" w:leader="none"/>
        </w:tabs>
        <w:spacing w:lineRule="auto" w:line="228" w:before="0" w:after="30"/>
        <w:ind w:hanging="460" w:start="460"/>
        <w:rPr/>
      </w:pPr>
      <w:r>
        <w:rPr>
          <w:sz w:val="18"/>
          <w:szCs w:val="18"/>
        </w:rPr>
        <w:t>[30]</w:t>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pPr>
        <w:pStyle w:val="Normal"/>
        <w:tabs>
          <w:tab w:val="clear" w:pos="720"/>
          <w:tab w:val="left" w:pos="460" w:leader="none"/>
        </w:tabs>
        <w:spacing w:lineRule="auto" w:line="228" w:before="0" w:after="30"/>
        <w:ind w:hanging="460" w:start="460"/>
        <w:rPr/>
      </w:pPr>
      <w:r>
        <w:rPr>
          <w:sz w:val="18"/>
          <w:szCs w:val="18"/>
        </w:rPr>
        <w:t>[31]</w:t>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pPr>
        <w:pStyle w:val="Normal"/>
        <w:tabs>
          <w:tab w:val="clear" w:pos="720"/>
          <w:tab w:val="left" w:pos="460" w:leader="none"/>
        </w:tabs>
        <w:spacing w:lineRule="auto" w:line="228" w:before="0" w:after="30"/>
        <w:ind w:hanging="460" w:start="460"/>
        <w:rPr/>
      </w:pPr>
      <w:r>
        <w:rPr>
          <w:sz w:val="18"/>
          <w:szCs w:val="18"/>
        </w:rPr>
        <w:t>[32]</w:t>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pPr>
        <w:pStyle w:val="Normal"/>
        <w:tabs>
          <w:tab w:val="clear" w:pos="720"/>
          <w:tab w:val="left" w:pos="460" w:leader="none"/>
        </w:tabs>
        <w:spacing w:lineRule="auto" w:line="228" w:before="0" w:after="30"/>
        <w:ind w:hanging="460" w:start="460"/>
        <w:rPr/>
      </w:pPr>
      <w:r>
        <w:rPr>
          <w:sz w:val="18"/>
          <w:szCs w:val="18"/>
        </w:rPr>
        <w:t>[33]</w:t>
        <w:tab/>
        <w:t xml:space="preserve">M. Sundararajan and A. Najmi, “The many Shapley values for model explanation,” in </w:t>
      </w:r>
      <w:r>
        <w:rPr>
          <w:i/>
          <w:iCs/>
          <w:sz w:val="18"/>
          <w:szCs w:val="18"/>
        </w:rPr>
        <w:t>Proc. 37th Int. Conf. Mach. Learn. (ICML)</w:t>
      </w:r>
      <w:r>
        <w:rPr>
          <w:sz w:val="18"/>
          <w:szCs w:val="18"/>
        </w:rPr>
        <w:t>, PMLR vol. 119, 2020, pp. 9269-9278.</w:t>
      </w:r>
    </w:p>
    <w:p>
      <w:pPr>
        <w:pStyle w:val="Normal"/>
        <w:tabs>
          <w:tab w:val="clear" w:pos="720"/>
          <w:tab w:val="left" w:pos="460" w:leader="none"/>
        </w:tabs>
        <w:spacing w:lineRule="auto" w:line="228" w:before="0" w:after="30"/>
        <w:ind w:hanging="460" w:start="460"/>
        <w:rPr/>
      </w:pPr>
      <w:r>
        <w:rPr>
          <w:sz w:val="18"/>
          <w:szCs w:val="18"/>
        </w:rPr>
        <w:t>[34]</w:t>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w:t>
      </w:r>
    </w:p>
    <w:p>
      <w:pPr>
        <w:pStyle w:val="Normal"/>
        <w:tabs>
          <w:tab w:val="clear" w:pos="720"/>
          <w:tab w:val="left" w:pos="460" w:leader="none"/>
        </w:tabs>
        <w:spacing w:lineRule="auto" w:line="228" w:before="0" w:after="30"/>
        <w:ind w:hanging="460" w:start="460"/>
        <w:rPr/>
      </w:pPr>
      <w:r>
        <w:rPr>
          <w:sz w:val="18"/>
          <w:szCs w:val="18"/>
        </w:rPr>
        <w:t>[35]</w:t>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pPr>
        <w:pStyle w:val="Normal"/>
        <w:tabs>
          <w:tab w:val="clear" w:pos="720"/>
          <w:tab w:val="left" w:pos="460" w:leader="none"/>
        </w:tabs>
        <w:spacing w:lineRule="auto" w:line="228" w:before="0" w:after="30"/>
        <w:ind w:hanging="460" w:start="460"/>
        <w:rPr/>
      </w:pPr>
      <w:r>
        <w:rPr>
          <w:sz w:val="18"/>
          <w:szCs w:val="18"/>
        </w:rPr>
        <w:t>[36]</w:t>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pPr>
        <w:pStyle w:val="Normal"/>
        <w:tabs>
          <w:tab w:val="clear" w:pos="720"/>
          <w:tab w:val="left" w:pos="460" w:leader="none"/>
        </w:tabs>
        <w:spacing w:lineRule="auto" w:line="228" w:before="0" w:after="30"/>
        <w:ind w:hanging="460" w:start="460"/>
        <w:rPr/>
      </w:pPr>
      <w:r>
        <w:rPr>
          <w:sz w:val="18"/>
          <w:szCs w:val="18"/>
        </w:rPr>
        <w:t>[37]</w:t>
        <w:tab/>
        <w:t xml:space="preserve">M. Jullum, A. Redelmeier, and K. Aas, “groupShapley: Efficient prediction explanation with Shapley values for feature groups,” 2021, </w:t>
      </w:r>
      <w:r>
        <w:rPr>
          <w:i/>
          <w:iCs/>
          <w:sz w:val="18"/>
          <w:szCs w:val="18"/>
        </w:rPr>
        <w:t>arXiv:2106.12228</w:t>
      </w:r>
      <w:r>
        <w:rPr>
          <w:sz w:val="18"/>
          <w:szCs w:val="18"/>
        </w:rPr>
        <w:t>.</w:t>
      </w:r>
    </w:p>
    <w:p>
      <w:pPr>
        <w:pStyle w:val="Normal"/>
        <w:tabs>
          <w:tab w:val="clear" w:pos="720"/>
          <w:tab w:val="left" w:pos="460" w:leader="none"/>
        </w:tabs>
        <w:spacing w:lineRule="auto" w:line="228" w:before="0" w:after="30"/>
        <w:ind w:hanging="460" w:start="460"/>
        <w:rPr/>
      </w:pPr>
      <w:r>
        <w:rPr>
          <w:sz w:val="18"/>
          <w:szCs w:val="18"/>
        </w:rPr>
        <w:t>[38]</w:t>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w:t>
      </w:r>
    </w:p>
    <w:p>
      <w:pPr>
        <w:pStyle w:val="Normal"/>
        <w:tabs>
          <w:tab w:val="clear" w:pos="720"/>
          <w:tab w:val="left" w:pos="460" w:leader="none"/>
        </w:tabs>
        <w:spacing w:lineRule="auto" w:line="228" w:before="0" w:after="30"/>
        <w:ind w:hanging="460" w:start="460"/>
        <w:rPr/>
      </w:pPr>
      <w:r>
        <w:rPr>
          <w:sz w:val="18"/>
          <w:szCs w:val="18"/>
        </w:rPr>
        <w:t>[39]</w:t>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pPr>
        <w:pStyle w:val="Normal"/>
        <w:tabs>
          <w:tab w:val="clear" w:pos="720"/>
          <w:tab w:val="left" w:pos="460" w:leader="none"/>
        </w:tabs>
        <w:spacing w:lineRule="auto" w:line="228" w:before="0" w:after="30"/>
        <w:ind w:hanging="460" w:start="460"/>
        <w:rPr/>
      </w:pPr>
      <w:r>
        <w:rPr>
          <w:sz w:val="18"/>
          <w:szCs w:val="18"/>
        </w:rPr>
        <w:t>[40]</w:t>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pPr>
        <w:pStyle w:val="Normal"/>
        <w:tabs>
          <w:tab w:val="clear" w:pos="720"/>
          <w:tab w:val="left" w:pos="460" w:leader="none"/>
        </w:tabs>
        <w:spacing w:lineRule="auto" w:line="228" w:before="0" w:after="30"/>
        <w:ind w:hanging="460" w:start="460"/>
        <w:rPr/>
      </w:pPr>
      <w:r>
        <w:rPr>
          <w:sz w:val="18"/>
          <w:szCs w:val="18"/>
        </w:rPr>
        <w:t>[41]</w:t>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pPr>
        <w:pStyle w:val="Normal"/>
        <w:tabs>
          <w:tab w:val="clear" w:pos="720"/>
          <w:tab w:val="left" w:pos="460" w:leader="none"/>
        </w:tabs>
        <w:spacing w:lineRule="auto" w:line="228" w:before="0" w:after="30"/>
        <w:ind w:hanging="460" w:start="460"/>
        <w:rPr/>
      </w:pPr>
      <w:r>
        <w:rPr>
          <w:sz w:val="18"/>
          <w:szCs w:val="18"/>
        </w:rPr>
        <w:t>[42]</w:t>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pPr>
        <w:pStyle w:val="Normal"/>
        <w:tabs>
          <w:tab w:val="clear" w:pos="720"/>
          <w:tab w:val="left" w:pos="460" w:leader="none"/>
        </w:tabs>
        <w:spacing w:lineRule="auto" w:line="228" w:before="0" w:after="30"/>
        <w:ind w:hanging="460" w:start="460"/>
        <w:rPr/>
      </w:pPr>
      <w:r>
        <w:rPr>
          <w:sz w:val="18"/>
          <w:szCs w:val="18"/>
        </w:rPr>
        <w:t>[43]</w:t>
        <w:tab/>
        <w:t xml:space="preserve">C. Spearman, “The proof and measurement of association between two things,” </w:t>
      </w:r>
      <w:r>
        <w:rPr>
          <w:i/>
          <w:iCs/>
          <w:sz w:val="18"/>
          <w:szCs w:val="18"/>
        </w:rPr>
        <w:t>Amer. J. Psychol.</w:t>
      </w:r>
      <w:r>
        <w:rPr>
          <w:sz w:val="18"/>
          <w:szCs w:val="18"/>
        </w:rPr>
        <w:t>, vol. 15, no. 1, pp. 72-101, 1904.</w:t>
      </w:r>
    </w:p>
    <w:p>
      <w:pPr>
        <w:pStyle w:val="Normal"/>
        <w:tabs>
          <w:tab w:val="clear" w:pos="720"/>
          <w:tab w:val="left" w:pos="460" w:leader="none"/>
        </w:tabs>
        <w:spacing w:lineRule="auto" w:line="228" w:before="0" w:after="30"/>
        <w:ind w:hanging="460" w:start="460"/>
        <w:rPr/>
      </w:pPr>
      <w:r>
        <w:rPr>
          <w:sz w:val="18"/>
          <w:szCs w:val="18"/>
        </w:rPr>
        <w:t>[44]</w:t>
        <w:tab/>
        <w:t xml:space="preserve">M. G. Kendall, “A new measure of rank correlation,” </w:t>
      </w:r>
      <w:r>
        <w:rPr>
          <w:i/>
          <w:iCs/>
          <w:sz w:val="18"/>
          <w:szCs w:val="18"/>
        </w:rPr>
        <w:t>Biometrika</w:t>
      </w:r>
      <w:r>
        <w:rPr>
          <w:sz w:val="18"/>
          <w:szCs w:val="18"/>
        </w:rPr>
        <w:t>, vol. 30, no. 1/2, pp. 81-93, 1938.</w:t>
      </w:r>
    </w:p>
    <w:p>
      <w:pPr>
        <w:pStyle w:val="Normal"/>
        <w:tabs>
          <w:tab w:val="clear" w:pos="720"/>
          <w:tab w:val="left" w:pos="460" w:leader="none"/>
        </w:tabs>
        <w:spacing w:lineRule="auto" w:line="228" w:before="0" w:after="30"/>
        <w:ind w:hanging="460" w:start="460"/>
        <w:rPr/>
      </w:pPr>
      <w:r>
        <w:rPr>
          <w:sz w:val="18"/>
          <w:szCs w:val="18"/>
        </w:rPr>
        <w:t>[45]</w:t>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pPr>
        <w:pStyle w:val="Normal"/>
        <w:tabs>
          <w:tab w:val="clear" w:pos="720"/>
          <w:tab w:val="left" w:pos="460" w:leader="none"/>
        </w:tabs>
        <w:spacing w:lineRule="auto" w:line="228" w:before="0" w:after="30"/>
        <w:ind w:hanging="460" w:start="460"/>
        <w:rPr/>
      </w:pPr>
      <w:r>
        <w:rPr>
          <w:sz w:val="18"/>
          <w:szCs w:val="18"/>
        </w:rPr>
        <w:t>[46]</w:t>
        <w:tab/>
        <w:t xml:space="preserve">B. Efron and R. J. Tibshirani, </w:t>
      </w:r>
      <w:r>
        <w:rPr>
          <w:i/>
          <w:iCs/>
          <w:sz w:val="18"/>
          <w:szCs w:val="18"/>
        </w:rPr>
        <w:t>An Introduction to the Bootstrap</w:t>
      </w:r>
      <w:r>
        <w:rPr>
          <w:sz w:val="18"/>
          <w:szCs w:val="18"/>
        </w:rPr>
        <w:t>. New York, NY, USA: Chapman &amp; Hall, 1993.</w:t>
      </w:r>
    </w:p>
    <w:p>
      <w:pPr>
        <w:pStyle w:val="Normal"/>
        <w:tabs>
          <w:tab w:val="clear" w:pos="720"/>
          <w:tab w:val="left" w:pos="460" w:leader="none"/>
        </w:tabs>
        <w:spacing w:lineRule="auto" w:line="228" w:before="0" w:after="30"/>
        <w:ind w:hanging="460" w:start="460"/>
        <w:rPr/>
      </w:pPr>
      <w:r>
        <w:rPr>
          <w:sz w:val="18"/>
          <w:szCs w:val="18"/>
        </w:rPr>
        <w:t>[47]</w:t>
        <w:tab/>
        <w:t xml:space="preserve">P. Hall and H. Miller, “Using the bootstrap to quantify the authority of an empirical ranking,” </w:t>
      </w:r>
      <w:r>
        <w:rPr>
          <w:i/>
          <w:iCs/>
          <w:sz w:val="18"/>
          <w:szCs w:val="18"/>
        </w:rPr>
        <w:t>Ann. Statist.</w:t>
      </w:r>
      <w:r>
        <w:rPr>
          <w:sz w:val="18"/>
          <w:szCs w:val="18"/>
        </w:rPr>
        <w:t>, vol. 37, no. 6B, pp. 3929-3959, 2009.</w:t>
      </w:r>
    </w:p>
    <w:p>
      <w:pPr>
        <w:pStyle w:val="Normal"/>
        <w:tabs>
          <w:tab w:val="clear" w:pos="720"/>
          <w:tab w:val="left" w:pos="460" w:leader="none"/>
        </w:tabs>
        <w:spacing w:lineRule="auto" w:line="228" w:before="0" w:after="30"/>
        <w:ind w:hanging="460" w:start="460"/>
        <w:rPr/>
      </w:pPr>
      <w:r>
        <w:rPr>
          <w:sz w:val="18"/>
          <w:szCs w:val="18"/>
        </w:rPr>
        <w:t>[48]</w:t>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pPr>
        <w:pStyle w:val="Normal"/>
        <w:tabs>
          <w:tab w:val="clear" w:pos="720"/>
          <w:tab w:val="left" w:pos="460" w:leader="none"/>
        </w:tabs>
        <w:spacing w:lineRule="auto" w:line="228" w:before="0" w:after="30"/>
        <w:ind w:hanging="460" w:start="460"/>
        <w:rPr/>
      </w:pPr>
      <w:r>
        <w:rPr>
          <w:sz w:val="18"/>
          <w:szCs w:val="18"/>
        </w:rPr>
        <w:t>[49]</w:t>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pPr>
        <w:pStyle w:val="Normal"/>
        <w:tabs>
          <w:tab w:val="clear" w:pos="720"/>
          <w:tab w:val="left" w:pos="460" w:leader="none"/>
        </w:tabs>
        <w:spacing w:lineRule="auto" w:line="228" w:before="0" w:after="30"/>
        <w:ind w:hanging="460" w:start="460"/>
        <w:rPr/>
      </w:pPr>
      <w:r>
        <w:rPr>
          <w:sz w:val="18"/>
          <w:szCs w:val="18"/>
        </w:rPr>
        <w:t>[50]</w:t>
        <w:tab/>
        <w:t>Canadian Institute for Cybersecurity, “VPN-nonVPN dataset (ISCXVPN2016),” University of New Brunswick. [Online]. Available: https://www.unb.ca/cic/datasets/vpn.html</w:t>
      </w:r>
    </w:p>
    <w:p>
      <w:pPr>
        <w:pStyle w:val="Normal"/>
        <w:tabs>
          <w:tab w:val="clear" w:pos="720"/>
          <w:tab w:val="left" w:pos="460" w:leader="none"/>
        </w:tabs>
        <w:spacing w:lineRule="auto" w:line="228" w:before="0" w:after="30"/>
        <w:ind w:hanging="460" w:start="460"/>
        <w:rPr/>
      </w:pPr>
      <w:r>
        <w:rPr>
          <w:sz w:val="18"/>
          <w:szCs w:val="18"/>
        </w:rPr>
        <w:t>[51]</w:t>
        <w:tab/>
        <w:t xml:space="preserve">L. Breiman, “Random forests,” </w:t>
      </w:r>
      <w:r>
        <w:rPr>
          <w:i/>
          <w:iCs/>
          <w:sz w:val="18"/>
          <w:szCs w:val="18"/>
        </w:rPr>
        <w:t>Mach. Learn.</w:t>
      </w:r>
      <w:r>
        <w:rPr>
          <w:sz w:val="18"/>
          <w:szCs w:val="18"/>
        </w:rPr>
        <w:t>, vol. 45, no. 1, pp. 5-32, 2001, doi: 10.1023/A:1010933404324.</w:t>
      </w:r>
    </w:p>
    <w:p>
      <w:pPr>
        <w:pStyle w:val="Normal"/>
        <w:tabs>
          <w:tab w:val="clear" w:pos="720"/>
          <w:tab w:val="left" w:pos="460" w:leader="none"/>
        </w:tabs>
        <w:spacing w:lineRule="auto" w:line="228" w:before="0" w:after="30"/>
        <w:ind w:hanging="460" w:start="460"/>
        <w:rPr/>
      </w:pPr>
      <w:r>
        <w:rPr>
          <w:sz w:val="18"/>
          <w:szCs w:val="18"/>
        </w:rPr>
        <w:t>[52]</w:t>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pPr>
        <w:pStyle w:val="Normal"/>
        <w:tabs>
          <w:tab w:val="clear" w:pos="720"/>
          <w:tab w:val="left" w:pos="460" w:leader="none"/>
        </w:tabs>
        <w:spacing w:lineRule="auto" w:line="228" w:before="0" w:after="30"/>
        <w:ind w:hanging="460" w:start="460"/>
        <w:rPr/>
      </w:pPr>
      <w:r>
        <w:rPr>
          <w:sz w:val="18"/>
          <w:szCs w:val="18"/>
        </w:rPr>
        <w:t>[53]</w:t>
        <w:tab/>
        <w:t xml:space="preserve">P. Geurts, D. Ernst, and L. Wehenkel, “Extremely randomized trees,” </w:t>
      </w:r>
      <w:r>
        <w:rPr>
          <w:i/>
          <w:iCs/>
          <w:sz w:val="18"/>
          <w:szCs w:val="18"/>
        </w:rPr>
        <w:t>Mach. Learn.</w:t>
      </w:r>
      <w:r>
        <w:rPr>
          <w:sz w:val="18"/>
          <w:szCs w:val="18"/>
        </w:rPr>
        <w:t>, vol. 63, no. 1, pp. 3-42, 2006, doi: 10.1007/s10994-006-6226-1.</w:t>
      </w:r>
    </w:p>
    <w:p>
      <w:pPr>
        <w:pStyle w:val="Normal"/>
        <w:tabs>
          <w:tab w:val="clear" w:pos="720"/>
          <w:tab w:val="left" w:pos="460" w:leader="none"/>
        </w:tabs>
        <w:spacing w:lineRule="auto" w:line="228" w:before="0" w:after="30"/>
        <w:ind w:hanging="460" w:start="460"/>
        <w:rPr/>
      </w:pPr>
      <w:r>
        <w:rPr>
          <w:sz w:val="18"/>
          <w:szCs w:val="18"/>
        </w:rPr>
        <w:t>[54]</w:t>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pPr>
        <w:pStyle w:val="Normal"/>
        <w:tabs>
          <w:tab w:val="clear" w:pos="720"/>
          <w:tab w:val="left" w:pos="460" w:leader="none"/>
        </w:tabs>
        <w:spacing w:lineRule="auto" w:line="228" w:before="0" w:after="30"/>
        <w:ind w:hanging="460" w:start="460"/>
        <w:rPr/>
      </w:pPr>
      <w:r>
        <w:rPr>
          <w:sz w:val="18"/>
          <w:szCs w:val="18"/>
        </w:rPr>
        <w:t xml:space="preserve">[55]M. G. Kendall, “The treatment of ties in ranking problems,” Biometrika,</w:t>
        <w:tab/>
      </w:r>
      <w:r>
        <w:rPr>
          <w:i/>
          <w:iCs/>
          <w:sz w:val="18"/>
          <w:szCs w:val="18"/>
        </w:rPr>
        <w:t xml:space="preserve"/>
      </w:r>
      <w:r>
        <w:rPr>
          <w:sz w:val="18"/>
          <w:szCs w:val="18"/>
        </w:rPr>
        <w:t xml:space="preserve"> vol. 33, no. 3, pp. 239-251, 1945, doi: 10.1093/biomet/33.3.239.</w:t>
      </w:r>
    </w:p>
    <w:p>
      <w:pPr>
        <w:pStyle w:val="Normal"/>
        <w:tabs>
          <w:tab w:val="clear" w:pos="720"/>
          <w:tab w:val="left" w:pos="460" w:leader="none"/>
        </w:tabs>
        <w:spacing w:lineRule="auto" w:line="228" w:before="0" w:after="30"/>
        <w:ind w:hanging="460" w:start="460"/>
        <w:rPr/>
      </w:pPr>
      <w:r>
        <w:rPr>
          <w:sz w:val="18"/>
          <w:szCs w:val="18"/>
        </w:rPr>
        <w:t>[56]munhouiani, “Deep-Packet: PyTorch implementation of Deep Packet,” GitHub repository. Accessed: Oct. 15, 2026. [Online]. Available: https://github.com/munhouiani/Deep-Packet</w:t>
        <w:tab/>
      </w:r>
    </w:p>
    <w:p>
      <w:pPr>
        <w:pStyle w:val="Normal"/>
        <w:tabs>
          <w:tab w:val="clear" w:pos="720"/>
          <w:tab w:val="left" w:pos="460" w:leader="none"/>
        </w:tabs>
        <w:spacing w:lineRule="auto" w:line="228" w:before="0" w:after="30"/>
        <w:ind w:hanging="460" w:start="460"/>
        <w:rPr/>
      </w:pPr>
      <w:r>
        <w:rPr>
          <w:sz w:val="18"/>
          <w:szCs w:val="18"/>
        </w:rPr>
        <w:t>[57]</w:t>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pPr>
        <w:pStyle w:val="Normal"/>
        <w:tabs>
          <w:tab w:val="clear" w:pos="720"/>
          <w:tab w:val="left" w:pos="460" w:leader="none"/>
        </w:tabs>
        <w:spacing w:lineRule="auto" w:line="228" w:before="0" w:after="30"/>
        <w:ind w:hanging="460" w:start="460"/>
        <w:rPr/>
      </w:pPr>
      <w:r>
        <w:rPr>
          <w:sz w:val="18"/>
          <w:szCs w:val="18"/>
        </w:rPr>
        <w:t>[58]</w:t>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w:t>
      </w:r>
    </w:p>
    <w:p>
      <w:pPr>
        <w:pStyle w:val="Normal"/>
        <w:tabs>
          <w:tab w:val="clear" w:pos="720"/>
          <w:tab w:val="left" w:pos="460" w:leader="none"/>
        </w:tabs>
        <w:spacing w:lineRule="auto" w:line="228" w:before="0" w:after="30"/>
        <w:ind w:hanging="460" w:start="460"/>
        <w:rPr/>
      </w:pPr>
      <w:r>
        <w:rPr>
          <w:sz w:val="18"/>
          <w:szCs w:val="18"/>
        </w:rPr>
        <w:t>[59]</w:t>
        <w:tab/>
        <w:t xml:space="preserve">S. Kapoor and A. Narayanan, “Leakage and the reproducibility crisis in machine-learning-based science,” </w:t>
      </w:r>
      <w:r>
        <w:rPr>
          <w:i/>
          <w:iCs/>
          <w:sz w:val="18"/>
          <w:szCs w:val="18"/>
        </w:rPr>
        <w:t>Patterns</w:t>
      </w:r>
      <w:r>
        <w:rPr>
          <w:sz w:val="18"/>
          <w:szCs w:val="18"/>
        </w:rPr>
        <w:t>, vol. 4, no. 9, Art. no. 100804, 2023.</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0" w:top="1440" w:footer="70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Times New Roman" w:hAnsi="Times New Roman" w:eastAsia="Times New Roman" w:cs="Times New Roman"/>
      <w:color w:val="000000"/>
      <w:kern w:val="0"/>
      <w:sz w:val="22"/>
      <w:szCs w:val="22"/>
      <w:lang w:val="en-US" w:eastAsia="en-US" w:bidi="en-US"/>
    </w:r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customStyle="1">
    <w:name w:val="Footnote Characters (user)"/>
    <w:uiPriority w:val="99"/>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customStyle="1">
    <w:name w:val="Endnote Characters (user)"/>
    <w:uiPriority w:val="99"/>
    <w:semiHidden/>
    <w:unhideWhenUsed/>
    <w:qFormat/>
    <w:rPr>
      <w:vertAlign w:val="superscript"/>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FollowedHyperlink">
    <w:name w:val="FollowedHyperlink"/>
    <w:basedOn w:val="DefaultParagraphFont"/>
    <w:rPr>
      <w:color w:themeColor="followedHyperlink" w:val="954F72"/>
      <w:u w:val="single"/>
    </w:rPr>
  </w:style>
  <w:style w:type="character" w:styleId="UnresolvedMention">
    <w:name w:val="Unresolved Mention"/>
    <w:basedOn w:val="DefaultParagraphFont"/>
    <w:uiPriority w:val="99"/>
    <w:semiHidden/>
    <w:unhideWhenUsed/>
    <w:qFormat/>
    <w:rsid w:val="007b703d"/>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uiPriority w:val="10"/>
    <w:qFormat/>
    <w:pPr/>
    <w:rPr>
      <w:sz w:val="56"/>
      <w:szCs w:val="56"/>
    </w:rPr>
  </w:style>
  <w:style w:type="paragraph" w:styleId="StrongEmphasis" w:customStyle="1">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pPr>
    <w:rPr>
      <w:sz w:val="20"/>
      <w:szCs w:val="20"/>
    </w:rPr>
  </w:style>
  <w:style w:type="paragraph" w:styleId="EndnoteText">
    <w:name w:val="endnote text"/>
    <w:basedOn w:val="Normal"/>
    <w:link w:val="EndnoteTextChar"/>
    <w:uiPriority w:val="99"/>
    <w:semiHidden/>
    <w:unhideWhenUsed/>
    <w:pPr>
      <w:spacing w:lineRule="auto" w:line="240"/>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address" w:customStyle="1">
    <w:name w:val="address"/>
    <w:basedOn w:val="Normal"/>
    <w:qFormat/>
    <w:pPr>
      <w:spacing w:lineRule="atLeast" w:line="220" w:before="0" w:after="200"/>
      <w:contextualSpacing/>
      <w:jc w:val="center"/>
      <w:textAlignment w:val="baseline"/>
    </w:pPr>
    <w:rPr>
      <w:sz w:val="18"/>
      <w:szCs w:val="20"/>
    </w:rPr>
  </w:style>
  <w:style w:type="paragraph" w:styleId="NormalWeb">
    <w:name w:val="Normal (Web)"/>
    <w:basedOn w:val="Normal"/>
    <w:uiPriority w:val="99"/>
    <w:semiHidden/>
    <w:unhideWhenUsed/>
    <w:qFormat/>
    <w:rsid w:val="004b10c3"/>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andrevu.jeevan2024@vitstudent.ac.in" TargetMode="External"/><Relationship Id="rId3" Type="http://schemas.openxmlformats.org/officeDocument/2006/relationships/hyperlink" Target="mailto:nishok.khumarsd2024@vitstudent.ac.i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LibreOffice/26.2.1.2$Windows_X86_64 LibreOffice_project/620$Build-2</Application>
  <AppVersion>15.0000</AppVersion>
  <Pages>36</Pages>
  <Words>20764</Words>
  <Characters>108877</Characters>
  <CharactersWithSpaces>128144</CharactersWithSpaces>
  <Paragraphs>1543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2026-10-17T05:19:00Z</dcterms:created>
  <dc:creator>B JEEVAN SAI REDDY</dc:creator>
  <dc:description/>
  <dc:language>en-US</dc:language>
  <cp:lastModifiedBy/>
  <dcterms:modified xsi:type="dcterms:W3CDTF">2026-10-20T21:03:52Z</dcterms:modified>
  <cp:revision>6</cp:revision>
  <dc:subject>Cross-context consistency of TreeSHAP rankings on ISCX VPN-nonVPN</dc:subject>
  <dc:title>Cross-Context Stability of SHAP-Based Feature Importance</dc:title>
</cp:coreProperties>
</file>

<file path=docProps/custom.xml><?xml version="1.0" encoding="utf-8"?>
<Properties xmlns="http://schemas.openxmlformats.org/officeDocument/2006/custom-properties" xmlns:vt="http://schemas.openxmlformats.org/officeDocument/2006/docPropsVTypes"/>
</file>