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instrText>TOC \h \o "1-2"</w:instrText>
            <w:fldChar w:fldCharType="separate"/>
          </w:r>
          <w:hyperlink w:anchor="_Toc234507103" w:history="1">
            <w:r>
              <w:rPr>
                <w:rStyle w:val="Hyperlink"/>
                <w:noProof/>
              </w:rPr>
              <w:t>1. What the program is</w:t>
            </w:r>
            <w:r>
              <w:rPr>
                <w:noProof/>
              </w:rPr>
              <w:tab/>
              <w:fldChar w:fldCharType="begin"/>
              <w:instrText xml:space="preserve"> PAGEREF _Toc234507103 \h </w:instrText>
              <w:fldChar w:fldCharType="separate"/>
              <w:t>1</w:t>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fldChar w:fldCharType="begin"/>
              <w:instrText xml:space="preserve"> PAGEREF _Toc234507104 \h </w:instrText>
              <w:fldChar w:fldCharType="separate"/>
              <w:t>1</w:t>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fldChar w:fldCharType="begin"/>
              <w:instrText xml:space="preserve"> PAGEREF _Toc234507105 \h </w:instrText>
              <w:fldChar w:fldCharType="separate"/>
              <w:t>1</w:t>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fldChar w:fldCharType="begin"/>
              <w:instrText xml:space="preserve"> PAGEREF _Toc234507106 \h </w:instrText>
              <w:fldChar w:fldCharType="separate"/>
              <w:t>1</w:t>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fldChar w:fldCharType="begin"/>
              <w:instrText xml:space="preserve"> PAGEREF _Toc234507107 \h </w:instrText>
              <w:fldChar w:fldCharType="separate"/>
              <w:t>1</w:t>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fldChar w:fldCharType="begin"/>
              <w:instrText xml:space="preserve"> PAGEREF _Toc234507108 \h </w:instrText>
              <w:fldChar w:fldCharType="separate"/>
              <w:t>1</w:t>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fldChar w:fldCharType="begin"/>
              <w:instrText xml:space="preserve"> PAGEREF _Toc234507109 \h </w:instrText>
              <w:fldChar w:fldCharType="separate"/>
              <w:t>1</w:t>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fldChar w:fldCharType="begin"/>
              <w:instrText xml:space="preserve"> PAGEREF _Toc234507110 \h </w:instrText>
              <w:fldChar w:fldCharType="separate"/>
              <w:t>1</w:t>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fldChar w:fldCharType="begin"/>
              <w:instrText xml:space="preserve"> PAGEREF _Toc234507111 \h </w:instrText>
              <w:fldChar w:fldCharType="separate"/>
              <w:t>1</w:t>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fldChar w:fldCharType="begin"/>
              <w:instrText xml:space="preserve"> PAGEREF _Toc234507112 \h </w:instrText>
              <w:fldChar w:fldCharType="separate"/>
              <w:t>1</w:t>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fldChar w:fldCharType="begin"/>
              <w:instrText xml:space="preserve"> PAGEREF _Toc234507113 \h </w:instrText>
              <w:fldChar w:fldCharType="separate"/>
              <w:t>1</w:t>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fldChar w:fldCharType="begin"/>
              <w:instrText xml:space="preserve"> PAGEREF _Toc234507114 \h </w:instrText>
              <w:fldChar w:fldCharType="separate"/>
              <w:t>1</w:t>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fldChar w:fldCharType="begin"/>
              <w:instrText xml:space="preserve"> PAGEREF _Toc234507115 \h </w:instrText>
              <w:fldChar w:fldCharType="separate"/>
              <w:t>1</w:t>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fldChar w:fldCharType="begin"/>
              <w:instrText xml:space="preserve"> PAGEREF _Toc234507116 \h </w:instrText>
              <w:fldChar w:fldCharType="separate"/>
              <w:t>1</w:t>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fldChar w:fldCharType="begin"/>
              <w:instrText xml:space="preserve"> PAGEREF _Toc234507117 \h </w:instrText>
              <w:fldChar w:fldCharType="separate"/>
              <w:t>1</w:t>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fldChar w:fldCharType="begin"/>
              <w:instrText xml:space="preserve"> PAGEREF _Toc234507118 \h </w:instrText>
              <w:fldChar w:fldCharType="separate"/>
              <w:t>1</w:t>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fldChar w:fldCharType="begin"/>
              <w:instrText xml:space="preserve"> PAGEREF _Toc234507119 \h </w:instrText>
              <w:fldChar w:fldCharType="separate"/>
              <w:t>1</w:t>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fldChar w:fldCharType="begin"/>
              <w:instrText xml:space="preserve"> PAGEREF _Toc234507999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fldChar w:fldCharType="begin"/>
              <w:instrText xml:space="preserve"> PAGEREF _Toc234507120 \h </w:instrText>
              <w:fldChar w:fldCharType="separate"/>
              <w:t>1</w:t>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fldChar w:fldCharType="begin"/>
              <w:instrText xml:space="preserve"> PAGEREF _Toc234507121 \h </w:instrText>
              <w:fldChar w:fldCharType="separate"/>
              <w:t>1</w:t>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fldChar w:fldCharType="begin"/>
              <w:instrText xml:space="preserve"> PAGEREF _Toc234507122 \h </w:instrText>
              <w:fldChar w:fldCharType="separate"/>
              <w:t>1</w:t>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fldChar w:fldCharType="begin"/>
              <w:instrText xml:space="preserve"> PAGEREF _Toc234507123 \h </w:instrText>
              <w:fldChar w:fldCharType="separate"/>
              <w:t>1</w:t>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fldChar w:fldCharType="begin"/>
              <w:instrText xml:space="preserve"> PAGEREF _Toc234507124 \h </w:instrText>
              <w:fldChar w:fldCharType="separate"/>
              <w:t>1</w:t>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fldChar w:fldCharType="begin"/>
              <w:instrText xml:space="preserve"> PAGEREF _Toc234507125 \h </w:instrText>
              <w:fldChar w:fldCharType="separate"/>
              <w:t>1</w:t>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fldChar w:fldCharType="begin"/>
              <w:instrText xml:space="preserve"> PAGEREF _Toc234507126 \h </w:instrText>
              <w:fldChar w:fldCharType="separate"/>
              <w:t>1</w:t>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fldChar w:fldCharType="begin"/>
              <w:instrText xml:space="preserve"> PAGEREF _Toc234507127 \h </w:instrText>
              <w:fldChar w:fldCharType="separate"/>
              <w:t>1</w:t>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fldChar w:fldCharType="begin"/>
              <w:instrText xml:space="preserve"> PAGEREF _Toc234507128 \h </w:instrText>
              <w:fldChar w:fldCharType="separate"/>
              <w:t>1</w:t>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fldChar w:fldCharType="begin"/>
              <w:instrText xml:space="preserve"> PAGEREF _Toc234507129 \h </w:instrText>
              <w:fldChar w:fldCharType="separate"/>
              <w:t>1</w:t>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fldChar w:fldCharType="begin"/>
              <w:instrText xml:space="preserve"> PAGEREF _Toc234507130 \h </w:instrText>
              <w:fldChar w:fldCharType="separate"/>
              <w:t>1</w:t>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the active deployment target. Reload buttons for the schema and key map live here.</w:t>
            </w:r>
          </w:p>
        </w:tc>
      </w:tr>
    </w:tbl>
    <w:p w14:paraId="11E19539" w14:textId="77777777" w:rsidR="00B24088" w:rsidRDefault="00000000">
      <w:pPr>
        <w:spacing w:after="120" w:line="276" w:lineRule="auto"/>
      </w:pPr>
      <w:r>
        <w:rPr>
          <w:b/>
          <w:bCs/>
        </w:rPr>
        <w:t xml:space="preserve">Theme Style. </w:t>
      </w:r>
      <w:r>
        <w:t xml:space="preserve">The App Config tab includes a Theme Style dropdown. Classic — the default — builds a Material theme around an accent color picked from the swatch grid shown beneath the dropdown, and three Auris sci-fi HUD variants (Amber, Teal, and Magenta) are also available. The sun/moon button on the toolbar still toggles dark and light within whichever style is selected, and every choice is saved and restored on the next launch.</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blPrEx>
          <w:tblCellMar>
            <w:top w:w="0" w:type="dxa"/>
            <w:bottom w:w="0" w:type="dxa"/>
          </w:tblCellMar>
        </w:tblPrEx>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lastRenderedPageBreak/>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 xml:space="preserve">Building code normalization</w:t>
      </w:r>
      <w:r>
        <w:t xml:space="preserve"> — if </w:t>
      </w:r>
      <w:r>
        <w:rPr>
          <w:rFonts w:ascii="Consolas" w:eastAsia="Consolas" w:hAnsi="Consolas" w:cs="Consolas"/>
          <w:color w:val="A31515"/>
          <w:sz w:val="19"/>
          <w:szCs w:val="19"/>
        </w:rPr>
        <w:t xml:space="preserve">gve_bldg</w:t>
      </w:r>
      <w:r>
        <w:t xml:space="preserve"> holds a full building name found in </w:t>
      </w:r>
      <w:r>
        <w:rPr>
          <w:rFonts w:ascii="Consolas" w:eastAsia="Consolas" w:hAnsi="Consolas" w:cs="Consolas"/>
          <w:color w:val="A31515"/>
          <w:sz w:val="19"/>
          <w:szCs w:val="19"/>
        </w:rPr>
        <w:t xml:space="preserve">buildings.json</w:t>
      </w:r>
      <w:r>
        <w:t xml:space="preserve">, it is converted to the building code (e.g. </w:t>
      </w:r>
      <w:r>
        <w:rPr>
          <w:rFonts w:ascii="Consolas" w:eastAsia="Consolas" w:hAnsi="Consolas" w:cs="Consolas"/>
          <w:color w:val="A31515"/>
          <w:sz w:val="19"/>
          <w:szCs w:val="19"/>
        </w:rPr>
        <w:t xml:space="preserve">BSS</w:t>
      </w:r>
      <w:r>
        <w:t xml:space="preserve">) and logged as a BUILDING CODE entry in the acknowledgement dialog and the backup log.</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53D2AC2E" w14:textId="77777777" w:rsidR="00B24088" w:rsidRDefault="00000000">
      <w:pPr>
        <w:pStyle w:val="Heading2"/>
        <w:spacing w:before="240" w:after="100"/>
      </w:pPr>
      <w:bookmarkStart w:id="6" w:name="_Toc234507109"/>
      <w:r>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379C26D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CEE190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 xml:space="preserve">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lastRenderedPageBreak/>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 xml:space="preserve">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 xml:space="preserve">PROJECTORDEVICE_2</w:t>
      </w:r>
      <w:r>
        <w:t xml:space="preserve"> comes before </w:t>
      </w:r>
      <w:r>
        <w:rPr>
          <w:rFonts w:ascii="Consolas" w:eastAsia="Consolas" w:hAnsi="Consolas" w:cs="Consolas"/>
          <w:color w:val="A31515"/>
          <w:sz w:val="19"/>
          <w:szCs w:val="19"/>
        </w:rPr>
        <w:t xml:space="preserve">PROJECTORDEVICE_10</w:t>
      </w:r>
      <w:r>
        <w:t xml:space="preserve">.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blPrEx>
          <w:tblCellMar>
            <w:top w:w="0" w:type="dxa"/>
            <w:bottom w:w="0" w:type="dxa"/>
          </w:tblCellMar>
        </w:tblPrEx>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00"/>
        <w:gridCol w:w="2500"/>
        <w:gridCol w:w="5360"/>
      </w:tblGrid>
      <w:tr w:rsidR="00B24088" w14:paraId="2B477A65"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lastRenderedPageBreak/>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05A29F2" w14:textId="77777777" w:rsidR="00B24088" w:rsidRDefault="00000000">
      <w:pPr>
        <w:pStyle w:val="Heading2"/>
        <w:spacing w:before="240" w:after="100"/>
      </w:pPr>
      <w:bookmarkStart w:id="14" w:name="_Toc234507117"/>
      <w:r>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4D62B849" w14:textId="77777777" w:rsidR="00B24088"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255F7BBD" w14:textId="77777777" w:rsidR="00237DBE" w:rsidRDefault="00237DBE">
      <w:pPr>
        <w:spacing w:after="120" w:line="276" w:lineRule="auto"/>
      </w:pPr>
    </w:p>
    <w:p w14:paraId="2ACC0F94" w14:textId="77777777" w:rsidR="00237DBE" w:rsidRDefault="00237DBE">
      <w:pPr>
        <w:spacing w:after="120" w:line="276" w:lineRule="auto"/>
      </w:pPr>
    </w:p>
    <w:p w14:paraId="5F44A20F" w14:textId="77777777" w:rsidR="00B24088" w:rsidRDefault="00000000">
      <w:pPr>
        <w:pStyle w:val="Heading2"/>
        <w:spacing w:before="240" w:after="100"/>
      </w:pPr>
      <w:bookmarkStart w:id="15" w:name="_Toc234507118"/>
      <w:r>
        <w:lastRenderedPageBreak/>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429A47A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3BC1096" w14:textId="77777777" w:rsidR="00B24088" w:rsidRDefault="00B24088">
      <w:pPr>
        <w:spacing w:after="120"/>
      </w:pPr>
    </w:p>
    <w:p w14:paraId="7393870B" w14:textId="77777777" w:rsidR="00B24088" w:rsidRDefault="00000000">
      <w:pPr>
        <w:pStyle w:val="Heading2"/>
        <w:spacing w:before="240" w:after="100"/>
      </w:pPr>
      <w:bookmarkStart w:id="900" w:name="_Toc234507999"/>
      <w:r>
        <w:t>3.9 Device-type fields (device_fields)</w:t>
      </w:r>
      <w:bookmarkEnd w:id="900"/>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"fields"</w:t>
      </w:r>
      <w:r>
        <w:t xml:space="preserve">, the schema supports a top-level </w:t>
      </w:r>
      <w:r>
        <w:rPr>
          <w:rFonts w:ascii="Consolas" w:eastAsia="Consolas" w:hAnsi="Consolas" w:cs="Consolas"/>
          <w:color w:val="A31515"/>
          <w:sz w:val="19"/>
          <w:szCs w:val="19"/>
        </w:rPr>
        <w:t xml:space="preserve">"device_fields"</w:t>
      </w:r>
      <w:r>
        <w:t xml:space="preserve"> object holding entries that apply only to matching device sections, keyed by a section pattern such as </w:t>
      </w:r>
      <w:r>
        <w:rPr>
          <w:rFonts w:ascii="Consolas" w:eastAsia="Consolas" w:hAnsi="Consolas" w:cs="Consolas"/>
          <w:color w:val="A31515"/>
          <w:sz w:val="19"/>
          <w:szCs w:val="19"/>
        </w:rPr>
        <w:t xml:space="preserve">"PROJECTORDEVICE_*"</w:t>
      </w:r>
      <w:r>
        <w:t xml:space="preserve">. Scoped entries use exactly the same properties as </w:t>
      </w:r>
      <w:r>
        <w:rPr>
          <w:rFonts w:ascii="Consolas" w:eastAsia="Consolas" w:hAnsi="Consolas" w:cs="Consolas"/>
          <w:color w:val="A31515"/>
          <w:sz w:val="19"/>
          <w:szCs w:val="19"/>
        </w:rPr>
        <w:t xml:space="preserve">"fields"</w:t>
      </w:r>
      <w:r>
        <w:t xml:space="preserve"> and win over the global entries on those tabs. Combined with </w:t>
      </w:r>
      <w:r>
        <w:rPr>
          <w:rFonts w:ascii="Consolas" w:eastAsia="Consolas" w:hAnsi="Consolas" w:cs="Consolas"/>
          <w:color w:val="A31515"/>
          <w:sz w:val="19"/>
          <w:szCs w:val="19"/>
        </w:rPr>
        <w:t xml:space="preserve">addIfMissing</w:t>
      </w:r>
      <w:r>
        <w:t xml:space="preserve">, this lets a device-type-only setting ship purely by editing </w:t>
      </w:r>
      <w:r>
        <w:rPr>
          <w:rFonts w:ascii="Consolas" w:eastAsia="Consolas" w:hAnsi="Consolas" w:cs="Consolas"/>
          <w:color w:val="A31515"/>
          <w:sz w:val="19"/>
          <w:szCs w:val="19"/>
        </w:rPr>
        <w:t xml:space="preserve">ui_schema.json</w:t>
      </w:r>
      <w:r>
        <w:t xml:space="preserve">.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19242AA8" w14:textId="77777777" w:rsidR="00B24088" w:rsidRDefault="00000000">
      <w:pPr>
        <w:spacing w:after="120" w:line="276" w:lineRule="auto"/>
      </w:pPr>
      <w:r>
        <w:t xml:space="preserve">When a device type overrides </w:t>
      </w:r>
      <w:r>
        <w:rPr>
          <w:rFonts w:ascii="Consolas" w:eastAsia="Consolas" w:hAnsi="Consolas" w:cs="Consolas"/>
          <w:color w:val="A31515"/>
          <w:sz w:val="19"/>
          <w:szCs w:val="19"/>
        </w:rPr>
        <w:t xml:space="preserve">input</w:t>
      </w:r>
      <w:r>
        <w:t xml:space="preserve"> this way, the built-in input autocomplete (which scans the module for common input strings) is replaced by the schema-driven field for those tabs only.</w:t>
      </w:r>
    </w:p>
    <w:p w14:paraId="50D51D70" w14:textId="77777777" w:rsidR="00B24088" w:rsidRDefault="00000000">
      <w:r>
        <w:br w:type="page"/>
      </w:r>
    </w:p>
    <w:p w14:paraId="1AD72E74" w14:textId="77777777" w:rsidR="00B24088" w:rsidRDefault="00000000">
      <w:pPr>
        <w:pStyle w:val="Heading1"/>
        <w:spacing w:before="360" w:after="140"/>
      </w:pPr>
      <w:bookmarkStart w:id="17" w:name="_Toc234507120"/>
      <w:r>
        <w:lastRenderedPageBreak/>
        <w:t>4. System setup vs. device setup</w:t>
      </w:r>
      <w:bookmarkEnd w:id="17"/>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18" w:name="_Toc234507121"/>
      <w:r>
        <w:t>4.1 How the app decides what is "system" and what is a "device"</w:t>
      </w:r>
      <w:bookmarkEnd w:id="18"/>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19" w:name="_Toc234507122"/>
      <w:r>
        <w:t>4.2 Practical consequence for schema authoring</w:t>
      </w:r>
      <w:bookmarkEnd w:id="19"/>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0" w:name="_Toc234507123"/>
      <w:r>
        <w:t>4.3 Controlling device count and tabs</w:t>
      </w:r>
      <w:bookmarkEnd w:id="20"/>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blPrEx>
          <w:tblCellMar>
            <w:top w:w="0" w:type="dxa"/>
            <w:bottom w:w="0" w:type="dxa"/>
          </w:tblCellMar>
        </w:tblPrEx>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1" w:name="_Toc234507124"/>
      <w:r>
        <w:lastRenderedPageBreak/>
        <w:t>5. Setting up key_map.json</w:t>
      </w:r>
      <w:bookmarkEnd w:id="21"/>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2" w:name="_Toc234507125"/>
      <w:r>
        <w:t>5.1 Processing order</w:t>
      </w:r>
      <w:bookmarkEnd w:id="22"/>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3" w:name="_Toc234507126"/>
      <w:r>
        <w:t>5.2 The rule groups</w:t>
      </w:r>
      <w:bookmarkEnd w:id="23"/>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blPrEx>
          <w:tblCellMar>
            <w:top w:w="0" w:type="dxa"/>
            <w:bottom w:w="0" w:type="dxa"/>
          </w:tblCellMar>
        </w:tblPrEx>
        <w:trPr>
          <w:trHeight w:val="1445"/>
        </w:trPr>
        <w:tc>
          <w:tcPr>
            <w:tcW w:w="0" w:type="auto"/>
            <w:shd w:val="clear" w:color="auto" w:fill="EAF2FB"/>
            <w:tcMar>
              <w:top w:w="100" w:type="dxa"/>
              <w:left w:w="160" w:type="dxa"/>
              <w:bottom w:w="100" w:type="dxa"/>
              <w:right w:w="160" w:type="dxa"/>
            </w:tcMar>
          </w:tcPr>
          <w:p w14:paraId="1904D68A" w14:textId="4AF4B2BA" w:rsidR="00B24088" w:rsidRDefault="00237DBE">
            <w:pPr>
              <w:spacing w:after="40" w:line="264" w:lineRule="auto"/>
            </w:pPr>
            <w:r>
              <w:rPr>
                <w:b/>
                <w:bCs/>
                <w:color w:val="7A4E00"/>
                <w:sz w:val="20"/>
                <w:szCs w:val="20"/>
              </w:rPr>
              <w:t xml:space="preserve">zWhy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 xml:space="preserve">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3BD9AE9F" w14:textId="77777777" w:rsidR="00B24088"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158AC46" w14:textId="77777777" w:rsidR="00237DBE" w:rsidRDefault="00237DBE">
      <w:pPr>
        <w:spacing w:after="120" w:line="276" w:lineRule="auto"/>
      </w:pP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4" w:name="_Toc234507127"/>
      <w:r>
        <w:lastRenderedPageBreak/>
        <w:t>6. Putting it together: a setup checklist</w:t>
      </w:r>
      <w:bookmarkEnd w:id="24"/>
    </w:p>
    <w:p w14:paraId="5F27E76D" w14:textId="77777777" w:rsidR="00B24088" w:rsidRDefault="00000000">
      <w:pPr>
        <w:pStyle w:val="Heading2"/>
        <w:spacing w:before="240" w:after="100"/>
      </w:pPr>
      <w:bookmarkStart w:id="25" w:name="_Toc234507128"/>
      <w:r>
        <w:t>6.1 First-run configuration</w:t>
      </w:r>
      <w:bookmarkEnd w:id="25"/>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w:t>
      </w:r>
      <w:r>
        <w:t xml:space="preserve">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6" w:name="_Toc234507129"/>
      <w:r>
        <w:t>6.2 Adding support for a new config property</w:t>
      </w:r>
      <w:bookmarkEnd w:id="26"/>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 xml:space="preserve">device_fields</w:t>
      </w:r>
      <w:r>
        <w:t xml:space="preserve"> with the device pattern (e.g. </w:t>
      </w:r>
      <w:r>
        <w:rPr>
          <w:rFonts w:ascii="Consolas" w:eastAsia="Consolas" w:hAnsi="Consolas" w:cs="Consolas"/>
          <w:color w:val="A31515"/>
          <w:sz w:val="19"/>
          <w:szCs w:val="19"/>
        </w:rPr>
        <w:t xml:space="preserve">"PROJECTORDEVICE_*"</w:t>
      </w:r>
      <w:r>
        <w:t xml:space="preserve">) instead of </w:t>
      </w:r>
      <w:r>
        <w:rPr>
          <w:rFonts w:ascii="Consolas" w:eastAsia="Consolas" w:hAnsi="Consolas" w:cs="Consolas"/>
          <w:color w:val="A31515"/>
          <w:sz w:val="19"/>
          <w:szCs w:val="19"/>
        </w:rPr>
        <w:t xml:space="preserve">fields</w:t>
      </w:r>
      <w:r>
        <w:t xml:space="preserve">, and set </w:t>
      </w:r>
      <w:r>
        <w:rPr>
          <w:rFonts w:ascii="Consolas" w:eastAsia="Consolas" w:hAnsi="Consolas" w:cs="Consolas"/>
          <w:color w:val="A31515"/>
          <w:sz w:val="19"/>
          <w:szCs w:val="19"/>
        </w:rPr>
        <w:t xml:space="preserve">addIfMissing: true</w:t>
      </w:r>
      <w:r>
        <w:t xml:space="preserve"> so it appears on those tabs right after Reload Schema.</w:t>
      </w:r>
    </w:p>
    <w:p w14:paraId="7A2908C5" w14:textId="77777777" w:rsidR="00B24088" w:rsidRDefault="00000000">
      <w:pPr>
        <w:pStyle w:val="Heading2"/>
        <w:spacing w:before="240" w:after="100"/>
      </w:pPr>
      <w:bookmarkStart w:id="27" w:name="_Toc234507130"/>
      <w:r>
        <w:t>6.3 Quick reference: which file does what</w:t>
      </w:r>
      <w:bookmarkEnd w:id="27"/>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blPrEx>
          <w:tblCellMar>
            <w:top w:w="0" w:type="dxa"/>
            <w:bottom w:w="0" w:type="dxa"/>
          </w:tblCellMar>
        </w:tblPrEx>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855975"/>
    <w:rsid w:val="00A306FD"/>
    <w:rsid w:val="00B2408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15</Pages>
  <Words>4098</Words>
  <Characters>23360</Characters>
  <Application>Microsoft Office Word</Application>
  <DocSecurity>0</DocSecurity>
  <Lines>194</Lines>
  <Paragraphs>54</Paragraphs>
  <ScaleCrop>false</ScaleCrop>
  <Company/>
  <LinksUpToDate>false</LinksUpToDate>
  <CharactersWithSpaces>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4</cp:revision>
  <dcterms:created xsi:type="dcterms:W3CDTF">2026-07-09T23:32:00Z</dcterms:created>
  <dcterms:modified xsi:type="dcterms:W3CDTF">2026-07-09T23:37:00Z</dcterms:modified>
</cp:coreProperties>
</file>