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pPr>
        <w:spacing w:after="0" w:before="0" w:line="240"/>
        <w:jc w:val="center"/>
      </w:pPr>
      <w:r>
        <w:rPr>
          <w:rFonts w:ascii="Times New Roman" w:cs="Times New Roman" w:eastAsia="標楷體" w:hAnsi="Times New Roman"/>
          <w:b/>
          <w:bCs/>
          <w:sz w:val="36"/>
          <w:szCs w:val="36"/>
        </w:rPr>
        <w:t xml:space="preserve">大仁科技大學學生實務專題製作競賽</w:t>
      </w:r>
    </w:p>
    <w:p>
      <w:pPr>
        <w:spacing w:after="600" w:before="0" w:line="240"/>
        <w:jc w:val="center"/>
      </w:pPr>
      <w:r>
        <w:rPr>
          <w:rFonts w:ascii="Times New Roman" w:cs="Times New Roman" w:eastAsia="標楷體" w:hAnsi="Times New Roman"/>
          <w:b/>
          <w:bCs/>
          <w:sz w:val="36"/>
          <w:szCs w:val="36"/>
        </w:rPr>
        <w:t xml:space="preserve">研究成果報告書</w:t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pPr>
        <w:spacing w:after="0" w:before="0" w:line="2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作品名稱：消防與職業安全教育互動推廣平台</w:t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pPr>
        <w:spacing w:after="0" w:before="0" w:line="240"/>
        <w:jc w:val="left"/>
      </w:pPr>
      <w:r>
        <w:rPr>
          <w:rFonts w:ascii="Times New Roman" w:cs="Times New Roman" w:eastAsia="標楷體" w:hAnsi="Times New Roman"/>
          <w:sz w:val="28"/>
          <w:szCs w:val="28"/>
        </w:rPr>
        <w:t xml:space="preserve">參賽領域：</w:t>
      </w:r>
      <w:r>
        <w:rPr>
          <w:rFonts w:ascii="Times New Roman" w:cs="Times New Roman" w:eastAsia="標楷體" w:hAnsi="Times New Roman"/>
          <w:sz w:val="28"/>
          <w:szCs w:val="28"/>
        </w:rPr>
        <w:t xml:space="preserve">□智慧健康與照護創新</w:t>
      </w:r>
    </w:p>
    <w:p>
      <w:pPr>
        <w:spacing w:after="0" w:before="0" w:line="240"/>
        <w:jc w:val="left"/>
      </w:pPr>
      <w:r>
        <w:rPr>
          <w:rFonts w:ascii="Times New Roman" w:cs="Times New Roman" w:eastAsia="標楷體" w:hAnsi="Times New Roman"/>
          <w:sz w:val="28"/>
          <w:szCs w:val="28"/>
        </w:rPr>
        <w:t xml:space="preserve">　　　　　</w:t>
      </w:r>
      <w:r>
        <w:rPr>
          <w:rFonts w:ascii="Times New Roman" w:cs="Times New Roman" w:eastAsia="標楷體" w:hAnsi="Times New Roman"/>
          <w:sz w:val="28"/>
          <w:szCs w:val="28"/>
        </w:rPr>
        <w:t xml:space="preserve">■數位科技與人文創新</w:t>
      </w:r>
    </w:p>
    <w:p>
      <w:pPr>
        <w:spacing w:after="0" w:before="0" w:line="240"/>
        <w:jc w:val="left"/>
      </w:pPr>
      <w:r>
        <w:rPr>
          <w:rFonts w:ascii="Times New Roman" w:cs="Times New Roman" w:eastAsia="標楷體" w:hAnsi="Times New Roman"/>
          <w:sz w:val="28"/>
          <w:szCs w:val="28"/>
        </w:rPr>
        <w:t xml:space="preserve">　　　　　</w:t>
      </w:r>
      <w:r>
        <w:rPr>
          <w:rFonts w:ascii="Times New Roman" w:cs="Times New Roman" w:eastAsia="標楷體" w:hAnsi="Times New Roman"/>
          <w:sz w:val="28"/>
          <w:szCs w:val="28"/>
        </w:rPr>
        <w:t xml:space="preserve">□環境永續與地方經濟</w:t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pPr>
        <w:spacing w:after="0" w:before="0" w:line="240"/>
        <w:jc w:val="both"/>
      </w:pPr>
      <w:r>
        <w:rPr>
          <w:rFonts w:ascii="Times New Roman" w:cs="Times New Roman" w:eastAsia="標楷體" w:hAnsi="Times New Roman"/>
          <w:sz w:val="28"/>
          <w:szCs w:val="28"/>
        </w:rPr>
        <w:t xml:space="preserve">學校：大仁科技大學</w:t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pPr>
        <w:spacing w:after="0" w:before="0" w:line="240"/>
        <w:jc w:val="both"/>
      </w:pPr>
      <w:r>
        <w:rPr>
          <w:rFonts w:ascii="Times New Roman" w:cs="Times New Roman" w:eastAsia="標楷體" w:hAnsi="Times New Roman"/>
          <w:sz w:val="28"/>
          <w:szCs w:val="28"/>
        </w:rPr>
        <w:t xml:space="preserve">科系：</w:t>
      </w: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【待補：科系】</w:t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pPr>
        <w:spacing w:after="0" w:before="0" w:line="240"/>
        <w:jc w:val="both"/>
      </w:pPr>
      <w:r>
        <w:rPr>
          <w:rFonts w:ascii="Times New Roman" w:cs="Times New Roman" w:eastAsia="標楷體" w:hAnsi="Times New Roman"/>
          <w:sz w:val="28"/>
          <w:szCs w:val="28"/>
        </w:rPr>
        <w:t xml:space="preserve">指導老師：</w:t>
      </w: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【待補：指導老師姓名】</w:t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pPr>
        <w:spacing w:after="0" w:before="0" w:line="240"/>
        <w:jc w:val="both"/>
      </w:pPr>
      <w:r>
        <w:rPr>
          <w:rFonts w:ascii="Times New Roman" w:cs="Times New Roman" w:eastAsia="標楷體" w:hAnsi="Times New Roman"/>
          <w:sz w:val="28"/>
          <w:szCs w:val="28"/>
        </w:rPr>
        <w:t xml:space="preserve">組員：</w:t>
      </w: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【待補：六位組員姓名】</w:t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pPr>
        <w:spacing w:after="0" w:before="0" w:line="240"/>
        <w:jc w:val="center"/>
        <w:sectPr>
          <w:pgSz w:w="11906" w:h="16838" w:orient="portrait"/>
          <w:pgMar w:top="1418" w:right="1418" w:bottom="1418" w:left="1418" w:header="708" w:footer="708" w:gutter="0"/>
          <w:pgNumType/>
          <w:docGrid w:linePitch="360"/>
        </w:sectPr>
      </w:pPr>
      <w:r>
        <w:rPr>
          <w:rFonts w:ascii="Times New Roman" w:cs="Times New Roman" w:eastAsia="標楷體" w:hAnsi="Times New Roman"/>
          <w:sz w:val="28"/>
          <w:szCs w:val="28"/>
        </w:rPr>
        <w:t xml:space="preserve">中華民國115年　　月　　日</w:t>
      </w:r>
    </w:p>
    <w:p>
      <w:pPr>
        <w:spacing w:after="120" w:before="0" w:line="240"/>
        <w:jc w:val="center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消防與職業安全教育互動推廣平台</w:t>
      </w:r>
    </w:p>
    <w:p>
      <w:pPr>
        <w:spacing w:after="0" w:before="0" w:line="240"/>
        <w:jc w:val="center"/>
      </w:pPr>
      <w:r>
        <w:rPr>
          <w:rFonts w:ascii="Times New Roman" w:cs="Times New Roman" w:eastAsia="標楷體" w:hAnsi="Times New Roman"/>
          <w:sz w:val="24"/>
          <w:szCs w:val="24"/>
        </w:rPr>
        <w:t xml:space="preserve">大仁科技大學</w:t>
      </w:r>
    </w:p>
    <w:p>
      <w:pPr>
        <w:spacing w:after="0" w:before="0" w:line="240"/>
        <w:jc w:val="center"/>
      </w:pP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【待補：指導老師姓名】</w:t>
      </w:r>
      <w:r>
        <w:rPr>
          <w:rFonts w:ascii="Times New Roman" w:cs="Times New Roman" w:eastAsia="標楷體" w:hAnsi="Times New Roman"/>
          <w:sz w:val="24"/>
          <w:szCs w:val="24"/>
        </w:rPr>
        <w:t xml:space="preserve"> 老師</w:t>
      </w:r>
    </w:p>
    <w:p>
      <w:pPr>
        <w:spacing w:after="0" w:before="0" w:line="240"/>
        <w:jc w:val="center"/>
      </w:pP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【待補：系所 職稱】</w:t>
      </w:r>
    </w:p>
    <w:p>
      <w:pPr>
        <w:spacing w:after="0" w:before="0" w:line="240"/>
        <w:jc w:val="center"/>
      </w:pP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【待補：組員1、組員2、組員3、組員4、組員5、組員6】</w:t>
      </w:r>
    </w:p>
    <w:p>
      <w:pPr>
        <w:spacing w:after="200" w:before="0" w:line="240"/>
        <w:jc w:val="center"/>
        <w:sectPr>
          <w:footerReference w:type="default" r:id="rId6"/>
          <w:pgSz w:w="11906" w:h="16838" w:orient="portrait"/>
          <w:pgMar w:top="1418" w:right="1418" w:bottom="1418" w:left="1418" w:header="708" w:footer="708" w:gutter="0"/>
          <w:pgNumType w:start="1"/>
          <w:docGrid w:linePitch="360"/>
        </w:sectPr>
      </w:pP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【待補：系所】</w:t>
      </w:r>
    </w:p>
    <w:p>
      <w:pPr>
        <w:spacing w:after="100" w:before="200" w:line="240"/>
        <w:jc w:val="center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摘要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大型場館、醫院與物流倉儲一旦發生火災，常造成重大傷亡，而現行消防與職業安全教育多以講授與靜態圖片為主，學生不易將法規與設備知識轉換為現場判斷能力。本團隊開發「消防與職業安全教育互動推廣平台」，以純網頁技術整合七個互動模擬，依「認知、場域、智慧」三個層次規劃學習路線：以遊戲化問答轉盤與看圖找危害建立危害辨識能力；以臺北大巨蛋為情境，透過 360° VR 導覽、疏散動線計算與數萬人人流模擬，理解大型場館的消防設備與避難規劃；再以 AIoT 火警偵測模擬延伸至醫院與倉儲的監測、連動與案例回顧。平台免安裝，可在電腦、手機與 VR 眼鏡上操作，每個模擬均附圖解使用說明。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經實際教學測試，</w:t>
      </w: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【待補：實測班級、人數與主要成果數據】</w:t>
      </w:r>
      <w:r>
        <w:rPr>
          <w:rFonts w:ascii="Times New Roman" w:cs="Times New Roman" w:eastAsia="標楷體" w:hAnsi="Times New Roman"/>
          <w:sz w:val="24"/>
          <w:szCs w:val="24"/>
        </w:rPr>
        <w:t xml:space="preserve">。本平台可作為消防、職安與公共安全課程的教學工具，並可推廣至其他學校與場館的防災宣導。</w:t>
      </w:r>
    </w:p>
    <w:p>
      <w:pPr>
        <w:spacing w:after="0" w:before="0" w:line="240"/>
        <w:jc w:val="both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關鍵詞：</w:t>
      </w:r>
      <w:r>
        <w:rPr>
          <w:rFonts w:ascii="Times New Roman" w:cs="Times New Roman" w:eastAsia="標楷體" w:hAnsi="Times New Roman"/>
          <w:sz w:val="24"/>
          <w:szCs w:val="24"/>
        </w:rPr>
        <w:t xml:space="preserve">消防安全教育、職業安全、遊戲化學習、虛擬實境、人流模擬、AIoT</w:t>
      </w:r>
    </w:p>
    <w:p>
      <w:pPr>
        <w:spacing w:after="100" w:before="200" w:line="240"/>
        <w:jc w:val="center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1. 前言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近年國內數起重大火災凸顯公共安全教育的重要性：2018 年臺北醫院護理之家火災造成多名住民死亡，突顯醫療場所水平避難與初期應變的困難；2023 年屏東明揚國際科技公司火災則造成多名消防人員殉職，顯示大型廠倉的火災偵測、資訊傳遞與搶救安全仍有改善空間。另一方面，臺北大巨蛋等可容納數萬人的大型場館啟用後，大量群眾的進場、散場與緊急疏散也成為新的公安課題。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然而，傳統的消防與職安教學多以講授、法規條文與靜態圖片為主，學生難以親身體會濃煙中尋找出口、人群在出口前壅塞，或偵測器誤報與漏報的取捨。因此，本專題以互動模擬與遊戲化設計，讓學生在安全的數位環境中反覆練習觀察、判斷與應變。</w:t>
      </w:r>
    </w:p>
    <w:p>
      <w:pPr>
        <w:spacing w:after="100" w:before="200" w:line="240"/>
        <w:jc w:val="center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2. 研究目的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本專題的目的如下：</w:t>
      </w:r>
    </w:p>
    <w:p>
      <w:pPr>
        <w:spacing w:after="0" w:before="0" w:line="24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(1) 建立一套免安裝、跨裝置的消防與職業安全互動教學平台。</w:t>
      </w:r>
    </w:p>
    <w:p>
      <w:pPr>
        <w:spacing w:after="0" w:before="0" w:line="24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(2) 以遊戲化設計提升學生辨識職場與公共場所危害的動機與能力。</w:t>
      </w:r>
    </w:p>
    <w:p>
      <w:pPr>
        <w:spacing w:after="0" w:before="0" w:line="24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(3) 以大型場館為情境，讓學生理解消防設備、避難動線與群眾密度對疏散的影響。</w:t>
      </w:r>
    </w:p>
    <w:p>
      <w:pPr>
        <w:spacing w:after="0" w:before="0" w:line="24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(4) 讓學生理解 AIoT 火警偵測的原理、誤報控制與設備連動，並連結真實火災案例。</w:t>
      </w:r>
    </w:p>
    <w:p>
      <w:pPr>
        <w:spacing w:after="0" w:before="0" w:line="24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(5) 透過實際教學測試，驗證平台的學習成效與推廣價值。</w:t>
      </w:r>
    </w:p>
    <w:p>
      <w:pPr>
        <w:spacing w:after="100" w:before="200" w:line="240"/>
        <w:jc w:val="center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3. 文獻探討</w:t>
      </w:r>
    </w:p>
    <w:p>
      <w:pPr>
        <w:spacing w:after="0" w:before="100" w:line="240"/>
        <w:jc w:val="left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3.1 遊戲化學習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遊戲化是將遊戲設計元素應用於非遊戲情境 [1]，計分、限時與分組競賽等機制可提高學習參與度。</w:t>
      </w: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【待補：補充 1～2 篇遊戲化應用於安全教育的研究】</w:t>
      </w:r>
    </w:p>
    <w:p>
      <w:pPr>
        <w:spacing w:after="0" w:before="100" w:line="240"/>
        <w:jc w:val="left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3.2 虛擬實境防災訓練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虛擬實境能在不暴露於真實危險的情況下，讓學習者體驗火災與避難情境。</w:t>
      </w: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【待補：補充 VR 防災訓練相關研究】</w:t>
      </w:r>
    </w:p>
    <w:p>
      <w:pPr>
        <w:spacing w:after="0" w:before="100" w:line="240"/>
        <w:jc w:val="left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3.3 群眾疏散與服務水準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Fruin 以每平方公尺人數定義行人服務水準 [2]；Helbing 等人以社會力模型模擬恐慌情境下的群眾行為，指出出口前壅塞會使疏散效率下降 [3]。本平台的人流模擬即以群眾密度與服務水準作為觀察指標。</w:t>
      </w:r>
    </w:p>
    <w:p>
      <w:pPr>
        <w:spacing w:after="0" w:before="100" w:line="240"/>
        <w:jc w:val="left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3.4 火警偵測與誤報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依「各類場所消防安全設備設置標準」[4]，火警探測器分為定溫式、差動式、偵煙式等類型。單一感測器容易因炊煙、水蒸氣等因素誤報，因此結合多種感測數據與持續時間的判定方式，可降低誤報並維持偵測靈敏度。</w:t>
      </w: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【待補：補充多感測器火警判定相關研究】</w:t>
      </w:r>
    </w:p>
    <w:p>
      <w:pPr>
        <w:spacing w:after="100" w:before="200" w:line="240"/>
        <w:jc w:val="center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4. 研究方法</w:t>
      </w:r>
    </w:p>
    <w:p>
      <w:pPr>
        <w:spacing w:after="0" w:before="100" w:line="240"/>
        <w:jc w:val="left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4.1 系統架構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平台以 HTML、CSS 與 JavaScript 開發，所有模擬皆在瀏覽器中執行，不需安裝軟體，可直接以電腦、手機或 VR 眼鏡開啟。平台依學習層次分為三層（如圖1），首頁提供建議上課順序，引導學生由淺入深學習。</w:t>
      </w:r>
    </w:p>
    <w:p>
      <w:pPr>
        <w:spacing w:after="0" w:before="120" w:line="240"/>
        <w:jc w:val="center"/>
      </w:pP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【待補：圖1：三層架構圖，認知層 → 場域層 → 智慧層】</w:t>
      </w:r>
    </w:p>
    <w:p>
      <w:pPr>
        <w:spacing w:after="120" w:before="0" w:line="2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圖1. 平台三層架構圖</w:t>
      </w:r>
    </w:p>
    <w:p>
      <w:pPr>
        <w:spacing w:after="0" w:before="100" w:line="240"/>
        <w:jc w:val="left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4.2 模組設計與分工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本團隊六名學生各負責一個模組的開發，指導老師負責平台整合與展示，分工如表1。</w:t>
      </w:r>
    </w:p>
    <w:p>
      <w:pPr>
        <w:spacing w:after="0" w:before="120" w:line="2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表1. 模組與分工</w:t>
      </w:r>
    </w:p>
    <w:tbl>
      <w:tblPr>
        <w:tblW w:type="dxa" w:w="4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300"/>
      </w:tblGrid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/>
                <w:bCs/>
                <w:sz w:val="18"/>
                <w:szCs w:val="18"/>
              </w:rPr>
              <w:t xml:space="preserve">層次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/>
                <w:bCs/>
                <w:sz w:val="18"/>
                <w:szCs w:val="18"/>
              </w:rPr>
              <w:t xml:space="preserve">模組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/>
                <w:bCs/>
                <w:sz w:val="18"/>
                <w:szCs w:val="18"/>
              </w:rPr>
              <w:t xml:space="preserve">負責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認知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職業安全問答轉盤、看圖找危害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學生1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場域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大巨蛋 360° VR 防災安全導覽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學生2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場域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疏散動線計算、大規模集客動態模擬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學生3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智慧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AIoT 消防安全模擬系統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學生4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智慧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醫院智慧消防戰情中心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學生5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智慧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智慧倉儲物流中心戰情室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學生6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整合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首頁、課程路線、使用說明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指導老師</w:t>
            </w:r>
          </w:p>
        </w:tc>
      </w:tr>
    </w:tbl>
    <w:p>
      <w:pPr>
        <w:spacing w:after="120" w:before="0" w:line="24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pPr>
        <w:spacing w:after="0" w:before="100" w:line="240"/>
        <w:jc w:val="left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4.3 認知層：職業安全問答轉盤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分組輪流轉動轉盤抽題，在限時內於圖片中圈出危害，系統自動判定並計分，最後逐一揭曉答案與相關法規。題庫共 10 題，包含 8 個行業的職業安全情境，以及商場通道、地下停車場 2 題建築物公共安全情境。</w:t>
      </w:r>
    </w:p>
    <w:p>
      <w:pPr>
        <w:spacing w:after="0" w:before="100" w:line="240"/>
        <w:jc w:val="left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4.4 場域層：臺北大巨蛋公安模擬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(1) VR 防災安全導覽：學生進入球場層、通道商場與地下停車場三個場景，可選擇設備導覽並作答、扮演檢查員找出藏在場景中的公安缺失，或在濃煙下降前找到正確出口，學習紀錄可下載為 CSV。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(2) 疏散動線與避難時間：在動線圖上計算避難時間、找出疏散瓶頸，並以剖面圖說明向上避難的原理。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(3) 大規模集客動態模擬：模擬數萬名觀眾在緊急疏散、散場搭捷運與進場三種模式下的人流，比較全場同時撤離與分區分批廣播的差異，並觀察群眾密度與服務水準。</w:t>
      </w:r>
    </w:p>
    <w:p>
      <w:pPr>
        <w:spacing w:after="0" w:before="100" w:line="240"/>
        <w:jc w:val="left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4.5 智慧層：AIoT 火警偵測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(1) AIoT 消防安全模擬系統：以滑桿或 5 種情境比較定溫式、差動式與煙霧／CO 偵測的反應時機，調整判定方式與持續秒數以降低誤報，並提供 Arduino 與 Node-RED 實作教材，可連接實體 Arduino。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(2) 醫院智慧消防戰情中心：同時監測病房、氧氣室與 ICU 熱影像，練習確認、復歸與誤報處理，並在 7 樓演練中依 R.A.C.E. 原則將病人水平避難，回顧 2018 年臺北醫院火災。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(3) 智慧倉儲物流中心戰情室：以全倉熱力地圖搭配「兩項異常才發火警」的判定，比較高天花板下四種偵測方式，觀察撒水連動、人員清點與搶救資訊卡，回顧 2023 年屏東明揚火災。</w:t>
      </w:r>
    </w:p>
    <w:p>
      <w:pPr>
        <w:spacing w:after="0" w:before="100" w:line="240"/>
        <w:jc w:val="left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4.6 教學實測設計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本團隊於</w:t>
      </w: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【待補：日期、課程名稱、班級、人數】</w:t>
      </w:r>
      <w:r>
        <w:rPr>
          <w:rFonts w:ascii="Times New Roman" w:cs="Times New Roman" w:eastAsia="標楷體" w:hAnsi="Times New Roman"/>
          <w:sz w:val="24"/>
          <w:szCs w:val="24"/>
        </w:rPr>
        <w:t xml:space="preserve">進行教學實測，依首頁建議順序使用平台，並以</w:t>
      </w: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【待補：前後測／問卷題目與量表】</w:t>
      </w:r>
      <w:r>
        <w:rPr>
          <w:rFonts w:ascii="Times New Roman" w:cs="Times New Roman" w:eastAsia="標楷體" w:hAnsi="Times New Roman"/>
          <w:sz w:val="24"/>
          <w:szCs w:val="24"/>
        </w:rPr>
        <w:t xml:space="preserve">評估學習成效與使用滿意度。</w:t>
      </w:r>
    </w:p>
    <w:p>
      <w:pPr>
        <w:spacing w:after="100" w:before="200" w:line="240"/>
        <w:jc w:val="center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5. 結果與討論</w:t>
      </w:r>
    </w:p>
    <w:p>
      <w:pPr>
        <w:spacing w:after="0" w:before="100" w:line="240"/>
        <w:jc w:val="left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5.1 疏散策略模擬結果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以大規模集客動態模擬比較兩種疏散策略，結果如表2。</w:t>
      </w: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【待補：依模擬結果說明分批廣播對密度與疏散時間的影響】</w:t>
      </w:r>
    </w:p>
    <w:p>
      <w:pPr>
        <w:spacing w:after="0" w:before="120" w:line="2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表2. 疏散策略比較</w:t>
      </w:r>
    </w:p>
    <w:tbl>
      <w:tblPr>
        <w:tblW w:type="dxa" w:w="4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1400"/>
      </w:tblGrid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/>
                <w:bCs/>
                <w:sz w:val="18"/>
                <w:szCs w:val="18"/>
              </w:rPr>
              <w:t xml:space="preserve">疏散策略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/>
                <w:bCs/>
                <w:sz w:val="18"/>
                <w:szCs w:val="18"/>
              </w:rPr>
              <w:t xml:space="preserve">全員到達戶外時間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/>
                <w:bCs/>
                <w:sz w:val="18"/>
                <w:szCs w:val="18"/>
              </w:rPr>
              <w:t xml:space="preserve">最大密度(人/m²)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全場同時撤離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待補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待補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分區分批廣播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待補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18"/>
                <w:szCs w:val="18"/>
              </w:rPr>
              <w:t xml:space="preserve">待補</w:t>
            </w:r>
          </w:p>
        </w:tc>
      </w:tr>
    </w:tbl>
    <w:p>
      <w:pPr>
        <w:spacing w:after="120" w:before="0" w:line="24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/>
      </w:r>
    </w:p>
    <w:p>
      <w:pPr>
        <w:spacing w:after="0" w:before="100" w:line="240"/>
        <w:jc w:val="left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5.2 火警判定與誤報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【待補：比較單一感測器與多感測器、不同持續秒數下的誤報與漏報次數】</w:t>
      </w:r>
    </w:p>
    <w:p>
      <w:pPr>
        <w:spacing w:after="0" w:before="100" w:line="240"/>
        <w:jc w:val="left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5.3 教學實測成果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【待補：前後測成績比較、問卷滿意度、VR 學習紀錄統計（測驗答對率、缺失找到率、逃生成功率）、學生質性回饋】</w:t>
      </w:r>
    </w:p>
    <w:p>
      <w:pPr>
        <w:spacing w:after="0" w:before="100" w:line="240"/>
        <w:jc w:val="left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5.4 結論與建議</w:t>
      </w:r>
    </w:p>
    <w:p>
      <w:pPr>
        <w:spacing w:after="0" w:before="0" w:line="240"/>
        <w:ind w:firstLine="48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本平台以三層次學習路線整合七個互動模擬，將消防法規、設備知識與真實案例轉化為可操作的學習體驗。平台免安裝、跨裝置，教師可直接用於課堂，題庫亦可自行增修。未來可擴充更多場所類型與題庫，並結合實體感測器建置校園示範場域，推廣至其他學校與場館的防災宣導。</w:t>
      </w:r>
    </w:p>
    <w:p>
      <w:pPr>
        <w:spacing w:after="0" w:before="0" w:line="240"/>
        <w:jc w:val="both"/>
      </w:pPr>
      <w:r>
        <w:rPr>
          <w:rFonts w:ascii="Times New Roman" w:cs="Times New Roman" w:eastAsia="標楷體" w:hAnsi="Times New Roman"/>
          <w:sz w:val="20"/>
          <w:szCs w:val="20"/>
        </w:rPr>
        <w:t xml:space="preserve">本平台的模擬數值皆為教學示意，不能取代經認證的消防設備與正式訓練。</w:t>
      </w:r>
    </w:p>
    <w:p>
      <w:pPr>
        <w:spacing w:after="100" w:before="200" w:line="240"/>
        <w:jc w:val="center"/>
      </w:pPr>
      <w:r>
        <w:rPr>
          <w:rFonts w:ascii="Times New Roman" w:cs="Times New Roman" w:eastAsia="標楷體" w:hAnsi="Times New Roman"/>
          <w:b/>
          <w:bCs/>
          <w:sz w:val="24"/>
          <w:szCs w:val="24"/>
        </w:rPr>
        <w:t xml:space="preserve">參考文獻</w:t>
      </w:r>
    </w:p>
    <w:p>
      <w:pPr>
        <w:spacing w:after="0" w:before="0" w:line="240"/>
        <w:jc w:val="left"/>
      </w:pPr>
      <w:r>
        <w:rPr>
          <w:rFonts w:ascii="Times New Roman" w:cs="Times New Roman" w:eastAsia="標楷體" w:hAnsi="Times New Roman"/>
          <w:sz w:val="24"/>
          <w:szCs w:val="24"/>
        </w:rPr>
        <w:t xml:space="preserve">[1] Deterding, S., D. Dixon, R. Khaled and L. Nacke, “From game design elements to gamefulness: defining gamification,” Proceedings of the 15th International Academic MindTrek Conference, pp. 9-15 (2011).</w:t>
      </w:r>
    </w:p>
    <w:p>
      <w:pPr>
        <w:spacing w:after="0" w:before="0" w:line="240"/>
        <w:jc w:val="left"/>
      </w:pPr>
      <w:r>
        <w:rPr>
          <w:rFonts w:ascii="Times New Roman" w:cs="Times New Roman" w:eastAsia="標楷體" w:hAnsi="Times New Roman"/>
          <w:sz w:val="24"/>
          <w:szCs w:val="24"/>
        </w:rPr>
        <w:t xml:space="preserve">[2] Fruin, J. J., Pedestrian Planning and Design, Metropolitan Association of Urban Designers and Environmental Planners, New York (1971).</w:t>
      </w:r>
    </w:p>
    <w:p>
      <w:pPr>
        <w:spacing w:after="0" w:before="0" w:line="240"/>
        <w:jc w:val="left"/>
      </w:pPr>
      <w:r>
        <w:rPr>
          <w:rFonts w:ascii="Times New Roman" w:cs="Times New Roman" w:eastAsia="標楷體" w:hAnsi="Times New Roman"/>
          <w:sz w:val="24"/>
          <w:szCs w:val="24"/>
        </w:rPr>
        <w:t xml:space="preserve">[3] Helbing, D., I. Farkas and T. Vicsek, “Simulating dynamical features of escape panic,” Nature, Vol. 407, pp. 487-490 (2000).</w:t>
      </w:r>
    </w:p>
    <w:p>
      <w:pPr>
        <w:spacing w:after="0" w:before="0" w:line="240"/>
        <w:jc w:val="both"/>
      </w:pPr>
      <w:r>
        <w:rPr>
          <w:rFonts w:ascii="Times New Roman" w:cs="Times New Roman" w:eastAsia="標楷體" w:hAnsi="Times New Roman"/>
          <w:sz w:val="24"/>
          <w:szCs w:val="24"/>
        </w:rPr>
        <w:t xml:space="preserve">[4] 內政部，各類場所消防安全設備設置標準，全國法規資料庫。</w:t>
      </w:r>
    </w:p>
    <w:p>
      <w:pPr>
        <w:spacing w:after="0" w:before="0" w:line="240"/>
        <w:jc w:val="both"/>
      </w:pPr>
      <w:r>
        <w:rPr>
          <w:rFonts w:ascii="Times New Roman" w:cs="Times New Roman" w:eastAsia="標楷體" w:hAnsi="Times New Roman"/>
          <w:color w:val="C00000"/>
          <w:sz w:val="24"/>
          <w:szCs w:val="24"/>
        </w:rPr>
        <w:t xml:space="preserve">【待補：其他參考文獻；送出前請逐筆核對】</w:t>
      </w:r>
    </w:p>
    <w:sectPr>
      <w:footerReference w:type="default" r:id="rId7"/>
      <w:type w:val="continuous"/>
      <w:pgSz w:w="11906" w:h="16838" w:orient="portrait"/>
      <w:pgMar w:top="1418" w:right="1418" w:bottom="1418" w:left="1418" w:header="708" w:footer="708" w:gutter="0"/>
      <w:pgNumType/>
      <w:cols w:space="425" w:num="2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20"/>
        <w:szCs w:val="20"/>
      </w:rPr>
      <w:fldChar w:fldCharType="begin"/>
    </w:r>
    <w:r>
      <w:rPr>
        <w:rFonts w:ascii="Times New Roman" w:cs="Times New Roman" w:eastAsia="標楷體" w:hAnsi="Times New Roman"/>
        <w:sz w:val="20"/>
        <w:szCs w:val="20"/>
      </w:rPr>
      <w:instrText xml:space="preserve">PAGE</w:instrText>
    </w:r>
    <w:r>
      <w:rPr>
        <w:rFonts w:ascii="Times New Roman" w:cs="Times New Roman" w:eastAsia="標楷體" w:hAnsi="Times New Roman"/>
        <w:sz w:val="20"/>
        <w:szCs w:val="20"/>
      </w:rPr>
      <w:fldChar w:fldCharType="separate"/>
    </w:r>
    <w:r>
      <w:rPr>
        <w:rFonts w:ascii="Times New Roman" w:cs="Times New Roman" w:eastAsia="標楷體" w:hAnsi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20"/>
        <w:szCs w:val="20"/>
      </w:rPr>
      <w:fldChar w:fldCharType="begin"/>
    </w:r>
    <w:r>
      <w:rPr>
        <w:rFonts w:ascii="Times New Roman" w:cs="Times New Roman" w:eastAsia="標楷體" w:hAnsi="Times New Roman"/>
        <w:sz w:val="20"/>
        <w:szCs w:val="20"/>
      </w:rPr>
      <w:instrText xml:space="preserve">PAGE</w:instrText>
    </w:r>
    <w:r>
      <w:rPr>
        <w:rFonts w:ascii="Times New Roman" w:cs="Times New Roman" w:eastAsia="標楷體" w:hAnsi="Times New Roman"/>
        <w:sz w:val="20"/>
        <w:szCs w:val="20"/>
      </w:rPr>
      <w:fldChar w:fldCharType="separate"/>
    </w:r>
    <w:r>
      <w:rPr>
        <w:rFonts w:ascii="Times New Roman" w:cs="Times New Roman" w:eastAsia="標楷體" w:hAnsi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2026-10-24T02:25:44.533Z</dcterms:created>
  <dcterms:modified xsi:type="dcterms:W3CDTF">2026-10-24T02:25:44.534Z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