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123C5B" w14:textId="77777777">
      <w:pPr>
        <w:pStyle w:val="953"/>
        <w:pBdr/>
        <w:spacing/>
        <w:ind/>
        <w:jc w:val="right"/>
        <w:rPr>
          <w:lang w:val="es-CO"/>
        </w:rPr>
      </w:pPr>
      <w:r>
        <w:rPr>
          <w:lang w:val="es-CO"/>
        </w:rPr>
        <w:t xml:space="preserve">ERP Universitario - ms-proveedores [PRV]</w:t>
      </w:r>
      <w:r>
        <w:rPr>
          <w:lang w:val="es-CO"/>
        </w:rPr>
      </w:r>
      <w:r>
        <w:rPr>
          <w:lang w:val="es-CO"/>
        </w:rPr>
      </w:r>
    </w:p>
    <w:p w14:paraId="0FA21FFD" w14:textId="35B08040">
      <w:pPr>
        <w:pStyle w:val="953"/>
        <w:pBdr/>
        <w:spacing/>
        <w:ind/>
        <w:jc w:val="right"/>
        <w:rPr>
          <w:lang w:val="es-CO"/>
        </w:rPr>
      </w:pPr>
      <w:r>
        <w:rPr>
          <w:lang w:val="es-CO"/>
        </w:rPr>
        <w:t xml:space="preserve">Documento de Arquitectura de Software</w:t>
      </w:r>
      <w:r>
        <w:rPr>
          <w:lang w:val="es-CO"/>
        </w:rPr>
      </w:r>
    </w:p>
    <w:p w14:paraId="59B1F7D6" w14:textId="77777777">
      <w:pPr>
        <w:pStyle w:val="953"/>
        <w:pBdr/>
        <w:spacing/>
        <w:ind/>
        <w:jc w:val="right"/>
        <w:rPr>
          <w:lang w:val="es-CO"/>
        </w:rPr>
      </w:pPr>
      <w:r>
        <w:rPr>
          <w:lang w:val="es-CO"/>
        </w:rPr>
      </w:r>
      <w:r>
        <w:rPr>
          <w:lang w:val="es-CO"/>
        </w:rPr>
      </w:r>
    </w:p>
    <w:p w14:paraId="1B7DBF29" w14:textId="77777777">
      <w:pPr>
        <w:pStyle w:val="953"/>
        <w:pBdr/>
        <w:spacing/>
        <w:ind/>
        <w:jc w:val="right"/>
        <w:rPr>
          <w:sz w:val="28"/>
          <w:lang w:val="es-CO"/>
        </w:rPr>
      </w:pPr>
      <w:r>
        <w:rPr>
          <w:sz w:val="28"/>
          <w:lang w:val="es-CO"/>
        </w:rPr>
        <w:t xml:space="preserve">Version 1.0</w:t>
      </w:r>
      <w:r>
        <w:rPr>
          <w:sz w:val="28"/>
          <w:lang w:val="es-CO" w:bidi="es-CO"/>
        </w:rPr>
      </w:r>
      <w:r>
        <w:rPr>
          <w:sz w:val="28"/>
          <w:lang w:val="es-CO"/>
        </w:rPr>
      </w:r>
    </w:p>
    <w:p w14:paraId="68505242" w14:textId="77777777">
      <w:pPr>
        <w:pStyle w:val="953"/>
        <w:pBdr/>
        <w:spacing/>
        <w:ind/>
        <w:rPr>
          <w:sz w:val="28"/>
          <w:lang w:val="es-CO"/>
        </w:rPr>
      </w:pPr>
      <w:r>
        <w:rPr>
          <w:sz w:val="28"/>
          <w:lang w:val="es-CO" w:bidi="es-CO"/>
        </w:rPr>
      </w:r>
      <w:r>
        <w:rPr>
          <w:sz w:val="28"/>
          <w:lang w:val="es-CO"/>
        </w:rPr>
      </w:r>
    </w:p>
    <w:p w14:paraId="6C708F75" w14:textId="77777777">
      <w:pPr>
        <w:pBdr/>
        <w:spacing/>
        <w:ind/>
        <w:rPr>
          <w:lang w:val="es-CO"/>
        </w:rPr>
        <w:sectPr>
          <w:headerReference w:type="default" r:id="rId9"/>
          <w:footerReference w:type="even" r:id="rId12"/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cols w:num="1" w:sep="0" w:space="720" w:equalWidth="1"/>
        </w:sectPr>
      </w:pPr>
      <w:r>
        <w:rPr>
          <w:lang w:val="es-CO"/>
        </w:rPr>
      </w:r>
      <w:r>
        <w:rPr>
          <w:lang w:val="es-CO"/>
        </w:rPr>
      </w:r>
    </w:p>
    <w:p w14:paraId="353C6168" w14:textId="2D875900">
      <w:pPr>
        <w:pStyle w:val="953"/>
        <w:pBdr/>
        <w:spacing/>
        <w:ind/>
        <w:rPr>
          <w:lang w:val="es-CO"/>
        </w:rPr>
      </w:pPr>
      <w:r>
        <w:rPr>
          <w:lang w:val="es-CO"/>
        </w:rPr>
        <w:t xml:space="preserve">Historial de </w:t>
      </w:r>
      <w:r>
        <w:rPr>
          <w:lang w:val="es-CO"/>
        </w:rPr>
        <w:t xml:space="preserve">Cambios</w:t>
      </w:r>
      <w:r>
        <w:rPr>
          <w:lang w:val="es-CO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>
        <w:trPr/>
        <w:tc>
          <w:tcPr>
            <w:tcBorders/>
            <w:tcW w:w="2304" w:type="dxa"/>
          </w:tcPr>
          <w:p w14:paraId="6871ADD1" w14:textId="46925C64">
            <w:pPr>
              <w:pStyle w:val="964"/>
              <w:pBdr/>
              <w:spacing/>
              <w:ind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Fecha</w:t>
            </w:r>
            <w:r>
              <w:rPr>
                <w:b/>
                <w:lang w:val="es-CO"/>
              </w:rPr>
            </w:r>
          </w:p>
        </w:tc>
        <w:tc>
          <w:tcPr>
            <w:tcBorders/>
            <w:tcW w:w="1152" w:type="dxa"/>
          </w:tcPr>
          <w:p w14:paraId="6C261F5D" w14:textId="77777777">
            <w:pPr>
              <w:pStyle w:val="964"/>
              <w:pBdr/>
              <w:spacing/>
              <w:ind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Version</w:t>
            </w:r>
            <w:r>
              <w:rPr>
                <w:b/>
                <w:lang w:val="es-CO"/>
              </w:rPr>
            </w:r>
          </w:p>
        </w:tc>
        <w:tc>
          <w:tcPr>
            <w:tcBorders/>
            <w:tcW w:w="3744" w:type="dxa"/>
          </w:tcPr>
          <w:p w14:paraId="0D8E16F8" w14:textId="6C6CCB3B">
            <w:pPr>
              <w:pStyle w:val="964"/>
              <w:pBdr/>
              <w:spacing/>
              <w:ind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Descrip</w:t>
            </w:r>
            <w:r>
              <w:rPr>
                <w:b/>
                <w:lang w:val="es-CO"/>
              </w:rPr>
              <w:t xml:space="preserve">c</w:t>
            </w:r>
            <w:r>
              <w:rPr>
                <w:b/>
                <w:lang w:val="es-CO"/>
              </w:rPr>
              <w:t xml:space="preserve">i</w:t>
            </w:r>
            <w:r>
              <w:rPr>
                <w:b/>
                <w:lang w:val="es-CO"/>
              </w:rPr>
              <w:t xml:space="preserve">ó</w:t>
            </w:r>
            <w:r>
              <w:rPr>
                <w:b/>
                <w:lang w:val="es-CO"/>
              </w:rPr>
              <w:t xml:space="preserve">n</w:t>
            </w:r>
            <w:r>
              <w:rPr>
                <w:b/>
                <w:lang w:val="es-CO"/>
              </w:rPr>
            </w:r>
          </w:p>
        </w:tc>
        <w:tc>
          <w:tcPr>
            <w:tcBorders/>
            <w:tcW w:w="2304" w:type="dxa"/>
          </w:tcPr>
          <w:p w14:paraId="1F13D607" w14:textId="24BD7FDC">
            <w:pPr>
              <w:pStyle w:val="964"/>
              <w:pBdr/>
              <w:spacing/>
              <w:ind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Autor</w:t>
            </w:r>
            <w:r>
              <w:rPr>
                <w:b/>
                <w:lang w:val="es-CO"/>
              </w:rPr>
            </w:r>
          </w:p>
        </w:tc>
      </w:tr>
      <w:tr>
        <w:trPr/>
        <w:tc>
          <w:tcPr>
            <w:tcBorders/>
            <w:tcW w:w="2304" w:type="dxa"/>
          </w:tcPr>
          <w:p w14:paraId="311A2099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  <w:t xml:space="preserve">13/Jun/2026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152" w:type="dxa"/>
          </w:tcPr>
          <w:p w14:paraId="52616672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  <w:t xml:space="preserve">1.0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3744" w:type="dxa"/>
          </w:tcPr>
          <w:p w14:paraId="7DA40D96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  <w:t xml:space="preserve">Creación del documento de arquitectura de software para ms-proveedores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304" w:type="dxa"/>
          </w:tcPr>
          <w:p w14:paraId="19AA1C18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  <w:t xml:space="preserve">Equipo de Desarrollo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/>
        <w:tc>
          <w:tcPr>
            <w:tcBorders/>
            <w:tcW w:w="2304" w:type="dxa"/>
          </w:tcPr>
          <w:p w14:paraId="7FCB4212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152" w:type="dxa"/>
          </w:tcPr>
          <w:p w14:paraId="33B29E35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3744" w:type="dxa"/>
          </w:tcPr>
          <w:p w14:paraId="666C1FDB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304" w:type="dxa"/>
          </w:tcPr>
          <w:p w14:paraId="5D0F1522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/>
        <w:tc>
          <w:tcPr>
            <w:tcBorders/>
            <w:tcW w:w="2304" w:type="dxa"/>
          </w:tcPr>
          <w:p w14:paraId="7CDCE26E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152" w:type="dxa"/>
          </w:tcPr>
          <w:p w14:paraId="40E78C6C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3744" w:type="dxa"/>
          </w:tcPr>
          <w:p w14:paraId="0E02EBD2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304" w:type="dxa"/>
          </w:tcPr>
          <w:p w14:paraId="211D8FF0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/>
        <w:tc>
          <w:tcPr>
            <w:tcBorders/>
            <w:tcW w:w="2304" w:type="dxa"/>
          </w:tcPr>
          <w:p w14:paraId="3AAFBF39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152" w:type="dxa"/>
          </w:tcPr>
          <w:p w14:paraId="0347AF6C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3744" w:type="dxa"/>
          </w:tcPr>
          <w:p w14:paraId="7021812C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304" w:type="dxa"/>
          </w:tcPr>
          <w:p w14:paraId="50656501" w14:textId="77777777">
            <w:pPr>
              <w:pStyle w:val="964"/>
              <w:pBdr/>
              <w:spacing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33DB1F7A" w14:textId="77777777">
      <w:pPr>
        <w:pBdr/>
        <w:spacing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</w:p>
    <w:p w14:paraId="7853562C" w14:textId="77777777">
      <w:pPr>
        <w:pStyle w:val="953"/>
        <w:pBdr/>
        <w:spacing/>
        <w:ind/>
        <w:rPr>
          <w:lang w:val="es-CO"/>
        </w:rPr>
      </w:pPr>
      <w:r>
        <w:rPr>
          <w:lang w:val="es-CO"/>
        </w:rPr>
        <w:br w:type="page" w:clear="all"/>
      </w:r>
      <w:r>
        <w:rPr>
          <w:lang w:val="es-CO"/>
        </w:rPr>
        <w:t xml:space="preserve">Table </w:t>
      </w:r>
      <w:r>
        <w:rPr>
          <w:lang w:val="es-CO"/>
        </w:rPr>
        <w:t xml:space="preserve">of</w:t>
      </w:r>
      <w:r>
        <w:rPr>
          <w:lang w:val="es-CO"/>
        </w:rPr>
        <w:t xml:space="preserve"> </w:t>
      </w:r>
      <w:r>
        <w:rPr>
          <w:lang w:val="es-CO"/>
        </w:rPr>
        <w:t xml:space="preserve">Contents</w:t>
      </w:r>
      <w:r>
        <w:rPr>
          <w:lang w:val="es-CO"/>
        </w:rPr>
      </w:r>
    </w:p>
    <w:p w14:paraId="1E765CF9" w14:textId="15079807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fldChar w:fldCharType="begin"/>
      </w:r>
      <w:r>
        <w:rPr>
          <w:lang w:val="es-CO"/>
        </w:rPr>
        <w:instrText xml:space="preserve"> TOC \o "1-3"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1.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Introducción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_Toc161253840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3DD974BB" w14:textId="585307BD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1.1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Propósito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_Toc161253841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5A5FED38" w14:textId="0236153E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1.2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Alcance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_Toc161253842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D1C5B88" w14:textId="5D30C564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1.3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Definiciones, Acrónimos y Abreviaturas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_Toc161253843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33F0303F" w14:textId="55F10EDB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1.4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Referencias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_Toc161253844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077B170" w14:textId="0D0641EE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2.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Representación Arquitectónica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_Toc161253845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ADED348" w14:textId="6490341E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3.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Objetivos y Restricciones Arquitectónicas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_Toc161253846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415C3079" w14:textId="79534D35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4.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de Caso de Uso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_Toc161253847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4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08BC5818" w14:textId="15B1C163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4.1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Realizaciones de Caso de Uso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_Toc161253848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3C8C44CB" w14:textId="216D77C0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5.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Lógica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_Toc161253849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6C3802CD" w14:textId="42045F3C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5.1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Visión General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_Toc161253850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3BD05142" w14:textId="178EF435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5.2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Paquetes de Diseño Arquitectónicamente Significativos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_Toc161253851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41CA2246" w14:textId="486F5162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6.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de Proceso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_Toc161253852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0291B458" w14:textId="1AC8090F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7.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de Despliegue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_Toc161253853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AC05070" w14:textId="6C82DB22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8.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de Implementación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_Toc161253854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EDAA292" w14:textId="19A7411D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8.1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Visión General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_Toc161253855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149B8944" w14:textId="3FE66118">
      <w:pPr>
        <w:pStyle w:val="957"/>
        <w:pBdr/>
        <w:tabs>
          <w:tab w:val="left" w:leader="none" w:pos="1000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8.2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Capas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_Toc161253856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5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2DEDC175" w14:textId="6D7CA365">
      <w:pPr>
        <w:pStyle w:val="956"/>
        <w:pBdr/>
        <w:tabs>
          <w:tab w:val="left" w:leader="none" w:pos="432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9.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Vista de Datos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_Toc161253857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6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1523717C" w14:textId="52A3220A">
      <w:pPr>
        <w:pStyle w:val="956"/>
        <w:pBdr/>
        <w:tabs>
          <w:tab w:val="left" w:leader="none" w:pos="864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10.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Tamaño y Rendimiento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_Toc161253858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6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0BC55C92" w14:textId="30D4D2D9">
      <w:pPr>
        <w:pStyle w:val="956"/>
        <w:pBdr/>
        <w:tabs>
          <w:tab w:val="left" w:leader="none" w:pos="864"/>
        </w:tabs>
        <w:spacing/>
        <w:ind/>
        <w:rPr>
          <w:rFonts w:asciiTheme="minorHAnsi" w:hAnsiTheme="minorHAnsi" w:eastAsiaTheme="minorEastAsia" w:cstheme="minorBidi"/>
          <w:sz w:val="24"/>
          <w:szCs w:val="24"/>
          <w:lang w:val="es-CO"/>
          <w14:ligatures w14:val="standardContextual"/>
        </w:rPr>
      </w:pPr>
      <w:r>
        <w:rPr>
          <w:lang w:val="es-CO"/>
        </w:rPr>
        <w:t xml:space="preserve">11.</w:t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  <w:tab/>
      </w:r>
      <w:r>
        <w:rPr>
          <w:lang w:val="es-CO"/>
        </w:rPr>
        <w:t xml:space="preserve">Calidad</w:t>
      </w:r>
      <w:r>
        <w:rPr>
          <w:lang w:val="es-CO"/>
        </w:rPr>
        <w:tab/>
      </w:r>
      <w:r>
        <w:rPr>
          <w:lang w:val="es-CO"/>
        </w:rPr>
        <w:fldChar w:fldCharType="begin"/>
      </w:r>
      <w:r>
        <w:rPr>
          <w:lang w:val="es-CO"/>
        </w:rPr>
        <w:instrText xml:space="preserve"> PAGEREF _Toc161253859 \h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6</w:t>
      </w:r>
      <w:r>
        <w:rPr>
          <w:lang w:val="es-CO"/>
        </w:rPr>
        <w:fldChar w:fldCharType="end"/>
      </w:r>
      <w:r>
        <w:rPr>
          <w:rFonts w:asciiTheme="minorHAnsi" w:hAnsiTheme="minorHAnsi" w:eastAsiaTheme="minorEastAsia" w:cstheme="minorBidi"/>
          <w:sz w:val="24"/>
          <w:szCs w:val="24"/>
          <w:lang w:val="es-CO" w:eastAsia="es-CO"/>
          <w14:ligatures w14:val="standardContextual"/>
        </w:rPr>
      </w:r>
    </w:p>
    <w:p w14:paraId="4E8B7CF8" w14:textId="2D7CFB32">
      <w:pPr>
        <w:pStyle w:val="953"/>
        <w:pBdr/>
        <w:spacing/>
        <w:ind/>
        <w:rPr>
          <w:lang w:val="es-CO"/>
        </w:rPr>
      </w:pPr>
      <w:r>
        <w:rPr>
          <w:lang w:val="es-CO"/>
        </w:rPr>
        <w:fldChar w:fldCharType="end"/>
      </w:r>
      <w:r>
        <w:rPr>
          <w:lang w:val="es-CO"/>
        </w:rPr>
        <w:br w:type="page" w:clear="all"/>
      </w:r>
      <w:r>
        <w:rPr>
          <w:lang w:val="es-CO"/>
        </w:rPr>
        <w:fldChar w:fldCharType="begin"/>
      </w:r>
      <w:r>
        <w:rPr>
          <w:lang w:val="es-CO"/>
        </w:rPr>
        <w:instrText xml:space="preserve"> TITLE  \* MERGEFORMAT </w:instrText>
      </w:r>
      <w:r>
        <w:rPr>
          <w:lang w:val="es-CO"/>
        </w:rPr>
        <w:fldChar w:fldCharType="separate"/>
      </w:r>
      <w:r>
        <w:rPr>
          <w:lang w:val="es-CO"/>
        </w:rPr>
        <w:t xml:space="preserve">Software </w:t>
      </w:r>
      <w:r>
        <w:rPr>
          <w:lang w:val="es-CO"/>
        </w:rPr>
        <w:t xml:space="preserve">Architecture</w:t>
      </w:r>
      <w:r>
        <w:rPr>
          <w:lang w:val="es-CO"/>
        </w:rPr>
        <w:t xml:space="preserve"> </w:t>
      </w:r>
      <w:r>
        <w:rPr>
          <w:lang w:val="es-CO"/>
        </w:rPr>
        <w:t xml:space="preserve">Document</w:t>
      </w:r>
      <w:r>
        <w:rPr>
          <w:lang w:val="es-CO"/>
        </w:rPr>
        <w:fldChar w:fldCharType="end"/>
      </w:r>
      <w:r>
        <w:rPr>
          <w:lang w:val="es-CO"/>
        </w:rPr>
        <w:t xml:space="preserve"> </w:t>
      </w:r>
      <w:r>
        <w:rPr>
          <w:lang w:val="es-CO"/>
        </w:rPr>
      </w:r>
    </w:p>
    <w:p w14:paraId="584626B6" w14:textId="23CBE633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0" w:name="_Toc161253840"/>
      <w:r>
        <w:rPr>
          <w:lang w:val="es-CO"/>
        </w:rPr>
        <w:t xml:space="preserve">Introducción</w:t>
      </w:r>
      <w:bookmarkEnd w:id="0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presente Documento de Arquitectura de Software (SAD) describe la a</w:t>
      </w:r>
      <w:r>
        <w:rPr>
          <w:lang w:val="es-CO"/>
        </w:rPr>
        <w:t xml:space="preserve">rquitectura del microservicio ms-proveedores [PRV], correspondiente al sistema ERP Universitario. Este microservicio es responsable de la gestión integral de proveedores, incluyendo el registro, actualización, evaluación y control documental de los mismos.</w:t>
      </w:r>
      <w:r>
        <w:rPr>
          <w:lang w:val="es-CO"/>
        </w:rPr>
      </w:r>
    </w:p>
    <w:p w14:paraId="60894149" w14:textId="15EDB122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" w:name="_Toc161253841"/>
      <w:r>
        <w:rPr>
          <w:lang w:val="es-CO"/>
        </w:rPr>
        <w:t xml:space="preserve">Propósito</w:t>
      </w:r>
      <w:bookmarkEnd w:id="1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Este documento tiene como propósito proporcionar una visión arquitectónica completa del microservicio ms-proveedores, utilizando múltiples vistas arqu</w:t>
      </w:r>
      <w:r>
        <w:rPr>
          <w:lang w:val="es-CO"/>
        </w:rPr>
        <w:t xml:space="preserve">itectónicas para representar los diferentes aspectos del sistema. Está dirigido al equipo de desarrollo, arquitectos de software y stakeholders interesados en comprender la estructura interna, las interacciones y las decisiones de diseño del microservicio.</w:t>
      </w:r>
      <w:r>
        <w:rPr>
          <w:lang w:val="es-CO"/>
        </w:rPr>
      </w:r>
    </w:p>
    <w:p w14:paraId="0C9A80EA" w14:textId="082C2A83">
      <w:pPr>
        <w:pBdr/>
        <w:spacing/>
        <w:ind w:left="720"/>
        <w:rPr>
          <w:lang w:val="es-CO"/>
        </w:rPr>
      </w:pPr>
      <w:r>
        <w:rPr>
          <w:lang w:val="es-CO" w:bidi="es-CO"/>
        </w:rPr>
      </w:r>
      <w:bookmarkStart w:id="2" w:name="_Toc456598588"/>
      <w:r>
        <w:rPr>
          <w:lang w:val="es-CO"/>
        </w:rPr>
        <w:t xml:space="preserve">Este documento proporciona una vis</w:t>
      </w:r>
      <w:r>
        <w:rPr>
          <w:lang w:val="es-CO"/>
        </w:rPr>
        <w:t xml:space="preserve">ión arquitectónica integral del sistema, utilizando varios puntos de vista arquitectónicos para representar diferentes aspectos del sistema. Su objetivo es capturar y transmitir las decisiones arquitectónicas significativas que se han tomado en el sistema.</w:t>
      </w:r>
      <w:r>
        <w:rPr>
          <w:lang w:val="es-CO"/>
        </w:rPr>
      </w:r>
    </w:p>
    <w:p w14:paraId="1E5039FF" w14:textId="77777777">
      <w:pPr>
        <w:pBdr/>
        <w:spacing/>
        <w:ind w:left="720"/>
        <w:rPr>
          <w:lang w:val="es-CO"/>
        </w:rPr>
      </w:pPr>
      <w:r>
        <w:rPr>
          <w:lang w:val="es-CO"/>
        </w:rPr>
      </w:r>
      <w:r>
        <w:rPr>
          <w:lang w:val="es-CO"/>
        </w:rPr>
      </w:r>
    </w:p>
    <w:p w14:paraId="1B6BF58B" w14:textId="2CA7F3E4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3" w:name="_Toc161253842"/>
      <w:r>
        <w:rPr>
          <w:lang w:val="es-CO" w:bidi="es-CO"/>
        </w:rPr>
      </w:r>
      <w:bookmarkEnd w:id="2"/>
      <w:r>
        <w:rPr>
          <w:lang w:val="es-CO"/>
        </w:rPr>
        <w:t xml:space="preserve">Alcance</w:t>
      </w:r>
      <w:bookmarkEnd w:id="3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Este documento abarca la arquitectura del microservicio ms-proveedores [PRV] versión</w:t>
      </w:r>
      <w:r>
        <w:rPr>
          <w:lang w:val="es-CO"/>
        </w:rPr>
        <w:t xml:space="preserve"> 1.0.0, desarrollado con FastAPI y PostgreSQL. Cubre las vistas arquitectónicas de caso de uso, lógica, procesos, implementación y datos. No incluye la arquitectura de otros microservicios del ERP Universitario ni aspectos de infraestructura de despliegue.</w:t>
      </w:r>
      <w:r>
        <w:rPr>
          <w:lang w:val="es-CO"/>
        </w:rPr>
      </w:r>
    </w:p>
    <w:p w14:paraId="78F45445" w14:textId="4C597B39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5" w:name="_Toc161253843"/>
      <w:r>
        <w:rPr>
          <w:lang w:val="es-CO"/>
        </w:rPr>
        <w:t xml:space="preserve">Definiciones, Acrónimos y Abreviaturas</w:t>
      </w:r>
      <w:bookmarkEnd w:id="5"/>
      <w:r>
        <w:rPr>
          <w:lang w:val="es-CO" w:bidi="es-CO"/>
        </w:rPr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API: Application Programming Interface - Interfaz de programación de aplicaciones.</w:t>
      </w:r>
      <w:r>
        <w:rPr>
          <w:lang w:val="es-CO"/>
        </w:rPr>
      </w:r>
    </w:p>
    <w:p w14:paraId="6E6162E1" w14:textId="3A1E0DFD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6" w:name="_Toc161253844"/>
      <w:r>
        <w:rPr>
          <w:lang w:val="es-CO"/>
        </w:rPr>
        <w:t xml:space="preserve">Referencias</w:t>
      </w:r>
      <w:bookmarkEnd w:id="6"/>
      <w:r>
        <w:rPr>
          <w:lang w:val="es-CO" w:bidi="es-CO"/>
        </w:rPr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Documentación Técnica - ms-proveedores [PRV] (DOCUMENTACION_TECNICA.md)</w:t>
      </w:r>
      <w:r>
        <w:rPr>
          <w:lang w:val="es-CO"/>
        </w:rPr>
      </w:r>
    </w:p>
    <w:p w14:paraId="43EAEB5B" w14:textId="285F80C9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7" w:name="_Toc161253845"/>
      <w:r>
        <w:rPr>
          <w:lang w:val="es-CO"/>
        </w:rPr>
        <w:t xml:space="preserve">Representación Arquitectónica</w:t>
      </w:r>
      <w:bookmarkEnd w:id="7"/>
      <w:r>
        <w:rPr>
          <w:lang w:val="es-CO" w:bidi="es-CO"/>
        </w:rPr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Database: PostgreSQL 12+ con 5 tablas (proveedores, contratos, evaluaciones, cotizaciones, documentos_proveedor).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Clients (clients.py): Clientes HTTP para comunicación con otros microservicios.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Middleware (middleware.py): Implementa RequestID y Logging middleware para trazabilidad.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Schemas (schemas/provider.py): Define 10 esquemas Pydantic para validación de datos de entrada/salida.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Models (models/models.py): Define 5 modelos Peewee que representan las entidades del dominio.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Services (services/provider.py): Contiene 5 clases de servicio con la lógica de negocio del microservicio.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Routes (routes/provider.py): Define 20 endpoints REST que manejan las peticiones HTTP entrantes.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expone sus funcionalidades a través de una API REST en el puerto 8009, bajo el prefijo /api/v1. Los componentes principales son: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arquitectura del microservicio ms-proveedores sigue el patrón MVC (Model-View-Controller) adaptado al contexto de microservicios RES</w:t>
      </w:r>
      <w:r>
        <w:rPr>
          <w:lang w:val="es-CO"/>
        </w:rPr>
        <w:t xml:space="preserve">T. Se estructura en cuatro capas principales: Routes (controladores), Services (lógica de negocio), Models (persistencia) y la base de datos PostgreSQL. El microservicio se comunica con otros servicios del ERP mediante protocolo HTTP/REST con formato JSON.</w:t>
      </w:r>
      <w:r>
        <w:rPr>
          <w:lang w:val="es-CO"/>
        </w:rPr>
      </w:r>
    </w:p>
    <w:p w14:paraId="7A0B1984" w14:textId="33FEF621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8" w:name="_Toc161253846"/>
      <w:r>
        <w:rPr>
          <w:lang w:val="es-CO"/>
        </w:rPr>
        <w:t xml:space="preserve">Objetivos y Restricciones Arquitectónicas</w:t>
      </w:r>
      <w:bookmarkEnd w:id="8"/>
      <w:r>
        <w:rPr>
          <w:lang w:val="es-CO" w:bidi="es-CO"/>
        </w:rPr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Integración transversal: Dependencia de ms-autenticacion, ms-roles, ms-auditoria y ms-notificaciones.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Formato estándar: Respuestas JSON estandarizadas con campos request_id, success, data, message y timestamp.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Comunicación asíncrona: Uso de BackgroundTasks para operaciones no bloqueantes (registro de auditoría).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Validación multicapa: Validaciones en Pydantic (entrada), Peewee (BD) y Services (lógica de negocio).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Trazabilidad: Implementación de Request ID único para cada operación (formato PRV-{timestamp}-{random}).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Alta cohesión y bajo acoplamiento: Separación clara de responsabilidades en capas (Routes → Services → Models → DB).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Escalabilidad horizontal: Capacidad de escalar mediante la ejecución de múltiples instancias del microservicio.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ms-proveedores fue diseñado considerando los siguientes objetivos y restricciones arquitectónicas:</w:t>
      </w:r>
      <w:r>
        <w:rPr>
          <w:lang w:val="es-CO"/>
        </w:rPr>
      </w:r>
    </w:p>
    <w:p w14:paraId="7F331523" w14:textId="10F5CD42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9" w:name="_Toc161253847"/>
      <w:r>
        <w:rPr>
          <w:lang w:val="es-CO"/>
        </w:rPr>
        <w:t xml:space="preserve">Vista de Caso de Uso</w:t>
      </w:r>
      <w:bookmarkEnd w:id="9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vista de caso </w:t>
      </w:r>
      <w:r>
        <w:rPr>
          <w:lang w:val="es-CO"/>
        </w:rPr>
        <w:t xml:space="preserve">de uso describe las funcionalidades principales del microservicio ms-proveedores desde la perspectiva de los actores externos que interactúan con él. Los actores identificados son: Administrador, Empleado y Sistemas Externos (otros microservicios del ERP).</w:t>
      </w:r>
      <w:r>
        <w:rPr>
          <w:lang w:val="es-CO"/>
        </w:rPr>
      </w:r>
    </w:p>
    <w:p w14:paraId="65173DE9" w14:textId="0D038AF4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0" w:name="_Toc161253848"/>
      <w:r>
        <w:rPr>
          <w:lang w:val="es-CO"/>
        </w:rPr>
        <w:t xml:space="preserve">Realizaciones de Caso de Uso</w:t>
      </w:r>
      <w:bookmarkEnd w:id="10"/>
      <w:r>
        <w:rPr>
          <w:lang w:val="es-CO" w:bidi="es-CO"/>
        </w:rPr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Realizaciones de Caso de Uso - Diagramas de Secuencia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Control Documental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Gestión de Cotizaciones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Evaluación de Proveedores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Gestión de Contratos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Gestión de Proveedores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A continuación se presentan las funcionalidades principales del microservicio organizadas por módulo:</w:t>
      </w:r>
      <w:r>
        <w:rPr>
          <w:lang w:val="es-CO"/>
        </w:rPr>
      </w:r>
    </w:p>
    <w:p w14:paraId="1D3E1B32" w14:textId="77777777">
      <w:pPr>
        <w:pBdr/>
        <w:spacing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</w:p>
    <w:p w14:paraId="72A60967" w14:textId="415390F8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11" w:name="_Toc161253849"/>
      <w:r>
        <w:rPr>
          <w:lang w:val="es-CO"/>
        </w:rPr>
        <w:t xml:space="preserve">Vista Lógica</w:t>
      </w:r>
      <w:bookmarkEnd w:id="11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vista lógica describe la descomposición del microservicio en clases y paquetes, mostrando la organización estructural del código y las relaciones entre los componentes.</w:t>
      </w:r>
      <w:r>
        <w:rPr>
          <w:lang w:val="es-CO"/>
        </w:rPr>
      </w:r>
    </w:p>
    <w:p w14:paraId="7D2E86EB" w14:textId="001C5EF1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2" w:name="_Toc161253850"/>
      <w:r>
        <w:rPr>
          <w:lang w:val="es-CO"/>
        </w:rPr>
        <w:t xml:space="preserve">Visión General</w:t>
      </w:r>
      <w:bookmarkEnd w:id="12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estructura del proyecto sigue </w:t>
      </w:r>
      <w:r>
        <w:rPr>
          <w:lang w:val="es-CO"/>
        </w:rPr>
        <w:t xml:space="preserve">una organización modular con separación clara de responsabilidades. El punto de entrada es main.py, que inicializa la aplicación FastAPI y configura los middlewares. El directorio app/ contiene toda la lógica del microservicio organizada en subdirectorios.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arquitectura del microservicio sigue el patrón MVC con una división clara en capas. La estructura de paquetes refleja esta separación de responsabilidades, donde cada capa tiene un rol específico y dependencias unidireccionales.</w:t>
      </w:r>
      <w:r>
        <w:rPr>
          <w:lang w:val="es-CO"/>
        </w:rPr>
      </w:r>
    </w:p>
    <w:p w14:paraId="4065A8CD" w14:textId="674ACB28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3" w:name="_Toc161253851"/>
      <w:r>
        <w:rPr>
          <w:lang w:val="es-CO"/>
        </w:rPr>
        <w:t xml:space="preserve">Paquetes de Diseño Arquitectónicamente Significativos</w:t>
      </w:r>
      <w:bookmarkEnd w:id="13"/>
      <w:r>
        <w:rPr>
          <w:lang w:val="es-CO" w:bidi="es-CO"/>
        </w:rPr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Diagramas de Clases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 (raíz)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app.utils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app.schemas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app.models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app.services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Paquete app.routes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se organiza en los siguientes paquetes, cada uno con responsabilidades bien definidas:</w:t>
      </w:r>
      <w:r>
        <w:rPr>
          <w:lang w:val="es-CO"/>
        </w:rPr>
      </w:r>
    </w:p>
    <w:p w14:paraId="1D302C11" w14:textId="22D48650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14" w:name="_Toc161253852"/>
      <w:r>
        <w:rPr>
          <w:lang w:val="es-CO"/>
        </w:rPr>
        <w:t xml:space="preserve">Vista de Proceso</w:t>
      </w:r>
      <w:bookmarkEnd w:id="14"/>
      <w:r>
        <w:rPr>
          <w:lang w:val="es-CO" w:bidi="es-CO"/>
        </w:rPr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Diagrama de Secuencia - Registro de Evaluación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Diagrama de Secuencia - Validación de Sesión y Permisos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vista de proceso describe los flujos de comunicación del microservicio ms-proveedores con los </w:t>
      </w:r>
      <w:r>
        <w:rPr>
          <w:lang w:val="es-CO"/>
        </w:rPr>
        <w:t xml:space="preserve">demás servicios del ERP Universitario. El microservicio expone endpoints REST que son consumidos por clientes externos y otros microservicios, mientras que también actúa como cliente HTTP hacia servicios de autenticación, roles, auditoría y notificaciones.</w:t>
      </w:r>
      <w:r>
        <w:rPr>
          <w:lang w:val="es-CO"/>
        </w:rPr>
      </w:r>
    </w:p>
    <w:p w14:paraId="058B827C" w14:textId="480A76C1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15" w:name="_Toc161253853"/>
      <w:r>
        <w:rPr>
          <w:lang w:val="es-CO"/>
        </w:rPr>
        <w:t xml:space="preserve">Vista de Despliegue</w:t>
      </w:r>
      <w:bookmarkEnd w:id="15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ms-proveedores se despliega como un contenedor Docker independiente. La configuración de despliegue incluye:</w:t>
      </w:r>
      <w:r>
        <w:rPr>
          <w:lang w:val="es-CO"/>
        </w:rPr>
      </w:r>
    </w:p>
    <w:p w14:paraId="73D627A6" w14:textId="36A9DB91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16" w:name="_Toc161253854"/>
      <w:r>
        <w:rPr>
          <w:lang w:val="es-CO"/>
        </w:rPr>
        <w:t xml:space="preserve">Vista de Implementación</w:t>
      </w:r>
      <w:bookmarkEnd w:id="16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vista de implementación describe la organización del código fuente del microservicio, incluyendo la estructura de directorios y la descomposición en capas.</w:t>
      </w:r>
      <w:r>
        <w:rPr>
          <w:lang w:val="es-CO"/>
        </w:rPr>
      </w:r>
    </w:p>
    <w:p w14:paraId="3B074EF2" w14:textId="086F86DC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7" w:name="_Toc161253855"/>
      <w:r>
        <w:rPr>
          <w:lang w:val="es-CO"/>
        </w:rPr>
        <w:t xml:space="preserve">Visión General</w:t>
      </w:r>
      <w:bookmarkEnd w:id="17"/>
      <w:r>
        <w:rPr>
          <w:lang w:val="es-CO" w:bidi="es-CO"/>
        </w:rPr>
      </w:r>
      <w:r>
        <w:rPr>
          <w:lang w:val="es-CO"/>
        </w:rPr>
      </w:r>
    </w:p>
    <w:p w14:paraId="3636FE10" w14:textId="3F8F0360">
      <w:pPr>
        <w:pStyle w:val="941"/>
        <w:pBdr/>
        <w:spacing/>
        <w:ind/>
        <w:rPr>
          <w:lang w:val="es-CO"/>
        </w:rPr>
      </w:pPr>
      <w:r>
        <w:rPr>
          <w:lang w:val="es-CO" w:bidi="es-CO"/>
        </w:rPr>
      </w:r>
      <w:bookmarkStart w:id="18" w:name="_Toc161253856"/>
      <w:r>
        <w:rPr>
          <w:lang w:val="es-CO"/>
        </w:rPr>
        <w:t xml:space="preserve">Capas</w:t>
      </w:r>
      <w:bookmarkEnd w:id="18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se organiza en las siguientes capas, desde la interfaz externa hasta la persistencia:</w:t>
      </w:r>
      <w:r>
        <w:rPr>
          <w:lang w:val="es-CO"/>
        </w:rPr>
      </w:r>
    </w:p>
    <w:p w14:paraId="5C4D90EA" w14:textId="77777777">
      <w:pPr>
        <w:pBdr/>
        <w:spacing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</w:p>
    <w:p w14:paraId="26BD3574" w14:textId="68A601D9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19" w:name="_Toc161253857"/>
      <w:r>
        <w:rPr>
          <w:lang w:val="es-CO"/>
        </w:rPr>
        <w:t xml:space="preserve">Vista de Datos</w:t>
      </w:r>
      <w:bookmarkEnd w:id="19"/>
      <w:r>
        <w:rPr>
          <w:lang w:val="es-CO" w:bidi="es-CO"/>
        </w:rPr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Descripción de Entidades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vista de datos describe el modelo de persistencia del microservicio ms-proveedores. Se utiliza PostgreSQL como motor de base de datos relacional con 5 tablas principales.</w:t>
      </w:r>
      <w:r>
        <w:rPr>
          <w:lang w:val="es-CO"/>
        </w:rPr>
      </w:r>
    </w:p>
    <w:p w14:paraId="15F32E21" w14:textId="0457963B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20" w:name="_Toc161253858"/>
      <w:r>
        <w:rPr>
          <w:lang w:val="es-CO"/>
        </w:rPr>
        <w:t xml:space="preserve">Tamaño y Rendimiento</w:t>
      </w:r>
      <w:bookmarkEnd w:id="20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El microservicio ms-proveedores está diseñado para operar en entornos de tamaño pequeño a mediano. Las características de dimensionamiento son:</w:t>
      </w:r>
      <w:r>
        <w:rPr>
          <w:lang w:val="es-CO"/>
        </w:rPr>
      </w:r>
    </w:p>
    <w:p w14:paraId="25E2164B" w14:textId="07DBDB6C">
      <w:pPr>
        <w:pStyle w:val="940"/>
        <w:pBdr/>
        <w:spacing/>
        <w:ind/>
        <w:rPr>
          <w:lang w:val="es-CO"/>
        </w:rPr>
      </w:pPr>
      <w:r>
        <w:rPr>
          <w:lang w:val="es-CO" w:bidi="es-CO"/>
        </w:rPr>
      </w:r>
      <w:bookmarkStart w:id="21" w:name="_Toc161253859"/>
      <w:r>
        <w:rPr>
          <w:lang w:val="es-CO"/>
        </w:rPr>
        <w:t xml:space="preserve">Calidad</w:t>
      </w:r>
      <w:bookmarkEnd w:id="21"/>
      <w:r>
        <w:rPr>
          <w:lang w:val="es-CO" w:bidi="es-CO"/>
        </w:rPr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La arquitectura del microservicio ms-proveedores contribuye a las siguientes capacidades de calidad: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ERP: Enterprise Resource Planning - Sistema de planificación de recursos empresariales.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FastAPI: Framework web moderno y rápido para construir APIs con Python.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JWT: JSON Web Token - Estándar para tokens de acceso.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MVC: Model-View-Controller - Patrón de arquitectura de software.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ORM: Object-Relational Mapping - Mapeo objeto-relacional.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PRV: Código identificador del microservicio de proveedores.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Pydantic: Biblioteca de validación de datos basada en tipos para Python.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REST: Representational State Transfer - Estilo de arquitectura para servicios web.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SAD: Software Architecture Document - Documento de Arquitectura de Software.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Guía de Integración - ms-proveedores (GUIA_INTEGRACION.md)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ERP Universitario - Requisitos Funcionales (ERP_Universitario_Requisitos_Funcionales.md)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Estándar de Documentación de Microservicios con IA (Guia_Documentacion_Microservicios_con_IA.md)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Repositorio del microservicio: /ms-proveedores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70505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a_componentes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29200" cy="3705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291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sz w:val="20"/>
          <w:lang w:val="es-CO"/>
        </w:rPr>
        <w:t xml:space="preserve">Diagrama de Componentes Interno - ms-proveedores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467021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sos_uso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29200" cy="4670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367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Casos de Uso - ms-proveedores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Registrar nuevo proveedor con validación de NIT único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Consultar información detallada de un proveedor (incluyendo vigencia de contrato)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Listar todos los proveedores registrados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Actualizar datos del proveedor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Desactivar proveedor (desactivación lógica)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Crear contrato con validación de número único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Consultar contratos de un proveedor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Detectar contratos próximos a vencer (menos de 30 días)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Actualizar información del contrato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Registrar evaluación periódica con calificaciones (1-5) en calidad, cumplimiento, precio y servicio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Cálculo automático del puntaje total (promedio de criterios)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Actualización automática del puntaje del proveedor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Registrar cotización de producto/servicio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Comparar cotizaciones por descripción (ordenadas por precio)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Actualizar estado de cotización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Registrar documentos legales (RUT, cámara de comercio, certificaciones, pólizas)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Cálculo automático de estado del documento (vigente/vencido/por vencer)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Detección de documentos próximos a vencer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Los siguientes diagramas de secuencia ilustran los flujos de interacción del microservicio con los actores y sistemas externos: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76835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validacion_sesion_permis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29200" cy="3768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296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Secuencia - Validación de Sesión y Permisos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932892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registrar_evaluaci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29200" cy="3932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00pt;height:309.6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Secuencia - Registro de Evaluación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758336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microservici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29200" cy="758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0pt;height:597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Secuencia - Comunicación entre Microservicios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2052519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a_paquetes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14800" cy="2052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4.00pt;height:161.6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Paquetes - ms-proveedores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Contiene los controlador</w:t>
      </w:r>
      <w:r>
        <w:rPr>
          <w:lang w:val="es-CO"/>
        </w:rPr>
        <w:t xml:space="preserve">es de la API REST. Define 20 endpoints HTTP organizados por recurso: proveedores, contratos, evaluaciones, cotizaciones y documentos. Utiliza APIRouter de FastAPI con prefijo /api/v1. Incluye dependencias de autenticación y autorización </w:t>
      </w:r>
      <w:r>
        <w:rPr>
          <w:lang w:val="es-CO"/>
        </w:rPr>
        <w:t xml:space="preserve">mediante </w:t>
      </w:r>
      <w:r>
        <w:rPr>
          <w:lang w:val="es-CO"/>
        </w:rPr>
        <w:t xml:space="preserve">Depends().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Implementa la lógica de negocio del micros</w:t>
      </w:r>
      <w:r>
        <w:rPr>
          <w:lang w:val="es-CO"/>
        </w:rPr>
        <w:t xml:space="preserve">ervicio. Contiene 5 clases de servicio (ProveedorService, ContratoService, EvaluacionService, CotizacionService, DocumentoService). Cada clase encapsula las operaciones relacionadas con su entidad, incluyendo validaciones de negocio y cálculos automáticos.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Define los modelo</w:t>
      </w:r>
      <w:r>
        <w:rPr>
          <w:lang w:val="es-CO"/>
        </w:rPr>
        <w:t xml:space="preserve">s de datos utilizando Peewee ORM. Contiene 5 modelos que mapean directamente a las tablas de PostgreSQL: Proveedor, Contrato, Evaluacion, Cotizacion, DocumentoProveedor. Incluye definiciones de campos, relaciones (ForeignKey) y restricciones de integridad.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Define 10 esquemas Pydantic para validación de datos de entrada y serialización de respuestas. Cada entidad tiene al menos un esquema Create, Update y Response.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Contiene utilidades transversales como generación de Request ID (formato PRV-{timestamp}-{random}) y la clase StandardResponse para respuestas JSON uniformes.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Incluye archivos de configuración (config.py), middleware (middleware.py), logging (logging.py), dependencias (dependencies.py) y clientes HTTP (clients.py) para comunicación inter-servicios.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721072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es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572000" cy="721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0.00pt;height:56.7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Clases General - ms-proveedores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4688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es_modelos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72000" cy="346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00pt;height:273.1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Clases - Modelos (Entidades)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048122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es_servicios_schemas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572000" cy="1048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0.00pt;height:82.5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Clases - Servicios y Schemas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7439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es_infraestructura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572000" cy="474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0.00pt;height:37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Clases - Infraestructura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7583365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microservici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29200" cy="758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6.00pt;height:597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de Secuencia - Comunicación entre Microservicios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Los principales flujos de proceso son: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Validación de sesión: Cada petición autenticada verifica el token JWT contra ms-autenticacion mediante POST /api/v1/auth/session/validate.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Validación de permisos: El RoleChecker valida que el rol del usuario tenga acceso al recurso solicitado.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Registro de auditoría: Las operaciones críticas registran logs asíncronos en ms-auditoria mediante POST /api/v1/logs.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Notificaciones: Las detecciones de vencimientos envían alertas a ms-notificaciones mediante POST /api/v1/notificaciones/alerta.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Revisión diaria: El endpoint /admin/revision-diaria ejecuta en segundo plano la detección de contratos y documentos próximos a vencer.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42578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validacion_sesion_permis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72000" cy="34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00pt;height:269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Validación de Sesión y Permisos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575357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encia_registrar_evaluaci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72000" cy="3575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0.00pt;height:281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Registro de Evaluación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Puerto: 8009 (mapeado al 8001 en docker-compose)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Base de datos: PostgreSQL 12+ en contenedor separado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Dependencias: FastAPI, Uvicorn, Peewee, Pydantic, httpx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Health check: Endpoint GET /health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Documentación automática: Swagger UI en /docs y ReDoc en /redoc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Tipo de despliegue: Contenedor Docker con Dockerfile y docker-compose.yml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Capa de Presentación (Routes)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Ubicada</w:t>
      </w:r>
      <w:r>
        <w:rPr>
          <w:lang w:val="es-CO"/>
        </w:rPr>
        <w:t xml:space="preserve"> en app/routes/provider.py. Contiene 20 endpoints REST definidos con FastAPI APIRouter. Maneja la validación de parámetros de entrada, autenticación mediante Depends(), y delega la lógica de negocio a los servicios. Responde con formato JSON estandarizado.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Capa de Aplicación (Services)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Ubicada en app/services/provider.</w:t>
      </w:r>
      <w:r>
        <w:rPr>
          <w:lang w:val="es-CO"/>
        </w:rPr>
        <w:t xml:space="preserve">py. Contiene 5 clases de servicio con métodos estáticos asíncronos. Implementa la lógica de negocio: validaciones de unicidad, cálculos automáticos (puntaje promedio), detección de vencimientos y comunicación con otros microservicios mediante clients HTTP.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Capa de Persistencia (Models)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Ubicada en app/models/models.py. Define 5 modelos Peewee que mapean a las tablas PostgreSQL. Incluye definición de campos, tipos de datos, relaciones ForeignKey, restricciones unique e índices.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Capa de Validación (Schemas)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Ubicada en app/schemas/provider.py. Define 10 esquemas Pydantic para validación tipada de datos de entrada (Create/Update) y serialización de respuestas (Response).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Capa de Infraestructura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Distribuida en app/config.py (conexión a BD), app/middleware.py (RequestID y Logging), app/dependencies.py (RoleChecker, get_current_user), app/clients.py (clientes HTTP inter-servicios) y app/utils/core.py (utilidades transversales).</w: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7148551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r_ms-proveedor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029200" cy="7148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6.00pt;height:562.8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es-CO"/>
        </w:rPr>
      </w:r>
    </w:p>
    <w:p>
      <w:pPr>
        <w:pBdr/>
        <w:spacing/>
        <w:ind/>
        <w:jc w:val="center"/>
        <w:rPr>
          <w:lang w:val="es-CO"/>
        </w:rPr>
      </w:pPr>
      <w:r>
        <w:rPr>
          <w:lang w:val="es-CO"/>
        </w:rPr>
        <w:t xml:space="preserve">Diagrama Entidad-Relación - ms-proveedores</w:t>
      </w:r>
      <w:r>
        <w:rPr>
          <w:lang w:val="es-CO"/>
        </w:rPr>
      </w:r>
    </w:p>
    <w:p>
      <w:pPr>
        <w:pStyle w:val="943"/>
        <w:pBdr/>
        <w:spacing/>
        <w:ind/>
        <w:rPr>
          <w:lang w:val="es-CO"/>
        </w:rPr>
      </w:pPr>
      <w:r>
        <w:rPr>
          <w:lang w:val="es-CO"/>
        </w:rPr>
        <w:t xml:space="preserve">Proveedor (proveedores)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Entidad principal que almacena la información de los proveedores. Atributos: id (PK, SERIAL), nit (VAR</w:t>
      </w:r>
      <w:r>
        <w:rPr>
          <w:lang w:val="es-CO"/>
        </w:rPr>
        <w:t xml:space="preserve">CHAR(20), UNIQUE), razon_social, nombre_contacto, email, telefono, direccion, ciudad, estado (activo/inactivo/suspendido), fecha_registro (DATE), puntaje_evaluacion (DOUBLE PRECISION). Relaciones: 1:N con Contratos, Evaluaciones, Cotizaciones y Documentos.</w:t>
      </w:r>
      <w:r>
        <w:rPr>
          <w:lang w:val="es-CO"/>
        </w:rPr>
      </w:r>
    </w:p>
    <w:p>
      <w:pPr>
        <w:pStyle w:val="943"/>
        <w:pBdr/>
        <w:spacing/>
        <w:ind/>
        <w:rPr>
          <w:lang w:val="es-CO"/>
        </w:rPr>
      </w:pPr>
      <w:r>
        <w:rPr>
          <w:lang w:val="es-CO"/>
        </w:rPr>
        <w:t xml:space="preserve">Contrato (contratos)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Almacena los contratos asociados a proveedores. Atributos: id (PK, SERIAL),</w:t>
      </w:r>
      <w:r>
        <w:rPr>
          <w:lang w:val="es-CO"/>
        </w:rPr>
        <w:t xml:space="preserve"> proveedor_id (FK), numero_contrato (UNIQUE), objeto_contrato (TEXT), monto_total (NUMERIC(15,2)), fecha_inicio, fecha_fin, estado (vigente/vencido/cancelado/en renovacion), url_documento, observaciones. Relaciones: N:1 con Proveedor, 1:N con Evaluaciones.</w:t>
      </w:r>
      <w:r>
        <w:rPr>
          <w:lang w:val="es-CO"/>
        </w:rPr>
      </w:r>
    </w:p>
    <w:p>
      <w:pPr>
        <w:pStyle w:val="943"/>
        <w:pBdr/>
        <w:spacing/>
        <w:ind/>
        <w:rPr>
          <w:lang w:val="es-CO"/>
        </w:rPr>
      </w:pPr>
      <w:r>
        <w:rPr>
          <w:lang w:val="es-CO"/>
        </w:rPr>
        <w:t xml:space="preserve">Evaluación (evaluaciones)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Registra evaluaciones periódicas de desempeño. Atributos: id (PK, SERIAL), proveedor_id (FK), </w:t>
      </w:r>
      <w:r>
        <w:rPr>
          <w:lang w:val="es-CO"/>
        </w:rPr>
        <w:t xml:space="preserve">contrato_id (FK), periodo_evaluacion, calidad (INT 1-5), cumplimiento_tiempos (INT 1-5), precio_competitivo (INT 1-5), servicio_postventa (INT 1-5), puntaje_total (DOUBLE PRECISION), evaluador_id, fecha_evaluacion. Relaciones: N:1 con Proveedor y Contrato.</w:t>
      </w:r>
      <w:r>
        <w:rPr>
          <w:lang w:val="es-CO"/>
        </w:rPr>
      </w:r>
    </w:p>
    <w:p>
      <w:pPr>
        <w:pStyle w:val="943"/>
        <w:pBdr/>
        <w:spacing/>
        <w:ind/>
        <w:rPr>
          <w:lang w:val="es-CO"/>
        </w:rPr>
      </w:pPr>
      <w:r>
        <w:rPr>
          <w:lang w:val="es-CO"/>
        </w:rPr>
        <w:t xml:space="preserve">Cotización (cotizaciones)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Gestiona las cotizaciones de productos/servicio</w:t>
      </w:r>
      <w:r>
        <w:rPr>
          <w:lang w:val="es-CO"/>
        </w:rPr>
        <w:t xml:space="preserve">s. Atributos: id (PK, SERIAL), proveedor_id (FK), descripcion (TEXT), precio_unitario (NUMERIC(15,2)), condiciones_comerciales (TEXT), vigencia_cotizacion (DATE), fecha_cotizacion, estado (activa/expirada/aceptada/rechazada). Relaciones: N:1 con Proveedor.</w:t>
      </w:r>
      <w:r>
        <w:rPr>
          <w:lang w:val="es-CO"/>
        </w:rPr>
      </w:r>
    </w:p>
    <w:p>
      <w:pPr>
        <w:pStyle w:val="943"/>
        <w:pBdr/>
        <w:spacing/>
        <w:ind/>
        <w:rPr>
          <w:lang w:val="es-CO"/>
        </w:rPr>
      </w:pPr>
      <w:r>
        <w:rPr>
          <w:lang w:val="es-CO"/>
        </w:rPr>
        <w:t xml:space="preserve">Documento del Proveedor (documentos_proveedor)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Controla los documentos legales de los pr</w:t>
      </w:r>
      <w:r>
        <w:rPr>
          <w:lang w:val="es-CO"/>
        </w:rPr>
        <w:t xml:space="preserve">oveedores. Atributos: id (PK, SERIAL), proveedor_id (FK), tipo_documento (RUT/cámara_comercio/certificación/póliza), nombre_documento, url_archivo (TEXT), fecha_emision, fecha_vencimiento, estado (vigente/vencido/por_vencer). Relaciones: N:1 con Proveedor.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Volumen de datos: Capacidad para gestionar hasta 10,000 proveedores con sus contratos, evaluaciones y documentos asociados.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Rendimiento: Tiempo de respuesta &lt; 200ms para operaciones CRUD simples y &lt; 500ms para operaciones con lógica de negocio compleja.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Concurrencia: Soporte para hasta 100 peticiones simultáneas gracias al modelo asíncrono de FastAPI y Uvicorn.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Almacenamiento: Base de datos PostgreSQL con aproximadamente 5 KB por registro de proveedor, 2 KB por contrato y 1 KB por evaluación.</w:t>
      </w:r>
      <w:r>
        <w:rPr>
          <w:lang w:val="es-CO"/>
        </w:rPr>
      </w:r>
    </w:p>
    <w:p>
      <w:pPr>
        <w:pStyle w:val="982"/>
        <w:pBdr/>
        <w:spacing/>
        <w:ind/>
        <w:rPr>
          <w:lang w:val="es-CO"/>
        </w:rPr>
      </w:pPr>
      <w:r>
        <w:rPr>
          <w:lang w:val="es-CO"/>
        </w:rPr>
        <w:t xml:space="preserve">Escalabilidad: Horizontal mediante la ejecución de múltiples instancias detrás de un balanceador de carga.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Mantenibilidad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Estructura modular con separación clara de responsabilidades en capas. Cada capa tiene una función específica y las dependencias son unidireccionales (Routes → Services → Models → DB).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Escalabilidad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Arquitectura stateless que permite escalar horizontalmente. El uso de BackgroundTasks permite operaciones asíncronas no bloqueantes. La base de datos PostgreSQL soporta conexiones concurrentes.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Seguridad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Validación de token JWT contra ms-autenticacion, control de acceso basado en roles (RoleChecker), y validación de datos en múltiples capas (Pydantic + Peewee + Services).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Confiabilidad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Respuestas JSON estandarizadas con campos de éxito/error. Manejo de excepciones con HTTPException y códigos de estado HTTP apropiados (200, 201, 400, 401, 403, 404, 500).</w:t>
      </w:r>
      <w:r>
        <w:rPr>
          <w:lang w:val="es-CO"/>
        </w:rPr>
      </w:r>
    </w:p>
    <w:p>
      <w:pPr>
        <w:pStyle w:val="942"/>
        <w:pBdr/>
        <w:spacing/>
        <w:ind/>
        <w:rPr>
          <w:lang w:val="es-CO"/>
        </w:rPr>
      </w:pPr>
      <w:r>
        <w:rPr>
          <w:lang w:val="es-CO"/>
        </w:rPr>
        <w:t xml:space="preserve">Trazabilidad</w:t>
      </w:r>
      <w:r>
        <w:rPr>
          <w:lang w:val="es-CO"/>
        </w:rPr>
      </w:r>
    </w:p>
    <w:p>
      <w:pPr>
        <w:pStyle w:val="970"/>
        <w:pBdr/>
        <w:spacing/>
        <w:ind/>
        <w:rPr>
          <w:lang w:val="es-CO"/>
        </w:rPr>
      </w:pPr>
      <w:r>
        <w:rPr>
          <w:lang w:val="es-CO"/>
        </w:rPr>
        <w:t xml:space="preserve">Request ID único por operación (formato PRV-{timestamp}-{random}). Registro de auditoría en ms-auditoria para operaciones críticas. Headers de trazabilidad (X-Request-ID, X-Process-Time).</w:t>
      </w:r>
      <w:r>
        <w:rPr>
          <w:lang w:val="es-CO"/>
        </w:rPr>
      </w:r>
    </w:p>
    <w:sectPr>
      <w:headerReference w:type="default" r:id="rId10"/>
      <w:headerReference w:type="first" r:id="rId11"/>
      <w:footerReference w:type="default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E047F1B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475324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Helvetica">
    <w:panose1 w:val="020B0604020202020204"/>
  </w:font>
  <w:font w:name="Book Antiqua">
    <w:panose1 w:val="0204050205050503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6B93ED" w14:textId="77777777">
    <w:pPr>
      <w:pStyle w:val="960"/>
      <w:framePr w:hAnchor="margin" w:vAnchor="text" w:wrap="around" w:xAlign="right" w:y="1"/>
      <w:pBdr/>
      <w:spacing/>
      <w:ind/>
      <w:rPr>
        <w:rStyle w:val="961"/>
      </w:rPr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</w:p>
  <w:p w14:paraId="1816EBD4" w14:textId="77777777">
    <w:pPr>
      <w:pStyle w:val="960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162" w:type="dxa"/>
        </w:tcPr>
        <w:p w14:paraId="1A889CAD" w14:textId="77777777">
          <w:pPr>
            <w:pBdr/>
            <w:spacing/>
            <w:ind w:right="360"/>
            <w:rPr/>
          </w:pPr>
          <w:r>
            <w:t xml:space="preserve">Confidential</w:t>
          </w:r>
          <w:r/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162" w:type="dxa"/>
        </w:tcPr>
        <w:p w14:paraId="05EF5325" w14:textId="77777777">
          <w:pPr>
            <w:pBdr/>
            <w:spacing/>
            <w:ind/>
            <w:jc w:val="center"/>
            <w:rPr/>
          </w:pPr>
          <w:r>
            <w:rPr>
              <w:rFonts w:ascii="Symbol" w:hAnsi="Symbol" w:eastAsia="Symbol" w:cs="Symbol"/>
            </w:rPr>
          </w:r>
          <w:r/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162" w:type="dxa"/>
        </w:tcPr>
        <w:p w14:paraId="4955720E" w14:textId="77777777">
          <w:pPr>
            <w:pBdr/>
            <w:spacing/>
            <w:ind/>
            <w:jc w:val="right"/>
            <w:rPr/>
          </w:pPr>
          <w:r>
            <w:t xml:space="preserve">Page </w:t>
          </w:r>
          <w:r>
            <w:rPr>
              <w:rStyle w:val="961"/>
            </w:rPr>
            <w:fldChar w:fldCharType="begin"/>
          </w:r>
          <w:r>
            <w:rPr>
              <w:rStyle w:val="961"/>
            </w:rPr>
            <w:instrText xml:space="preserve"> PAGE </w:instrText>
          </w:r>
          <w:r>
            <w:rPr>
              <w:rStyle w:val="961"/>
            </w:rPr>
            <w:fldChar w:fldCharType="separate"/>
          </w:r>
          <w:r>
            <w:rPr>
              <w:rStyle w:val="961"/>
            </w:rPr>
            <w:t xml:space="preserve">6</w:t>
          </w:r>
          <w:r>
            <w:rPr>
              <w:rStyle w:val="961"/>
            </w:rPr>
            <w:fldChar w:fldCharType="end"/>
          </w:r>
          <w:r>
            <w:rPr>
              <w:rStyle w:val="961"/>
            </w:rPr>
            <w:t xml:space="preserve"> of </w:t>
          </w:r>
          <w:r>
            <w:rPr>
              <w:rStyle w:val="961"/>
            </w:rPr>
            <w:fldChar w:fldCharType="begin"/>
          </w:r>
          <w:r>
            <w:rPr>
              <w:rStyle w:val="961"/>
            </w:rPr>
            <w:instrText xml:space="preserve"> NUMPAGES  \* MERGEFORMAT </w:instrText>
          </w:r>
          <w:r>
            <w:rPr>
              <w:rStyle w:val="961"/>
            </w:rPr>
            <w:fldChar w:fldCharType="separate"/>
          </w:r>
          <w:r>
            <w:rPr>
              <w:rStyle w:val="961"/>
            </w:rPr>
            <w:t xml:space="preserve">6</w:t>
          </w:r>
          <w:r>
            <w:rPr>
              <w:rStyle w:val="961"/>
            </w:rPr>
            <w:fldChar w:fldCharType="end"/>
          </w:r>
          <w:r/>
        </w:p>
      </w:tc>
    </w:tr>
  </w:tbl>
  <w:p w14:paraId="600413AC" w14:textId="77777777">
    <w:pPr>
      <w:pStyle w:val="96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7DD56B" w14:textId="77777777">
    <w:pPr>
      <w:pStyle w:val="96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BFA39D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13598AB9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366461" w14:textId="77777777">
    <w:pPr>
      <w:pBdr/>
      <w:spacing/>
      <w:ind/>
      <w:rPr>
        <w:sz w:val="24"/>
      </w:rPr>
    </w:pPr>
    <w:r>
      <w:rPr>
        <w:sz w:val="24"/>
      </w:rPr>
    </w:r>
    <w:r>
      <w:rPr>
        <w:sz w:val="24"/>
      </w:rPr>
    </w:r>
  </w:p>
  <w:p w14:paraId="5CB5B85A" w14:textId="77777777">
    <w:pPr>
      <w:pBdr>
        <w:top w:val="single" w:color="000000" w:sz="6" w:space="1"/>
      </w:pBdr>
      <w:spacing/>
      <w:ind/>
      <w:rPr>
        <w:sz w:val="24"/>
      </w:rPr>
    </w:pPr>
    <w:r>
      <w:rPr>
        <w:sz w:val="24"/>
      </w:rPr>
    </w:r>
    <w:r>
      <w:rPr>
        <w:sz w:val="24"/>
      </w:rPr>
    </w:r>
  </w:p>
  <w:p w14:paraId="426E29BD" w14:textId="77777777">
    <w:pPr>
      <w:pBdr>
        <w:bottom w:val="single" w:color="000000" w:sz="6" w:space="1"/>
      </w:pBdr>
      <w:spacing/>
      <w:ind/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 xml:space="preserve">Universidad del Valle</w:t>
    </w:r>
    <w:r>
      <w:rPr>
        <w:rFonts w:ascii="Arial" w:hAnsi="Arial"/>
        <w:b/>
        <w:sz w:val="36"/>
      </w:rPr>
    </w:r>
    <w:r>
      <w:rPr>
        <w:rFonts w:ascii="Arial" w:hAnsi="Arial"/>
        <w:b/>
        <w:sz w:val="36"/>
      </w:rPr>
    </w:r>
  </w:p>
  <w:p w14:paraId="174417B9" w14:textId="77777777">
    <w:pPr>
      <w:pBdr>
        <w:bottom w:val="single" w:color="000000" w:sz="6" w:space="1"/>
      </w:pBdr>
      <w:spacing/>
      <w:ind/>
      <w:jc w:val="right"/>
      <w:rPr>
        <w:sz w:val="24"/>
      </w:rPr>
    </w:pPr>
    <w:r>
      <w:rPr>
        <w:sz w:val="24"/>
      </w:rPr>
    </w:r>
    <w:r>
      <w:rPr>
        <w:sz w:val="24"/>
      </w:rPr>
    </w:r>
  </w:p>
  <w:p w14:paraId="2A4EC270" w14:textId="77777777">
    <w:pPr>
      <w:pStyle w:val="95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>
      <w:trPr/>
      <w:tc>
        <w:tcPr>
          <w:tcBorders/>
          <w:tcW w:w="6379" w:type="dxa"/>
        </w:tcPr>
        <w:p w14:paraId="3EF0CA4F" w14:textId="77777777">
          <w:pPr>
            <w:pBdr/>
            <w:spacing/>
            <w:ind/>
            <w:rPr/>
          </w:pPr>
          <w:r/>
          <w:r>
            <w:rPr>
              <w:lang w:val="es-ES"/>
            </w:rPr>
            <w:t xml:space="preserve">ERP Universitario – ms-proveedores</w:t>
          </w:r>
          <w:r/>
        </w:p>
      </w:tc>
      <w:tc>
        <w:tcPr>
          <w:tcBorders/>
          <w:tcW w:w="3179" w:type="dxa"/>
        </w:tcPr>
        <w:p w14:paraId="368E014E" w14:textId="77777777">
          <w:pPr>
            <w:pBdr/>
            <w:tabs>
              <w:tab w:val="left" w:leader="none" w:pos="1135"/>
            </w:tabs>
            <w:spacing w:before="40"/>
            <w:ind w:right="68"/>
            <w:rPr/>
          </w:pPr>
          <w:r>
            <w:t xml:space="preserve">  Version:           &lt;1.0&gt;</w:t>
          </w:r>
          <w:r/>
        </w:p>
      </w:tc>
    </w:tr>
    <w:tr>
      <w:trPr/>
      <w:tc>
        <w:tcPr>
          <w:tcBorders/>
          <w:tcW w:w="6379" w:type="dxa"/>
        </w:tcPr>
        <w:p w14:paraId="02C3DA60" w14:textId="67ED8A38">
          <w:pPr>
            <w:pBdr/>
            <w:spacing/>
            <w:ind/>
            <w:rPr>
              <w:lang w:val="es-CO"/>
            </w:rPr>
          </w:pPr>
          <w:r>
            <w:rPr>
              <w:lang w:val="es-CO"/>
            </w:rPr>
            <w:t xml:space="preserve">Documento de Arquitectura de </w:t>
          </w:r>
          <w:r>
            <w:rPr>
              <w:lang w:val="es-CO"/>
            </w:rPr>
            <w:t xml:space="preserve">Software</w:t>
          </w:r>
          <w:r>
            <w:rPr>
              <w:lang w:val="es-CO"/>
            </w:rPr>
          </w:r>
        </w:p>
      </w:tc>
      <w:tc>
        <w:tcPr>
          <w:tcBorders/>
          <w:tcW w:w="3179" w:type="dxa"/>
        </w:tcPr>
        <w:p w14:paraId="2E9D59A9" w14:textId="77777777">
          <w:pPr>
            <w:pBdr/>
            <w:spacing/>
            <w:ind/>
            <w:rPr>
              <w:lang w:val="es-ES"/>
            </w:rPr>
          </w:pPr>
          <w:r>
            <w:rPr>
              <w:lang w:val="es-CO"/>
            </w:rPr>
            <w:t xml:space="preserve">  </w:t>
          </w:r>
          <w:r>
            <w:t xml:space="preserve">Date:  &lt;</w:t>
          </w:r>
          <w:r>
            <w:rPr>
              <w:lang w:val="es-ES"/>
            </w:rPr>
            <w:t xml:space="preserve">13</w:t>
          </w:r>
          <w:r>
            <w:t xml:space="preserve">/</w:t>
          </w:r>
          <w:r>
            <w:rPr>
              <w:lang w:val="es-ES"/>
            </w:rPr>
            <w:t xml:space="preserve">junio</w:t>
          </w:r>
          <w:r>
            <w:t xml:space="preserve">/</w:t>
          </w:r>
          <w:r>
            <w:rPr>
              <w:lang w:val="es-ES"/>
            </w:rPr>
            <w:t xml:space="preserve">26</w:t>
          </w:r>
          <w:r/>
          <w:r>
            <w:rPr>
              <w:lang w:val="es-ES"/>
            </w:rPr>
          </w:r>
          <w:r>
            <w:t xml:space="preserve">&gt;</w:t>
          </w:r>
          <w:r/>
          <w:r/>
          <w:r>
            <w:rPr>
              <w:lang w:val="es-ES"/>
            </w:rPr>
          </w:r>
        </w:p>
      </w:tc>
    </w:tr>
    <w:tr>
      <w:trPr/>
      <w:tc>
        <w:tcPr>
          <w:gridSpan w:val="2"/>
          <w:tcBorders/>
          <w:tcW w:w="9558" w:type="dxa"/>
        </w:tcPr>
        <w:p w14:paraId="4E257F6D" w14:textId="77777777">
          <w:pPr>
            <w:pBdr/>
            <w:spacing/>
            <w:ind/>
            <w:rPr/>
          </w:pPr>
          <w:r/>
          <w:r/>
        </w:p>
      </w:tc>
    </w:tr>
  </w:tbl>
  <w:p w14:paraId="160D770B" w14:textId="77777777">
    <w:pPr>
      <w:pStyle w:val="95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B93A33" w14:textId="77777777">
    <w:pPr>
      <w:pStyle w:val="9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lvl w:ilvl="0">
      <w:isLgl w:val="false"/>
      <w:legacy w:legacy="true" w:legacyIndent="0" w:legacySpace="144"/>
      <w:lvlJc w:val="left"/>
      <w:lvlText w:val="%1."/>
      <w:numFmt w:val="decimal"/>
      <w:pPr>
        <w:pBdr/>
        <w:spacing/>
        <w:ind/>
      </w:pPr>
      <w:pStyle w:val="940"/>
      <w:rPr/>
      <w:start w:val="1"/>
      <w:suff w:val="tab"/>
    </w:lvl>
    <w:lvl w:ilvl="1">
      <w:isLgl w:val="false"/>
      <w:legacy w:legacy="true" w:legacyIndent="0" w:legacySpace="144"/>
      <w:lvlJc w:val="left"/>
      <w:lvlText w:val="%1.%2"/>
      <w:numFmt w:val="decimal"/>
      <w:pPr>
        <w:pBdr/>
        <w:spacing/>
        <w:ind/>
      </w:pPr>
      <w:pStyle w:val="941"/>
      <w:rPr/>
      <w:start w:val="1"/>
      <w:suff w:val="tab"/>
    </w:lvl>
    <w:lvl w:ilvl="2">
      <w:isLgl w:val="false"/>
      <w:legacy w:legacy="true" w:legacyIndent="0" w:legacySpace="144"/>
      <w:lvlJc w:val="left"/>
      <w:lvlText w:val="%1.%2.%3"/>
      <w:numFmt w:val="decimal"/>
      <w:pPr>
        <w:pBdr/>
        <w:spacing/>
        <w:ind/>
      </w:pPr>
      <w:pStyle w:val="942"/>
      <w:rPr/>
      <w:start w:val="1"/>
      <w:suff w:val="tab"/>
    </w:lvl>
    <w:lvl w:ilvl="3">
      <w:isLgl w:val="false"/>
      <w:legacy w:legacy="true" w:legacyIndent="0" w:legacySpace="144"/>
      <w:lvlJc w:val="left"/>
      <w:lvlText w:val="%1.%2.%3.%4"/>
      <w:numFmt w:val="decimal"/>
      <w:pPr>
        <w:pBdr/>
        <w:spacing/>
        <w:ind/>
      </w:pPr>
      <w:pStyle w:val="943"/>
      <w:rPr/>
      <w:start w:val="1"/>
      <w:suff w:val="tab"/>
    </w:lvl>
    <w:lvl w:ilvl="4">
      <w:isLgl w:val="false"/>
      <w:legacy w:legacy="true" w:legacyIndent="0" w:legacySpace="144"/>
      <w:lvlJc w:val="left"/>
      <w:lvlText w:val="%1.%2.%3.%4.%5"/>
      <w:numFmt w:val="decimal"/>
      <w:pPr>
        <w:pBdr/>
        <w:spacing/>
        <w:ind/>
      </w:pPr>
      <w:pStyle w:val="944"/>
      <w:rPr/>
      <w:start w:val="1"/>
      <w:suff w:val="tab"/>
    </w:lvl>
    <w:lvl w:ilvl="5">
      <w:isLgl w:val="false"/>
      <w:legacy w:legacy="true" w:legacyIndent="0" w:legacySpace="144"/>
      <w:lvlJc w:val="left"/>
      <w:lvlText w:val="%1.%2.%3.%4.%5.%6"/>
      <w:numFmt w:val="decimal"/>
      <w:pPr>
        <w:pBdr/>
        <w:spacing/>
        <w:ind/>
      </w:pPr>
      <w:pStyle w:val="945"/>
      <w:rPr/>
      <w:start w:val="1"/>
      <w:suff w:val="tab"/>
    </w:lvl>
    <w:lvl w:ilvl="6">
      <w:isLgl w:val="false"/>
      <w:legacy w:legacy="true" w:legacyIndent="0" w:legacySpace="144"/>
      <w:lvlJc w:val="left"/>
      <w:lvlText w:val="%1.%2.%3.%4.%5.%6.%7"/>
      <w:numFmt w:val="decimal"/>
      <w:pPr>
        <w:pBdr/>
        <w:spacing/>
        <w:ind/>
      </w:pPr>
      <w:pStyle w:val="946"/>
      <w:rPr/>
      <w:start w:val="1"/>
      <w:suff w:val="tab"/>
    </w:lvl>
    <w:lvl w:ilvl="7">
      <w:isLgl w:val="false"/>
      <w:legacy w:legacy="true" w:legacyIndent="0" w:legacySpace="144"/>
      <w:lvlJc w:val="left"/>
      <w:lvlText w:val="%1.%2.%3.%4.%5.%6.%7.%8"/>
      <w:numFmt w:val="decimal"/>
      <w:pPr>
        <w:pBdr/>
        <w:spacing/>
        <w:ind/>
      </w:pPr>
      <w:pStyle w:val="947"/>
      <w:rPr/>
      <w:start w:val="1"/>
      <w:suff w:val="tab"/>
    </w:lvl>
    <w:lvl w:ilvl="8">
      <w:isLgl w:val="false"/>
      <w:legacy w:legacy="true" w:legacyIndent="0" w:legacySpace="144"/>
      <w:lvlJc w:val="left"/>
      <w:lvlText w:val="%1.%2.%3.%4.%5.%6.%7.%8.%9"/>
      <w:numFmt w:val="decimal"/>
      <w:pPr>
        <w:pBdr/>
        <w:spacing/>
        <w:ind/>
      </w:pPr>
      <w:pStyle w:val="948"/>
      <w:rPr/>
      <w:start w:val="1"/>
      <w:suff w:val="tab"/>
    </w:lvl>
  </w:abstractNum>
  <w:abstractNum w:abstractNumId="1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224753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A11709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17CB6DC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22443AC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2D4B634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31DD2C45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32982B5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375481C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69D547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42B97F7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49E170D0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4F64732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52DF734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6D2F7D46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71F21F2A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743601F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756150CA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7BE434D7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isLgl w:val="false"/>
        <w:legacy w:legacy="true" w:legacyIndent="360" w:legacySpace="0"/>
        <w:lvlJc w:val="left"/>
        <w:lvlText w:val=""/>
        <w:numFmt w:val="bullet"/>
        <w:pPr>
          <w:pBdr/>
          <w:spacing/>
          <w:ind w:hanging="360" w:left="720"/>
        </w:pPr>
        <w:rPr>
          <w:rFonts w:hint="default" w:ascii="Symbol" w:hAnsi="Symbol"/>
        </w:rPr>
        <w:start w:val="0"/>
        <w:suff w:val="tab"/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isLgl w:val="false"/>
        <w:legacy w:legacy="true" w:legacyIndent="360" w:legacySpace="0"/>
        <w:lvlJc w:val="left"/>
        <w:lvlText w:val=""/>
        <w:numFmt w:val="bullet"/>
        <w:pPr>
          <w:pBdr/>
          <w:spacing/>
          <w:ind w:hanging="360" w:left="1080"/>
        </w:pPr>
        <w:rPr>
          <w:rFonts w:hint="default" w:ascii="Symbol" w:hAnsi="Symbol"/>
        </w:rPr>
        <w:start w:val="1"/>
        <w:suff w:val="tab"/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49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49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49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49"/>
    <w:link w:val="9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49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49"/>
    <w:link w:val="9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49"/>
    <w:link w:val="9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49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49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49"/>
    <w:link w:val="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49"/>
    <w:link w:val="9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39"/>
    <w:next w:val="9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3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9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39"/>
    <w:next w:val="9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3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4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49"/>
    <w:link w:val="959"/>
    <w:uiPriority w:val="99"/>
    <w:pPr>
      <w:pBdr/>
      <w:spacing/>
      <w:ind/>
    </w:pPr>
  </w:style>
  <w:style w:type="character" w:styleId="179">
    <w:name w:val="Footer Char"/>
    <w:basedOn w:val="949"/>
    <w:link w:val="960"/>
    <w:uiPriority w:val="99"/>
    <w:pPr>
      <w:pBdr/>
      <w:spacing/>
      <w:ind/>
    </w:pPr>
  </w:style>
  <w:style w:type="paragraph" w:styleId="180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949"/>
    <w:link w:val="96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3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49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94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widowControl w:val="false"/>
      <w:pBdr/>
      <w:spacing w:line="240" w:lineRule="atLeast"/>
      <w:ind/>
    </w:pPr>
    <w:rPr>
      <w:lang w:val="en-US" w:eastAsia="en-US"/>
    </w:rPr>
  </w:style>
  <w:style w:type="paragraph" w:styleId="940">
    <w:name w:val="Heading 1"/>
    <w:basedOn w:val="939"/>
    <w:next w:val="939"/>
    <w:qFormat/>
    <w:pPr>
      <w:keepNext w:val="true"/>
      <w:numPr>
        <w:numId w:val="1"/>
      </w:numPr>
      <w:pBdr/>
      <w:spacing w:after="60" w:before="120"/>
      <w:ind w:hanging="720" w:left="720"/>
      <w:outlineLvl w:val="0"/>
    </w:pPr>
    <w:rPr>
      <w:rFonts w:ascii="Arial" w:hAnsi="Arial"/>
      <w:b/>
      <w:sz w:val="24"/>
    </w:rPr>
  </w:style>
  <w:style w:type="paragraph" w:styleId="941">
    <w:name w:val="Heading 2"/>
    <w:basedOn w:val="940"/>
    <w:next w:val="939"/>
    <w:qFormat/>
    <w:pPr>
      <w:numPr>
        <w:ilvl w:val="1"/>
      </w:numPr>
      <w:pBdr/>
      <w:spacing/>
      <w:ind/>
      <w:outlineLvl w:val="1"/>
    </w:pPr>
    <w:rPr>
      <w:sz w:val="20"/>
    </w:rPr>
  </w:style>
  <w:style w:type="paragraph" w:styleId="942">
    <w:name w:val="Heading 3"/>
    <w:basedOn w:val="940"/>
    <w:next w:val="939"/>
    <w:qFormat/>
    <w:pPr>
      <w:numPr>
        <w:ilvl w:val="2"/>
      </w:numPr>
      <w:pBdr/>
      <w:spacing/>
      <w:ind/>
      <w:outlineLvl w:val="2"/>
    </w:pPr>
    <w:rPr>
      <w:b w:val="0"/>
      <w:i/>
      <w:sz w:val="20"/>
    </w:rPr>
  </w:style>
  <w:style w:type="paragraph" w:styleId="943">
    <w:name w:val="Heading 4"/>
    <w:basedOn w:val="940"/>
    <w:next w:val="939"/>
    <w:qFormat/>
    <w:pPr>
      <w:numPr>
        <w:ilvl w:val="3"/>
      </w:numPr>
      <w:pBdr/>
      <w:spacing/>
      <w:ind/>
      <w:outlineLvl w:val="3"/>
    </w:pPr>
    <w:rPr>
      <w:b w:val="0"/>
      <w:sz w:val="20"/>
    </w:rPr>
  </w:style>
  <w:style w:type="paragraph" w:styleId="944">
    <w:name w:val="Heading 5"/>
    <w:basedOn w:val="939"/>
    <w:next w:val="939"/>
    <w:qFormat/>
    <w:pPr>
      <w:numPr>
        <w:ilvl w:val="4"/>
        <w:numId w:val="1"/>
      </w:numPr>
      <w:pBdr/>
      <w:spacing w:after="60" w:before="240"/>
      <w:ind w:left="2880"/>
      <w:outlineLvl w:val="4"/>
    </w:pPr>
    <w:rPr>
      <w:sz w:val="22"/>
    </w:rPr>
  </w:style>
  <w:style w:type="paragraph" w:styleId="945">
    <w:name w:val="Heading 6"/>
    <w:basedOn w:val="939"/>
    <w:next w:val="939"/>
    <w:qFormat/>
    <w:pPr>
      <w:numPr>
        <w:ilvl w:val="5"/>
        <w:numId w:val="1"/>
      </w:numPr>
      <w:pBdr/>
      <w:spacing w:after="60" w:before="240"/>
      <w:ind w:left="2880"/>
      <w:outlineLvl w:val="5"/>
    </w:pPr>
    <w:rPr>
      <w:i/>
      <w:sz w:val="22"/>
    </w:rPr>
  </w:style>
  <w:style w:type="paragraph" w:styleId="946">
    <w:name w:val="Heading 7"/>
    <w:basedOn w:val="939"/>
    <w:next w:val="939"/>
    <w:qFormat/>
    <w:pPr>
      <w:numPr>
        <w:ilvl w:val="6"/>
        <w:numId w:val="1"/>
      </w:numPr>
      <w:pBdr/>
      <w:spacing w:after="60" w:before="240"/>
      <w:ind w:left="2880"/>
      <w:outlineLvl w:val="6"/>
    </w:pPr>
  </w:style>
  <w:style w:type="paragraph" w:styleId="947">
    <w:name w:val="Heading 8"/>
    <w:basedOn w:val="939"/>
    <w:next w:val="939"/>
    <w:qFormat/>
    <w:pPr>
      <w:numPr>
        <w:ilvl w:val="7"/>
        <w:numId w:val="1"/>
      </w:numPr>
      <w:pBdr/>
      <w:spacing w:after="60" w:before="240"/>
      <w:ind w:left="2880"/>
      <w:outlineLvl w:val="7"/>
    </w:pPr>
    <w:rPr>
      <w:i/>
    </w:rPr>
  </w:style>
  <w:style w:type="paragraph" w:styleId="948">
    <w:name w:val="Heading 9"/>
    <w:basedOn w:val="939"/>
    <w:next w:val="939"/>
    <w:qFormat/>
    <w:pPr>
      <w:numPr>
        <w:ilvl w:val="8"/>
        <w:numId w:val="1"/>
      </w:numPr>
      <w:pBdr/>
      <w:spacing w:after="60" w:before="240"/>
      <w:ind w:left="2880"/>
      <w:outlineLvl w:val="8"/>
    </w:pPr>
    <w:rPr>
      <w:b/>
      <w:i/>
      <w:sz w:val="18"/>
    </w:rPr>
  </w:style>
  <w:style w:type="character" w:styleId="949" w:default="1">
    <w:name w:val="Default Paragraph Font"/>
    <w:semiHidden/>
    <w:pPr>
      <w:pBdr/>
      <w:spacing/>
      <w:ind/>
    </w:pPr>
  </w:style>
  <w:style w:type="table" w:styleId="9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1" w:default="1">
    <w:name w:val="No List"/>
    <w:uiPriority w:val="99"/>
    <w:semiHidden/>
    <w:unhideWhenUsed/>
    <w:pPr>
      <w:pBdr/>
      <w:spacing/>
      <w:ind/>
    </w:pPr>
  </w:style>
  <w:style w:type="paragraph" w:styleId="952" w:customStyle="1">
    <w:name w:val="Paragraph2"/>
    <w:basedOn w:val="939"/>
    <w:pPr>
      <w:pBdr/>
      <w:spacing w:before="80"/>
      <w:ind w:left="720"/>
      <w:jc w:val="both"/>
    </w:pPr>
    <w:rPr>
      <w:color w:val="000000"/>
      <w:lang w:val="en-AU"/>
    </w:rPr>
  </w:style>
  <w:style w:type="paragraph" w:styleId="953">
    <w:name w:val="Title"/>
    <w:basedOn w:val="939"/>
    <w:next w:val="939"/>
    <w:qFormat/>
    <w:pPr>
      <w:pBdr/>
      <w:spacing w:line="240" w:lineRule="auto"/>
      <w:ind/>
      <w:jc w:val="center"/>
    </w:pPr>
    <w:rPr>
      <w:rFonts w:ascii="Arial" w:hAnsi="Arial"/>
      <w:b/>
      <w:sz w:val="36"/>
    </w:rPr>
  </w:style>
  <w:style w:type="paragraph" w:styleId="954">
    <w:name w:val="Subtitle"/>
    <w:basedOn w:val="939"/>
    <w:qFormat/>
    <w:pPr>
      <w:pBdr/>
      <w:spacing w:after="60"/>
      <w:ind/>
      <w:jc w:val="center"/>
    </w:pPr>
    <w:rPr>
      <w:rFonts w:ascii="Arial" w:hAnsi="Arial"/>
      <w:i/>
      <w:sz w:val="36"/>
      <w:lang w:val="en-AU"/>
    </w:rPr>
  </w:style>
  <w:style w:type="paragraph" w:styleId="955">
    <w:name w:val="Normal Indent"/>
    <w:basedOn w:val="939"/>
    <w:semiHidden/>
    <w:pPr>
      <w:pBdr/>
      <w:spacing/>
      <w:ind w:hanging="900" w:left="900"/>
    </w:pPr>
  </w:style>
  <w:style w:type="paragraph" w:styleId="956">
    <w:name w:val="toc 1"/>
    <w:basedOn w:val="939"/>
    <w:next w:val="939"/>
    <w:uiPriority w:val="39"/>
    <w:pPr>
      <w:pBdr/>
      <w:tabs>
        <w:tab w:val="right" w:leader="none" w:pos="9360"/>
      </w:tabs>
      <w:spacing w:after="60" w:before="240"/>
      <w:ind w:right="720"/>
    </w:pPr>
  </w:style>
  <w:style w:type="paragraph" w:styleId="957">
    <w:name w:val="toc 2"/>
    <w:basedOn w:val="939"/>
    <w:next w:val="939"/>
    <w:uiPriority w:val="39"/>
    <w:pPr>
      <w:pBdr/>
      <w:tabs>
        <w:tab w:val="right" w:leader="none" w:pos="9360"/>
      </w:tabs>
      <w:spacing/>
      <w:ind w:right="720" w:left="432"/>
    </w:pPr>
  </w:style>
  <w:style w:type="paragraph" w:styleId="958">
    <w:name w:val="toc 3"/>
    <w:basedOn w:val="939"/>
    <w:next w:val="939"/>
    <w:semiHidden/>
    <w:pPr>
      <w:pBdr/>
      <w:tabs>
        <w:tab w:val="left" w:leader="none" w:pos="1440"/>
        <w:tab w:val="right" w:leader="none" w:pos="9360"/>
      </w:tabs>
      <w:spacing/>
      <w:ind w:left="864"/>
    </w:pPr>
  </w:style>
  <w:style w:type="paragraph" w:styleId="959">
    <w:name w:val="Header"/>
    <w:basedOn w:val="939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960">
    <w:name w:val="Footer"/>
    <w:basedOn w:val="939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61">
    <w:name w:val="page number"/>
    <w:basedOn w:val="949"/>
    <w:semiHidden/>
    <w:pPr>
      <w:pBdr/>
      <w:spacing/>
      <w:ind/>
    </w:pPr>
  </w:style>
  <w:style w:type="paragraph" w:styleId="962" w:customStyle="1">
    <w:name w:val="Bullet1"/>
    <w:basedOn w:val="939"/>
    <w:pPr>
      <w:pBdr/>
      <w:spacing/>
      <w:ind w:hanging="432" w:left="720"/>
    </w:pPr>
  </w:style>
  <w:style w:type="paragraph" w:styleId="963" w:customStyle="1">
    <w:name w:val="Bullet2"/>
    <w:basedOn w:val="939"/>
    <w:pPr>
      <w:pBdr/>
      <w:spacing/>
      <w:ind w:hanging="360" w:left="1440"/>
    </w:pPr>
    <w:rPr>
      <w:color w:val="000080"/>
    </w:rPr>
  </w:style>
  <w:style w:type="paragraph" w:styleId="964" w:customStyle="1">
    <w:name w:val="Tabletext"/>
    <w:basedOn w:val="939"/>
    <w:pPr>
      <w:keepLines w:val="true"/>
      <w:pBdr/>
      <w:spacing w:after="120"/>
      <w:ind/>
    </w:pPr>
  </w:style>
  <w:style w:type="paragraph" w:styleId="965">
    <w:name w:val="Body Text"/>
    <w:basedOn w:val="939"/>
    <w:semiHidden/>
    <w:pPr>
      <w:keepLines w:val="true"/>
      <w:pBdr/>
      <w:spacing w:after="120"/>
      <w:ind w:left="720"/>
    </w:pPr>
  </w:style>
  <w:style w:type="paragraph" w:styleId="966">
    <w:name w:val="Document Map"/>
    <w:basedOn w:val="939"/>
    <w:semiHidden/>
    <w:pPr>
      <w:pBdr/>
      <w:shd w:val="clear" w:color="auto" w:fill="000080"/>
      <w:spacing/>
      <w:ind/>
    </w:pPr>
    <w:rPr>
      <w:rFonts w:ascii="Tahoma" w:hAnsi="Tahoma"/>
    </w:rPr>
  </w:style>
  <w:style w:type="character" w:styleId="967">
    <w:name w:val="footnote reference"/>
    <w:basedOn w:val="949"/>
    <w:semiHidden/>
    <w:pPr>
      <w:pBdr/>
      <w:spacing/>
      <w:ind/>
    </w:pPr>
    <w:rPr>
      <w:sz w:val="20"/>
      <w:vertAlign w:val="superscript"/>
    </w:rPr>
  </w:style>
  <w:style w:type="paragraph" w:styleId="968">
    <w:name w:val="footnote text"/>
    <w:basedOn w:val="939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969" w:customStyle="1">
    <w:name w:val="Main Title"/>
    <w:basedOn w:val="939"/>
    <w:pPr>
      <w:pBdr/>
      <w:spacing w:after="60" w:before="480" w:line="240" w:lineRule="auto"/>
      <w:ind/>
      <w:jc w:val="center"/>
    </w:pPr>
    <w:rPr>
      <w:rFonts w:ascii="Arial" w:hAnsi="Arial"/>
      <w:b/>
      <w:sz w:val="32"/>
    </w:rPr>
  </w:style>
  <w:style w:type="paragraph" w:styleId="970" w:customStyle="1">
    <w:name w:val="Paragraph1"/>
    <w:basedOn w:val="939"/>
    <w:pPr>
      <w:pBdr/>
      <w:spacing w:before="80" w:line="240" w:lineRule="auto"/>
      <w:ind/>
      <w:jc w:val="both"/>
    </w:pPr>
  </w:style>
  <w:style w:type="paragraph" w:styleId="971" w:customStyle="1">
    <w:name w:val="Paragraph3"/>
    <w:basedOn w:val="939"/>
    <w:pPr>
      <w:pBdr/>
      <w:spacing w:before="80" w:line="240" w:lineRule="auto"/>
      <w:ind w:left="1530"/>
      <w:jc w:val="both"/>
    </w:pPr>
  </w:style>
  <w:style w:type="paragraph" w:styleId="972" w:customStyle="1">
    <w:name w:val="Paragraph4"/>
    <w:basedOn w:val="939"/>
    <w:pPr>
      <w:pBdr/>
      <w:spacing w:before="80" w:line="240" w:lineRule="auto"/>
      <w:ind w:left="2250"/>
      <w:jc w:val="both"/>
    </w:pPr>
  </w:style>
  <w:style w:type="paragraph" w:styleId="973">
    <w:name w:val="toc 4"/>
    <w:basedOn w:val="939"/>
    <w:next w:val="939"/>
    <w:semiHidden/>
    <w:pPr>
      <w:pBdr/>
      <w:spacing/>
      <w:ind w:left="600"/>
    </w:pPr>
  </w:style>
  <w:style w:type="paragraph" w:styleId="974">
    <w:name w:val="toc 5"/>
    <w:basedOn w:val="939"/>
    <w:next w:val="939"/>
    <w:semiHidden/>
    <w:pPr>
      <w:pBdr/>
      <w:spacing/>
      <w:ind w:left="800"/>
    </w:pPr>
  </w:style>
  <w:style w:type="paragraph" w:styleId="975">
    <w:name w:val="toc 6"/>
    <w:basedOn w:val="939"/>
    <w:next w:val="939"/>
    <w:semiHidden/>
    <w:pPr>
      <w:pBdr/>
      <w:spacing/>
      <w:ind w:left="1000"/>
    </w:pPr>
  </w:style>
  <w:style w:type="paragraph" w:styleId="976">
    <w:name w:val="toc 7"/>
    <w:basedOn w:val="939"/>
    <w:next w:val="939"/>
    <w:semiHidden/>
    <w:pPr>
      <w:pBdr/>
      <w:spacing/>
      <w:ind w:left="1200"/>
    </w:pPr>
  </w:style>
  <w:style w:type="paragraph" w:styleId="977">
    <w:name w:val="toc 8"/>
    <w:basedOn w:val="939"/>
    <w:next w:val="939"/>
    <w:semiHidden/>
    <w:pPr>
      <w:pBdr/>
      <w:spacing/>
      <w:ind w:left="1400"/>
    </w:pPr>
  </w:style>
  <w:style w:type="paragraph" w:styleId="978">
    <w:name w:val="toc 9"/>
    <w:basedOn w:val="939"/>
    <w:next w:val="939"/>
    <w:semiHidden/>
    <w:pPr>
      <w:pBdr/>
      <w:spacing/>
      <w:ind w:left="1600"/>
    </w:pPr>
  </w:style>
  <w:style w:type="paragraph" w:styleId="979">
    <w:name w:val="Body Text 2"/>
    <w:basedOn w:val="939"/>
    <w:semiHidden/>
    <w:pPr>
      <w:pBdr/>
      <w:spacing/>
      <w:ind/>
    </w:pPr>
    <w:rPr>
      <w:i/>
      <w:color w:val="0000ff"/>
    </w:rPr>
  </w:style>
  <w:style w:type="paragraph" w:styleId="980">
    <w:name w:val="Body Text Indent"/>
    <w:basedOn w:val="939"/>
    <w:semiHidden/>
    <w:pPr>
      <w:pBdr/>
      <w:spacing/>
      <w:ind w:left="720"/>
    </w:pPr>
    <w:rPr>
      <w:i/>
      <w:color w:val="0000ff"/>
      <w:u w:val="single"/>
    </w:rPr>
  </w:style>
  <w:style w:type="paragraph" w:styleId="981" w:customStyle="1">
    <w:name w:val="Body"/>
    <w:basedOn w:val="939"/>
    <w:pPr>
      <w:widowControl w:val="true"/>
      <w:pBdr/>
      <w:spacing w:before="120" w:line="240" w:lineRule="auto"/>
      <w:ind/>
      <w:jc w:val="both"/>
    </w:pPr>
    <w:rPr>
      <w:rFonts w:ascii="Book Antiqua" w:hAnsi="Book Antiqua"/>
    </w:rPr>
  </w:style>
  <w:style w:type="paragraph" w:styleId="982" w:customStyle="1">
    <w:name w:val="Bullet"/>
    <w:basedOn w:val="939"/>
    <w:pPr>
      <w:widowControl w:val="true"/>
      <w:numPr>
        <w:numId w:val="0"/>
      </w:numPr>
      <w:pBdr/>
      <w:tabs>
        <w:tab w:val="left" w:leader="none" w:pos="720"/>
      </w:tabs>
      <w:spacing w:before="120" w:line="240" w:lineRule="auto"/>
      <w:ind w:right="360" w:left="720"/>
      <w:jc w:val="both"/>
    </w:pPr>
    <w:rPr>
      <w:rFonts w:ascii="Book Antiqua" w:hAnsi="Book Antiqua"/>
    </w:rPr>
  </w:style>
  <w:style w:type="paragraph" w:styleId="983" w:customStyle="1">
    <w:name w:val="InfoBlue"/>
    <w:basedOn w:val="939"/>
    <w:next w:val="965"/>
    <w:pPr>
      <w:pBdr/>
      <w:spacing w:after="120"/>
      <w:ind w:left="720"/>
    </w:pPr>
    <w:rPr>
      <w:i/>
      <w:color w:val="0000ff"/>
    </w:rPr>
  </w:style>
  <w:style w:type="character" w:styleId="984">
    <w:name w:val="Hyperlink"/>
    <w:basedOn w:val="949"/>
    <w:semiHidden/>
    <w:pPr>
      <w:pBdr/>
      <w:spacing/>
      <w:ind/>
    </w:pPr>
    <w:rPr>
      <w:color w:val="0000ff"/>
      <w:u w:val="single"/>
    </w:rPr>
  </w:style>
  <w:style w:type="character" w:styleId="985">
    <w:name w:val="Strong"/>
    <w:basedOn w:val="949"/>
    <w:qFormat/>
    <w:pPr>
      <w:pBdr/>
      <w:spacing/>
      <w:ind/>
    </w:pPr>
    <w:rPr>
      <w:b/>
    </w:rPr>
  </w:style>
  <w:style w:type="character" w:styleId="986">
    <w:name w:val="FollowedHyperlink"/>
    <w:basedOn w:val="949"/>
    <w:semiHidden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&lt;Company Name&gt;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</dc:title>
  <dc:subject>&lt;Project Name&gt;</dc:subject>
  <dc:creator>Raul Londoño Murillo</dc:creator>
  <cp:keywords/>
  <dc:description/>
  <cp:revision>2</cp:revision>
  <dcterms:created xsi:type="dcterms:W3CDTF">2024-03-13T23:55:00Z</dcterms:created>
  <dcterms:modified xsi:type="dcterms:W3CDTF">2026-06-13T19:59:38Z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