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Composant bouton “danger”: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814513" cy="46602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466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Composant “selector”: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323743" cy="2190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3743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composant boutton “secondary”: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414463" cy="789121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789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Composant “switch”: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728663" cy="43392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663" cy="433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Composant bouton “help”: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81717" cy="56673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717" cy="56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Composant bouton “primary”: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1643063" cy="66323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663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Bouton slide vertical: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Couleur principal lors de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Couleur: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La couleur principal est #</w:t>
      </w:r>
      <w:r w:rsidDel="00000000" w:rsidR="00000000" w:rsidRPr="00000000">
        <w:rPr>
          <w:sz w:val="21"/>
          <w:szCs w:val="21"/>
          <w:rtl w:val="0"/>
        </w:rPr>
        <w:t xml:space="preserve">3298DA </w:t>
      </w:r>
      <w:r w:rsidDel="00000000" w:rsidR="00000000" w:rsidRPr="00000000">
        <w:rPr>
          <w:sz w:val="21"/>
          <w:szCs w:val="21"/>
          <w:shd w:fill="3298da" w:val="clear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La couleur principal est obligatoirement appliquer sur le logo.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sz w:val="21"/>
          <w:szCs w:val="21"/>
          <w:rtl w:val="0"/>
        </w:rPr>
        <w:t xml:space="preserve">La couleur secondaire est rgba(50, 152, 218, 0.5).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La couleur secondaire est utilisé pour la “décoration” des éléments interactifs (ex: composant “switch” et “selector”..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Police: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La police utilisé sur toutes l’application est Roboto (Google fonts).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La couleur du texte est #1A1F21</w:t>
      </w:r>
      <w:r w:rsidDel="00000000" w:rsidR="00000000" w:rsidRPr="00000000">
        <w:rPr>
          <w:shd w:fill="1a1f21" w:val="clear"/>
          <w:rtl w:val="0"/>
        </w:rPr>
        <w:t xml:space="preserve">    </w:t>
      </w:r>
      <w:r w:rsidDel="00000000" w:rsidR="00000000" w:rsidRPr="00000000">
        <w:rPr>
          <w:rtl w:val="0"/>
        </w:rPr>
        <w:t xml:space="preserve">. (sauf placeholder avec une opacité de 50%)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Logo: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148263" cy="514826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514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Le texte ne doit jamais être séparé du logo (sauf favicon).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Le logo doit être espacé d’au moins 30px de tout autre éléments.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Il ne doit pas être déformé, transformé, retouché.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Seulement le redimensionnement proportionnel peut être appliqué.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Le logo ne doit pas être inférieur à 80px de largeur.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Bandeau de navigation: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Le texte et les boutons en noir pur.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Arrondis: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Chaque conteneur doit avoir un border-radius de 15px.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