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D92" w:rsidRDefault="00000000">
      <w:pPr>
        <w:pStyle w:val="Heading1"/>
      </w:pPr>
      <w:r>
        <w:t>Terra – Founder &amp; Board Strategic Summary v1.0</w:t>
      </w:r>
    </w:p>
    <w:p w:rsidR="00FF6D92" w:rsidRDefault="00000000">
      <w:r>
        <w:t>Purpose: Provide a high-level strategic overview of Terra’s architecture, network effects, phased evolution, and risk posture for leadership and board review.</w:t>
      </w:r>
    </w:p>
    <w:p w:rsidR="00FF6D92" w:rsidRDefault="00000000">
      <w:pPr>
        <w:pStyle w:val="Heading2"/>
      </w:pPr>
      <w:r>
        <w:t>1. What Terra Is</w:t>
      </w:r>
    </w:p>
    <w:p w:rsidR="00FF6D92" w:rsidRDefault="00000000">
      <w:r>
        <w:t>Terra is a mobile-first biodiversity intelligence platform designed to evolve from satellite-led structural monitoring (Phase 1) into a portfolio-scale, function-validated biodiversity infrastructure aligned with HHI governance.</w:t>
      </w:r>
    </w:p>
    <w:p w:rsidR="00FF6D92" w:rsidRDefault="00000000">
      <w:pPr>
        <w:pStyle w:val="Heading2"/>
      </w:pPr>
      <w:r>
        <w:t>2. Strategic Architecture</w:t>
      </w:r>
    </w:p>
    <w:p w:rsidR="00FF6D92" w:rsidRDefault="00000000">
      <w:r>
        <w:t>• Phase 1: Structural intelligence via satellite composites (NDVI, heterogeneity, disturbance).</w:t>
      </w:r>
    </w:p>
    <w:p w:rsidR="00FF6D92" w:rsidRDefault="00000000">
      <w:r>
        <w:t>• Phase 2: Functional validation via acoustic density integration.</w:t>
      </w:r>
    </w:p>
    <w:p w:rsidR="00FF6D92" w:rsidRDefault="00000000">
      <w:r>
        <w:t>• Phase 3: Portfolio scoring, Elite eligibility, and external validation.</w:t>
      </w:r>
    </w:p>
    <w:p w:rsidR="00FF6D92" w:rsidRDefault="00000000">
      <w:r>
        <w:t>• Tiered confidence model prevents overclaiming ecological outcomes.</w:t>
      </w:r>
    </w:p>
    <w:p w:rsidR="00FF6D92" w:rsidRDefault="00000000">
      <w:r>
        <w:t>• All outputs versioned and reproducible for regulatory defensibility.</w:t>
      </w:r>
    </w:p>
    <w:p w:rsidR="00FF6D92" w:rsidRDefault="00000000">
      <w:pPr>
        <w:pStyle w:val="Heading2"/>
      </w:pPr>
      <w:r>
        <w:t>3. Network Effects (Flywheel)</w:t>
      </w:r>
    </w:p>
    <w:p w:rsidR="00FF6D92" w:rsidRDefault="00000000">
      <w:r>
        <w:t>• Geographic concentration (</w:t>
      </w:r>
      <w:r w:rsidR="0065763E">
        <w:t>4.2</w:t>
      </w:r>
      <w:r>
        <w:t xml:space="preserve"> km flagship) builds density.</w:t>
      </w:r>
    </w:p>
    <w:p w:rsidR="00FF6D92" w:rsidRDefault="00000000">
      <w:r>
        <w:t>• Density improves confidence and credibility.</w:t>
      </w:r>
    </w:p>
    <w:p w:rsidR="00FF6D92" w:rsidRDefault="00000000">
      <w:r>
        <w:t>• Credibility attracts sponsors and partners.</w:t>
      </w:r>
    </w:p>
    <w:p w:rsidR="00FF6D92" w:rsidRDefault="00000000">
      <w:r>
        <w:t>• Sponsors fund increased sensor density and mission activation.</w:t>
      </w:r>
    </w:p>
    <w:p w:rsidR="00FF6D92" w:rsidRDefault="00000000">
      <w:r>
        <w:t>• Density + time-series depth enable Elite pathway readiness.</w:t>
      </w:r>
    </w:p>
    <w:p w:rsidR="00FF6D92" w:rsidRDefault="00000000">
      <w:pPr>
        <w:pStyle w:val="Heading2"/>
      </w:pPr>
      <w:r>
        <w:t>4. Competitive Advantage</w:t>
      </w:r>
    </w:p>
    <w:p w:rsidR="00FF6D92" w:rsidRDefault="00000000">
      <w:r>
        <w:t>• Explicit tier separation (structural vs functional).</w:t>
      </w:r>
    </w:p>
    <w:p w:rsidR="00FF6D92" w:rsidRDefault="00000000">
      <w:r>
        <w:t>• Confidence scoring embedded from Phase 1.</w:t>
      </w:r>
    </w:p>
    <w:p w:rsidR="00FF6D92" w:rsidRDefault="00000000">
      <w:r>
        <w:t>• Governance-ready architecture (method versioning + audit trail).</w:t>
      </w:r>
    </w:p>
    <w:p w:rsidR="00FF6D92" w:rsidRDefault="00000000">
      <w:r>
        <w:t>• Portfolio aggregation from day one.</w:t>
      </w:r>
    </w:p>
    <w:p w:rsidR="00FF6D92" w:rsidRDefault="00000000">
      <w:r>
        <w:t>• Clear pathway to Elite classification and future market activation.</w:t>
      </w:r>
    </w:p>
    <w:p w:rsidR="00FF6D92" w:rsidRDefault="00000000">
      <w:pPr>
        <w:pStyle w:val="Heading2"/>
      </w:pPr>
      <w:r>
        <w:t>5. Key Risks &amp; Mitigations</w:t>
      </w:r>
    </w:p>
    <w:p w:rsidR="00FF6D92" w:rsidRDefault="00000000">
      <w:r>
        <w:t>• Risk: Overclaiming ecological outcomes. Mitigation: Strict Tier enforcement.</w:t>
      </w:r>
    </w:p>
    <w:p w:rsidR="00FF6D92" w:rsidRDefault="00000000">
      <w:r>
        <w:lastRenderedPageBreak/>
        <w:t>• Risk: Low engagement in early stages. Mitigation: Mission-driven activation model.</w:t>
      </w:r>
    </w:p>
    <w:p w:rsidR="00FF6D92" w:rsidRDefault="00000000">
      <w:r>
        <w:t>• Risk: Architectural rework later. Mitigation: Phase scaffolding embedded now.</w:t>
      </w:r>
    </w:p>
    <w:p w:rsidR="00FF6D92" w:rsidRDefault="00000000">
      <w:r>
        <w:t>• Risk: Regulatory scrutiny. Mitigation: Versioning + reproducibility controls.</w:t>
      </w:r>
    </w:p>
    <w:p w:rsidR="00FF6D92" w:rsidRDefault="00000000">
      <w:pPr>
        <w:pStyle w:val="Heading2"/>
      </w:pPr>
      <w:r>
        <w:t>6. Phase 1 Success Definition</w:t>
      </w:r>
    </w:p>
    <w:p w:rsidR="00FF6D92" w:rsidRDefault="00000000">
      <w:r>
        <w:t>• Monthly composites operational and reproducible.</w:t>
      </w:r>
    </w:p>
    <w:p w:rsidR="00FF6D92" w:rsidRDefault="00000000">
      <w:r>
        <w:t>• Mission engine active and adopted by local groups.</w:t>
      </w:r>
    </w:p>
    <w:p w:rsidR="00FF6D92" w:rsidRDefault="00000000">
      <w:r>
        <w:t>• Confidence object functioning and transparent.</w:t>
      </w:r>
    </w:p>
    <w:p w:rsidR="00FF6D92" w:rsidRDefault="00000000">
      <w:r>
        <w:t>• Offline + notification mobile experience stable.</w:t>
      </w:r>
    </w:p>
    <w:p w:rsidR="00FF6D92" w:rsidRDefault="00000000">
      <w:r>
        <w:t>• Architecture verified as Phase 2 compatible.</w:t>
      </w:r>
    </w:p>
    <w:sectPr w:rsidR="00FF6D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827309">
    <w:abstractNumId w:val="8"/>
  </w:num>
  <w:num w:numId="2" w16cid:durableId="632951668">
    <w:abstractNumId w:val="6"/>
  </w:num>
  <w:num w:numId="3" w16cid:durableId="624165739">
    <w:abstractNumId w:val="5"/>
  </w:num>
  <w:num w:numId="4" w16cid:durableId="390616605">
    <w:abstractNumId w:val="4"/>
  </w:num>
  <w:num w:numId="5" w16cid:durableId="954560638">
    <w:abstractNumId w:val="7"/>
  </w:num>
  <w:num w:numId="6" w16cid:durableId="1231308172">
    <w:abstractNumId w:val="3"/>
  </w:num>
  <w:num w:numId="7" w16cid:durableId="149180771">
    <w:abstractNumId w:val="2"/>
  </w:num>
  <w:num w:numId="8" w16cid:durableId="280035867">
    <w:abstractNumId w:val="1"/>
  </w:num>
  <w:num w:numId="9" w16cid:durableId="180218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63E"/>
    <w:rsid w:val="00AA1D8D"/>
    <w:rsid w:val="00B47730"/>
    <w:rsid w:val="00CB0664"/>
    <w:rsid w:val="00E40C24"/>
    <w:rsid w:val="00FC693F"/>
    <w:rsid w:val="00FF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FDF02"/>
  <w14:defaultImageDpi w14:val="300"/>
  <w15:docId w15:val="{DFAB9014-6E0E-1445-AAB6-D0D49211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Brad Parsons</cp:lastModifiedBy>
  <cp:revision>2</cp:revision>
  <dcterms:created xsi:type="dcterms:W3CDTF">2013-12-23T23:15:00Z</dcterms:created>
  <dcterms:modified xsi:type="dcterms:W3CDTF">2026-02-16T20:55:00Z</dcterms:modified>
  <cp:category/>
</cp:coreProperties>
</file>