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Performance Envelope &amp; Cost Model v1.0</w:t>
      </w:r>
    </w:p>
    <w:p>
      <w:r>
        <w:t>Purpose: Define expected performance, throughput, storage and compute envelope for Terra Phase 1, and provide a scaling model for later phases. Assumes monthly composites (not near real-time).</w:t>
      </w:r>
    </w:p>
    <w:p>
      <w:pPr>
        <w:pStyle w:val="Heading2"/>
      </w:pPr>
      <w:r>
        <w:t>1. Coverage Assumptions</w:t>
      </w:r>
    </w:p>
    <w:p>
      <w:r>
        <w:t>• Primary AOI: 10 km radius flagship (~314 km²) and/or pilot AOIs (10–25 km²).</w:t>
      </w:r>
    </w:p>
    <w:p>
      <w:r>
        <w:t>• Update cadence: monthly composites.</w:t>
      </w:r>
    </w:p>
    <w:p>
      <w:r>
        <w:t>• Products stored: derived rasters + plot summaries; avoid raw scene retention where possible.</w:t>
      </w:r>
    </w:p>
    <w:p>
      <w:pPr>
        <w:pStyle w:val="Heading2"/>
      </w:pPr>
      <w:r>
        <w:t>2. Storage Targets</w:t>
      </w:r>
    </w:p>
    <w:p>
      <w:r>
        <w:t>• Store monthly NDVI composite tiles (COG) and quality layers.</w:t>
      </w:r>
    </w:p>
    <w:p>
      <w:r>
        <w:t>• Store plot summaries (DB rows) and briefs (JSON) for fast mobile retrieval.</w:t>
      </w:r>
    </w:p>
    <w:p>
      <w:r>
        <w:t>• Offline cache on device: latest brief + small thumbnails + missions; not full imagery.</w:t>
      </w:r>
    </w:p>
    <w:p>
      <w:pPr>
        <w:pStyle w:val="Heading2"/>
      </w:pPr>
      <w:r>
        <w:t>3. Processing Throughput</w:t>
      </w:r>
    </w:p>
    <w:p>
      <w:r>
        <w:t>Monthly job steps per AOI: ingest → mask → index → composite → change → aggregate → publish.</w:t>
      </w:r>
    </w:p>
    <w:p>
      <w:r>
        <w:t>Target SLA (Phase 1): publish monthly briefs within 24 hours of month-end processing trigger.</w:t>
      </w:r>
    </w:p>
    <w:p>
      <w:r>
        <w:t>Concurrency: process plots in parallel; compute raster composites by tile.</w:t>
      </w:r>
    </w:p>
    <w:p>
      <w:r>
        <w:t>Backfill: initial 12 months of history can be processed as a batch job with throttling.</w:t>
      </w:r>
    </w:p>
    <w:p>
      <w:pPr>
        <w:pStyle w:val="Heading2"/>
      </w:pPr>
      <w:r>
        <w:t>4. Latency Targets (Mobile APIs)</w:t>
      </w:r>
    </w:p>
    <w:p>
      <w:r>
        <w:t>• GET /plots list: p95 &lt; 300 ms.</w:t>
      </w:r>
    </w:p>
    <w:p>
      <w:r>
        <w:t>• GET /plots/{id}/briefs: p95 &lt; 500 ms (paginated).</w:t>
      </w:r>
    </w:p>
    <w:p>
      <w:r>
        <w:t>• GET /briefs/{id}: p95 &lt; 400 ms.</w:t>
      </w:r>
    </w:p>
    <w:p>
      <w:r>
        <w:t>• Sync events: accept batch in &lt; 1 s; async processing allowed.</w:t>
      </w:r>
    </w:p>
    <w:p>
      <w:pPr>
        <w:pStyle w:val="Heading2"/>
      </w:pPr>
      <w:r>
        <w:t>5. Cost Model (Order-of-Magnitude)</w:t>
      </w:r>
    </w:p>
    <w:p>
      <w:r>
        <w:t>Costs scale ~linearly with AOI area and number of derived layers: O(area × layers × months).</w:t>
      </w:r>
    </w:p>
    <w:p>
      <w:r>
        <w:t>Primary cost drivers in Phase 1 are engineering and QA, not storage.</w:t>
      </w:r>
    </w:p>
    <w:p>
      <w:r>
        <w:t>Cloud costs typically remain low at flagship scale when storing derived products only.</w:t>
      </w:r>
    </w:p>
    <w:p>
      <w:r>
        <w:t>Recommended cost controls:</w:t>
      </w:r>
    </w:p>
    <w:p>
      <w:r>
        <w:t>• Avoid raw imagery storage; compute from cloud-native sources when possible.</w:t>
      </w:r>
    </w:p>
    <w:p>
      <w:r>
        <w:t>• Store only monthly composites and summaries.</w:t>
      </w:r>
    </w:p>
    <w:p>
      <w:r>
        <w:t>• Use spot/batch compute for backfills.</w:t>
      </w:r>
    </w:p>
    <w:p>
      <w:pPr>
        <w:pStyle w:val="Heading2"/>
      </w:pPr>
      <w:r>
        <w:t>6. Scaling Notes (Phase 2+)</w:t>
      </w:r>
    </w:p>
    <w:p>
      <w:r>
        <w:t>• Acoustic ingestion increases event volume significantly; design with streaming + partitions.</w:t>
      </w:r>
    </w:p>
    <w:p>
      <w:r>
        <w:t>• Portfolios across multiple regions may require partitioning and caching strategy.</w:t>
      </w:r>
    </w:p>
    <w:p>
      <w:r>
        <w:t>• Add rate limiting and per-org quotas for bulk exports and reprocessing triggers.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