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Habitat Health Index (HHI) Governance Pack v1.0</w:t>
      </w:r>
    </w:p>
    <w:p>
      <w:r>
        <w:t>This consolidated governance pack contains the foundational doctrine, technical architecture, regulatory alignment, structural framework, and conceptual scoring model for the Habitat Health Index (HHI).</w:t>
      </w:r>
    </w:p>
    <w:p>
      <w:pPr>
        <w:pStyle w:val="Heading2"/>
      </w:pPr>
      <w:r>
        <w:t>Section 1: Constitution</w:t>
      </w:r>
    </w:p>
    <w:p>
      <w:r>
        <w:t>• Purpose: HHI is a universal biodiversity performance index measuring ecological function across restoration and conserved landscapes.</w:t>
      </w:r>
    </w:p>
    <w:p>
      <w:r>
        <w:t>• Core Philosophy: Outcome-based, function-first, tiered-resolution, proprietary but auditable, threshold-governed, evidence-gated at elite levels.</w:t>
      </w:r>
    </w:p>
    <w:p>
      <w:r>
        <w:t>• Ecological Function is the dominant pillar.</w:t>
      </w:r>
    </w:p>
    <w:p>
      <w:r>
        <w:t>• HHI is a composite score with embedded guardrails.</w:t>
      </w:r>
    </w:p>
    <w:p>
      <w:r>
        <w:t>• Tiered Model: Tier 1 (Satellite), Tier 2 (Acoustic – minimum for credits), Tier 3 (Structural validation).</w:t>
      </w:r>
    </w:p>
    <w:p>
      <w:r>
        <w:t>• Higher resolution increases confidence, not score inflation.</w:t>
      </w:r>
    </w:p>
    <w:p>
      <w:r>
        <w:t>• Elite classification requires density, statistical confidence, and sustained functional stability.</w:t>
      </w:r>
    </w:p>
    <w:p>
      <w:r>
        <w:t>• Threshold-based issuance model adopted.</w:t>
      </w:r>
    </w:p>
    <w:p>
      <w:r>
        <w:t>• Hybrid threshold structure: global floor + regional calibration + portfolio-relative improvement.</w:t>
      </w:r>
    </w:p>
    <w:p>
      <w:r>
        <w:t>• Version control required for all structural changes.</w:t>
      </w:r>
    </w:p>
    <w:p>
      <w:pPr>
        <w:pStyle w:val="Heading2"/>
      </w:pPr>
      <w:r>
        <w:t>Section 2: Technical Architecture</w:t>
      </w:r>
    </w:p>
    <w:p>
      <w:r>
        <w:t>Five Core Pillars:</w:t>
      </w:r>
    </w:p>
    <w:p>
      <w:r>
        <w:t>1. Ecological Function (dominant) – guild persistence, seasonal continuity, volatility suppression.</w:t>
      </w:r>
    </w:p>
    <w:p>
      <w:r>
        <w:t>2. Habitat Structure – canopy layering, understorey density, habitat heterogeneity.</w:t>
      </w:r>
    </w:p>
    <w:p>
      <w:r>
        <w:t>3. Connectivity – corridor continuity, fragmentation reduction.</w:t>
      </w:r>
    </w:p>
    <w:p>
      <w:r>
        <w:t>4. Disturbance &amp; Recovery – fire, clearing, recovery trajectory.</w:t>
      </w:r>
    </w:p>
    <w:p>
      <w:r>
        <w:t>5. Stability &amp; Resilience – multi-year durability and climate-adjusted persistence.</w:t>
      </w:r>
    </w:p>
    <w:p>
      <w:r>
        <w:t>Confidence determined by sensor density, temporal depth, spatial coverage, and data diversity.</w:t>
      </w:r>
    </w:p>
    <w:p>
      <w:pPr>
        <w:pStyle w:val="Heading2"/>
      </w:pPr>
      <w:r>
        <w:t>Section 3: Nature Repair Market Alignment</w:t>
      </w:r>
    </w:p>
    <w:p>
      <w:r>
        <w:t>• Portfolio-scale assessment is the unit of credit issuance.</w:t>
      </w:r>
    </w:p>
    <w:p>
      <w:r>
        <w:t>• Guild-level metrics form the basis of outcome calculation.</w:t>
      </w:r>
    </w:p>
    <w:p>
      <w:r>
        <w:t>• Species-level metrics excluded from credit calculation to reduce noise.</w:t>
      </w:r>
    </w:p>
    <w:p>
      <w:r>
        <w:t>• Dynamic baselines with seasonal normalisation applied.</w:t>
      </w:r>
    </w:p>
    <w:p>
      <w:r>
        <w:t>• Real-time reversal detection embedded in monitoring framework.</w:t>
      </w:r>
    </w:p>
    <w:p>
      <w:r>
        <w:t>• Tier 2 acoustic enhancement minimum for credit eligibility.</w:t>
      </w:r>
    </w:p>
    <w:p>
      <w:pPr>
        <w:pStyle w:val="Heading2"/>
      </w:pPr>
      <w:r>
        <w:t>Section 4: HHI Score Bands</w:t>
      </w:r>
    </w:p>
    <w:p>
      <w:r>
        <w:t>• 0–49: Degraded</w:t>
      </w:r>
    </w:p>
    <w:p>
      <w:r>
        <w:t>• 50–64: Recovering</w:t>
      </w:r>
    </w:p>
    <w:p>
      <w:r>
        <w:t>• 65–74: Functionally Established</w:t>
      </w:r>
    </w:p>
    <w:p>
      <w:r>
        <w:t>• 75–84: High Performance (Tier 2 required)</w:t>
      </w:r>
    </w:p>
    <w:p>
      <w:r>
        <w:t>• 85–100: Elite (Density + Confidence + Multi-season stability required)</w:t>
      </w:r>
    </w:p>
    <w:p>
      <w:pPr>
        <w:pStyle w:val="Heading2"/>
      </w:pPr>
      <w:r>
        <w:t>Section 5: Elite Classification Framework</w:t>
      </w:r>
    </w:p>
    <w:p>
      <w:r>
        <w:t>• Functional threshold met (sustained guild persistence &amp; volatility suppression).</w:t>
      </w:r>
    </w:p>
    <w:p>
      <w:r>
        <w:t>• Minimum acoustic density threshold achieved.</w:t>
      </w:r>
    </w:p>
    <w:p>
      <w:r>
        <w:t>• High statistical confidence band achieved.</w:t>
      </w:r>
    </w:p>
    <w:p>
      <w:r>
        <w:t>• No material reversal indicators present.</w:t>
      </w:r>
    </w:p>
    <w:p>
      <w:r>
        <w:t>• Elite is open (not capped) but evidence-gated.</w:t>
      </w:r>
    </w:p>
    <w:p>
      <w:pPr>
        <w:pStyle w:val="Heading2"/>
      </w:pPr>
      <w:r>
        <w:t>Section 6: HHI System Architecture Model</w:t>
      </w:r>
    </w:p>
    <w:p>
      <w:r>
        <w:br/>
        <w:t>DATA LAYER:</w:t>
        <w:br/>
        <w:t>Satellite | Acoustic | Drone | eDNA | Hydrology</w:t>
        <w:br/>
        <w:br/>
        <w:t>↓ Proprietary Fusion Engine</w:t>
        <w:br/>
        <w:br/>
        <w:t>PILLAR LAYER:</w:t>
        <w:br/>
        <w:t>Ecological Function | Structure | Connectivity | Disturbance | Stability</w:t>
        <w:br/>
        <w:br/>
        <w:t>↓ Composite Logic + Guardrails</w:t>
        <w:br/>
        <w:br/>
        <w:t>HHI Score (0–100)</w:t>
        <w:br/>
        <w:t>+ Confidence Band</w:t>
        <w:br/>
        <w:t>+ Tier Classification</w:t>
        <w:br/>
        <w:t>+ Performance Band</w:t>
        <w:br/>
        <w:t>+ Elite Gate</w:t>
        <w:br/>
        <w:br/>
        <w:t>Applications:</w:t>
        <w:br/>
        <w:t>Engagement | Portfolio Reporting | Nature Repair Market | Biodiversity Credits | Insurance / ESG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