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Habitat Health Index (HHI) – Structural Addendum v1.0</w:t>
      </w:r>
    </w:p>
    <w:p>
      <w:r>
        <w:t>This addendum formalises HHI score bands, elite classification requirements, and the core system architecture in a concise governance format.</w:t>
      </w:r>
    </w:p>
    <w:p>
      <w:pPr>
        <w:pStyle w:val="Heading2"/>
      </w:pPr>
      <w:r>
        <w:t>1. HHI Score Bands (Conceptual)</w:t>
      </w:r>
    </w:p>
    <w:p>
      <w:r>
        <w:t>0–49  | Degraded: Functional instability, high volatility, structural limitation.</w:t>
      </w:r>
    </w:p>
    <w:p>
      <w:r>
        <w:t>50–64 | Recovering: Structural gains emerging; functional signals inconsistent.</w:t>
      </w:r>
    </w:p>
    <w:p>
      <w:r>
        <w:t>65–74 | Functionally Established: Multi-season guild persistence; reduced volatility.</w:t>
      </w:r>
    </w:p>
    <w:p>
      <w:r>
        <w:t>75–84 | High Performance: Sustained functional continuity; strong seasonal stability; Tier 2 required.</w:t>
      </w:r>
    </w:p>
    <w:p>
      <w:r>
        <w:t>85–100 | Elite: Landscape-scale ecological function; multi-year persistence; density + confidence thresholds required.</w:t>
      </w:r>
    </w:p>
    <w:p>
      <w:r>
        <w:t>Elite classification is open (not capped) but evidence-gated through density, confidence, and sustained ecological function.</w:t>
      </w:r>
    </w:p>
    <w:p>
      <w:pPr>
        <w:pStyle w:val="Heading2"/>
      </w:pPr>
      <w:r>
        <w:t>2. Elite Classification Framework</w:t>
      </w:r>
    </w:p>
    <w:p>
      <w:r>
        <w:t>A) Functional Threshold – Sustained guild persistence; volatility suppression; multi-season continuity.</w:t>
      </w:r>
    </w:p>
    <w:p>
      <w:r>
        <w:t>B) Density Threshold – Minimum acoustic sensors per km² (bioregion-adjusted) with spatial coverage integrity.</w:t>
      </w:r>
    </w:p>
    <w:p>
      <w:r>
        <w:t>C) Statistical Confidence Threshold – Confidence band within defined uncertainty range; sufficient time-series depth.</w:t>
      </w:r>
    </w:p>
    <w:p>
      <w:r>
        <w:t>D) Reversal Guardrail – No material degradation signals or structural collapse indicators.</w:t>
      </w:r>
    </w:p>
    <w:p>
      <w:pPr>
        <w:pStyle w:val="Heading2"/>
      </w:pPr>
      <w:r>
        <w:t>3. HHI System Architecture (Conceptual Model)</w:t>
      </w:r>
    </w:p>
    <w:p>
      <w:r>
        <w:br/>
        <w:t>DATA LAYER:</w:t>
        <w:br/>
        <w:t>Satellite | Acoustic | Drone | eDNA | Hydrology</w:t>
        <w:br/>
        <w:br/>
        <w:t>↓ (Proprietary Fusion Engine)</w:t>
        <w:br/>
        <w:br/>
        <w:t>PILLAR LAYER:</w:t>
        <w:br/>
        <w:t>1. Ecological Function (Dominant)</w:t>
        <w:br/>
        <w:t>2. Habitat Structure</w:t>
        <w:br/>
        <w:t>3. Connectivity</w:t>
        <w:br/>
        <w:t>4. Disturbance &amp; Recovery</w:t>
        <w:br/>
        <w:t>5. Stability &amp; Resilience</w:t>
        <w:br/>
        <w:br/>
        <w:t>↓ (Composite Logic + Guardrails)</w:t>
        <w:br/>
        <w:br/>
        <w:t>HHI SCORE (0–100)</w:t>
        <w:br/>
        <w:t>+ Confidence Band</w:t>
        <w:br/>
        <w:t>+ Tier Classification</w:t>
        <w:br/>
        <w:t>+ Performance Band</w:t>
        <w:br/>
        <w:t>+ Elite Gate (if applicable)</w:t>
        <w:br/>
        <w:br/>
        <w:t>↓</w:t>
        <w:br/>
        <w:br/>
        <w:t>Applications:</w:t>
        <w:br/>
        <w:t>Engagement | Portfolio Reporting | Nature Repair Market |</w:t>
        <w:br/>
        <w:t>Biodiversity Credits | Insurance / ESG Integration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