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– Conceptual Data Model (Schema) v1.0</w:t>
      </w:r>
    </w:p>
    <w:p>
      <w:r>
        <w:t>This is a conceptual schema diagram showing the key entities and how they relate across phases. It is intended to guide database and API design (not prescribe implementation details).</w:t>
      </w:r>
    </w:p>
    <w:p>
      <w:r>
        <w:drawing>
          <wp:inline xmlns:a="http://schemas.openxmlformats.org/drawingml/2006/main" xmlns:pic="http://schemas.openxmlformats.org/drawingml/2006/picture">
            <wp:extent cx="6217920" cy="3658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_Conceptual_Data_Model_v1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8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Key Notes</w:t>
      </w:r>
    </w:p>
    <w:p>
      <w:r>
        <w:t>• Plot → Zone → Portfolio hierarchy is mandatory for future market activation.</w:t>
      </w:r>
    </w:p>
    <w:p>
      <w:r>
        <w:t>• Tier/Confidence/Elite flags exist from Phase 1, even if dormant in UI.</w:t>
      </w:r>
    </w:p>
    <w:p>
      <w:r>
        <w:t>• Derived metrics are versioned to keep results reproducible across method upgrades.</w:t>
      </w:r>
    </w:p>
    <w:p>
      <w:r>
        <w:t>• Workflows (briefs, missions, alerts) are driven by derived metrics + score objects.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