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Cadastral (RP) Integration Addendum v1.0</w:t>
      </w:r>
    </w:p>
    <w:p>
      <w:r>
        <w:t>Purpose: This addendum formalises Terra’s approach to cadastral alignment (Registered Plan – RP) integration for South East Queensland and future regions. It updates the Product, API, and Database specifications to support dual entry (draw or RP input) with canonical parcel linkage and sub-RP restoration overlays.</w:t>
      </w:r>
    </w:p>
    <w:p>
      <w:pPr>
        <w:pStyle w:val="Heading2"/>
      </w:pPr>
      <w:r>
        <w:t>1. Strategic Position</w:t>
      </w:r>
    </w:p>
    <w:p>
      <w:r>
        <w:t>Terra supports both user-drawn boundaries and RP-number entry. Internally, plots may optionally link to a canonical cadastral parcel. Sub-RP restoration zones are explicitly supported (Model C).</w:t>
      </w:r>
    </w:p>
    <w:p>
      <w:r>
        <w:t>Design Principles:</w:t>
      </w:r>
    </w:p>
    <w:p>
      <w:r>
        <w:t>• User flexibility at onboarding.</w:t>
      </w:r>
    </w:p>
    <w:p>
      <w:r>
        <w:t>• Canonical cadastral alignment internally.</w:t>
      </w:r>
    </w:p>
    <w:p>
      <w:r>
        <w:t>• Support for full RP + sub-RP restoration overlays.</w:t>
      </w:r>
    </w:p>
    <w:p>
      <w:r>
        <w:t>• No compliance-heavy messaging at sign-up.</w:t>
      </w:r>
    </w:p>
    <w:p>
      <w:pPr>
        <w:pStyle w:val="Heading2"/>
      </w:pPr>
      <w:r>
        <w:t>2. User Experience Model</w:t>
      </w:r>
    </w:p>
    <w:p>
      <w:r>
        <w:t>Option A – Enter RP Number:</w:t>
      </w:r>
    </w:p>
    <w:p>
      <w:r>
        <w:t>• User inputs RP identifier.</w:t>
      </w:r>
    </w:p>
    <w:p>
      <w:r>
        <w:t>• System validates against cadastral dataset.</w:t>
      </w:r>
    </w:p>
    <w:p>
      <w:r>
        <w:t>• Official boundary loads automatically.</w:t>
      </w:r>
    </w:p>
    <w:p>
      <w:r>
        <w:t>• plot.rp_verified = true.</w:t>
      </w:r>
    </w:p>
    <w:p>
      <w:r>
        <w:t>Option B – Draw Boundary:</w:t>
      </w:r>
    </w:p>
    <w:p>
      <w:r>
        <w:t>• User draws polygon.</w:t>
      </w:r>
    </w:p>
    <w:p>
      <w:r>
        <w:t>• System checks overlap with cadastral parcels.</w:t>
      </w:r>
    </w:p>
    <w:p>
      <w:r>
        <w:t>• If &gt;80% overlap with single RP → suggest match.</w:t>
      </w:r>
    </w:p>
    <w:p>
      <w:r>
        <w:t>• If multiple overlaps → present selection.</w:t>
      </w:r>
    </w:p>
    <w:p>
      <w:r>
        <w:t>• If declined → store as custom polygon (rp_verified = false).</w:t>
      </w:r>
    </w:p>
    <w:p>
      <w:r>
        <w:t>Sub-RP Restoration Zones (Model C):</w:t>
      </w:r>
    </w:p>
    <w:p>
      <w:r>
        <w:t>• A plot may represent full RP or a sub-area.</w:t>
      </w:r>
    </w:p>
    <w:p>
      <w:r>
        <w:t>• If sub-area, system stores both:</w:t>
      </w:r>
    </w:p>
    <w:p>
      <w:r>
        <w:t xml:space="preserve">   - Canonical RP geometry reference</w:t>
      </w:r>
    </w:p>
    <w:p>
      <w:r>
        <w:t xml:space="preserve">   - User-defined restoration overlay geometry</w:t>
      </w:r>
    </w:p>
    <w:p>
      <w:r>
        <w:t>• Enables full-property validation later without losing sub-zone specificity.</w:t>
      </w:r>
    </w:p>
    <w:p>
      <w:pPr>
        <w:pStyle w:val="Heading2"/>
      </w:pPr>
      <w:r>
        <w:t>3. Database Schema Updates</w:t>
      </w:r>
    </w:p>
    <w:p/>
    <w:p>
      <w:r>
        <w:t>ALTER TABLE plots</w:t>
      </w:r>
    </w:p>
    <w:p>
      <w:r>
        <w:t>ADD COLUMN rp_number TEXT NULL,</w:t>
      </w:r>
    </w:p>
    <w:p>
      <w:r>
        <w:t>ADD COLUMN rp_verified BOOLEAN DEFAULT false,</w:t>
      </w:r>
    </w:p>
    <w:p>
      <w:r>
        <w:t>ADD COLUMN rp_overlap_pct DOUBLE PRECISION,</w:t>
      </w:r>
    </w:p>
    <w:p>
      <w:r>
        <w:t>ADD COLUMN parent_rp_geom GEOMETRY(POLYGON, 4326);</w:t>
      </w:r>
    </w:p>
    <w:p/>
    <w:p>
      <w:r>
        <w:t>CREATE TABLE cadastral_parcels (</w:t>
      </w:r>
    </w:p>
    <w:p>
      <w:r>
        <w:t xml:space="preserve">  rp_number TEXT PRIMARY KEY,</w:t>
      </w:r>
    </w:p>
    <w:p>
      <w:r>
        <w:t xml:space="preserve">  geom GEOMETRY(POLYGON, 4326) NOT NULL,</w:t>
      </w:r>
    </w:p>
    <w:p>
      <w:r>
        <w:t xml:space="preserve">  area_m2 DOUBLE PRECISION NOT NULL,</w:t>
      </w:r>
    </w:p>
    <w:p>
      <w:r>
        <w:t xml:space="preserve">  lga TEXT,</w:t>
      </w:r>
    </w:p>
    <w:p>
      <w:r>
        <w:t xml:space="preserve">  lot TEXT,</w:t>
      </w:r>
    </w:p>
    <w:p>
      <w:r>
        <w:t xml:space="preserve">  plan TEXT</w:t>
      </w:r>
    </w:p>
    <w:p>
      <w:r>
        <w:t>);</w:t>
      </w:r>
    </w:p>
    <w:p/>
    <w:p>
      <w:r>
        <w:t>CREATE INDEX cadastral_geom_gix ON cadastral_parcels USING GIST (geom);</w:t>
      </w:r>
    </w:p>
    <w:p>
      <w:r>
        <w:t>Notes:</w:t>
      </w:r>
    </w:p>
    <w:p>
      <w:r>
        <w:t>• plots.geom = restoration zone (may be full RP or subset).</w:t>
      </w:r>
    </w:p>
    <w:p>
      <w:r>
        <w:t>• parent_rp_geom stores canonical boundary when linked.</w:t>
      </w:r>
    </w:p>
    <w:p>
      <w:r>
        <w:t>• rp_overlap_pct documents confidence of match.</w:t>
      </w:r>
    </w:p>
    <w:p>
      <w:r>
        <w:t>• Structure supports future full-RP validation.</w:t>
      </w:r>
    </w:p>
    <w:p>
      <w:pPr>
        <w:pStyle w:val="Heading2"/>
      </w:pPr>
      <w:r>
        <w:t>4. API Contract Updates</w:t>
      </w:r>
    </w:p>
    <w:p>
      <w:r>
        <w:t>POST /v1/plots accepts either geometry or rp_number, or both.</w:t>
      </w:r>
    </w:p>
    <w:p>
      <w:r>
        <w:t>Response includes rp_number, rp_verified, and rp_overlap_pct.</w:t>
      </w:r>
    </w:p>
    <w:p>
      <w:r>
        <w:t>New endpoint: GET /v1/cadastral/{rp_number} returns canonical parcel geometry and metadata.</w:t>
      </w:r>
    </w:p>
    <w:p>
      <w:pPr>
        <w:pStyle w:val="Heading2"/>
      </w:pPr>
      <w:r>
        <w:t>5. Reporting &amp; Density Analytics Implications</w:t>
      </w:r>
    </w:p>
    <w:p>
      <w:r>
        <w:t>Enables measurement of:</w:t>
      </w:r>
    </w:p>
    <w:p>
      <w:r>
        <w:t>• % of RPs onboarded within flagship zone.</w:t>
      </w:r>
    </w:p>
    <w:p>
      <w:r>
        <w:t>• Sensor density per RP cluster.</w:t>
      </w:r>
    </w:p>
    <w:p>
      <w:r>
        <w:t>• Participation coverage by cadastral area.</w:t>
      </w:r>
    </w:p>
    <w:p>
      <w:r>
        <w:t>• Full-property vs sub-property restoration tracking.</w:t>
      </w:r>
    </w:p>
    <w:p>
      <w:r>
        <w:t>• Future Nature Repair Market parcel alignment.</w:t>
      </w:r>
    </w:p>
    <w:p>
      <w:pPr>
        <w:pStyle w:val="Heading2"/>
      </w:pPr>
      <w:r>
        <w:t>6. Governance Safeguards</w:t>
      </w:r>
    </w:p>
    <w:p>
      <w:r>
        <w:t>• RP linkage optional at onboarding.</w:t>
      </w:r>
    </w:p>
    <w:p>
      <w:r>
        <w:t>• Messaging focuses on ecological alignment, not compliance.</w:t>
      </w:r>
    </w:p>
    <w:p>
      <w:r>
        <w:t>• No ownership verification stored in Phase 1.</w:t>
      </w:r>
    </w:p>
    <w:p>
      <w:r>
        <w:t>• RP data treated as spatial metadata only.</w:t>
      </w:r>
    </w:p>
    <w:p>
      <w:pPr>
        <w:pStyle w:val="Heading2"/>
      </w:pPr>
      <w:r>
        <w:t>7. Phase 2 &amp; 3 Readiness</w:t>
      </w:r>
    </w:p>
    <w:p>
      <w:r>
        <w:t>• Supports portfolio aggregation by legal parcel.</w:t>
      </w:r>
    </w:p>
    <w:p>
      <w:r>
        <w:t>• Enables Elite evaluation at full-property scale.</w:t>
      </w:r>
    </w:p>
    <w:p>
      <w:r>
        <w:t>• Reduces retrofitting risk as market rules mature.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