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Algorithm &amp; Data Processing Specification v1.1 (Consolidated)</w:t>
      </w:r>
    </w:p>
    <w:p>
      <w:r>
        <w:t>This consolidated specification merges the original v1.0 Algorithm &amp; Data Processing Spec with the v1.0 Addendum. It serves as the authoritative engineering reference for Terra Phase 1 (satellite-led), including calculations, compositing logic, parameters, pipeline sequencing, confidence logic, QA, and acceptance criteria.</w:t>
      </w:r>
    </w:p>
    <w:p>
      <w:pPr>
        <w:pStyle w:val="Heading2"/>
      </w:pPr>
      <w:r>
        <w:t>1. Scope (Phase 1)</w:t>
      </w:r>
    </w:p>
    <w:p>
      <w:r>
        <w:t>• Monthly vegetation composites (Sentinel-2) and derived indices (NDVI, optional EVI).</w:t>
      </w:r>
    </w:p>
    <w:p>
      <w:r>
        <w:t>• Structural proxy metrics (NDVI heterogeneity; optional Sentinel-1 radar summaries).</w:t>
      </w:r>
    </w:p>
    <w:p>
      <w:r>
        <w:t>• Disturbance detection (VIIRS fire tagging; NDVI change signals).</w:t>
      </w:r>
    </w:p>
    <w:p>
      <w:r>
        <w:t>• Connectivity and fragmentation proxies (structural-only in Phase 1).</w:t>
      </w:r>
    </w:p>
    <w:p>
      <w:r>
        <w:t>• Plot → Zone → Portfolio aggregation scaffolding.</w:t>
      </w:r>
    </w:p>
    <w:p>
      <w:r>
        <w:t>• Tier 1 structural confidence scoring.</w:t>
      </w:r>
    </w:p>
    <w:p>
      <w:r>
        <w:t>• Full method versioning and reproducibility requirements.</w:t>
      </w:r>
    </w:p>
    <w:p>
      <w:pPr>
        <w:pStyle w:val="Heading2"/>
      </w:pPr>
      <w:r>
        <w:t>2. Core Index Calculations</w:t>
      </w:r>
    </w:p>
    <w:p>
      <w:pPr>
        <w:pStyle w:val="Heading3"/>
      </w:pPr>
      <w:r>
        <w:t>2.1 NDVI</w:t>
      </w:r>
    </w:p>
    <w:p>
      <w:r>
        <w:t>Formula: NDVI = (NIR − Red) / (NIR + Red)</w:t>
      </w:r>
    </w:p>
    <w:p>
      <w:r>
        <w:t>Sentinel-2 Bands: B8 (NIR), B4 (Red)</w:t>
      </w:r>
    </w:p>
    <w:p>
      <w:r>
        <w:t>• If denominator = 0 → NoData</w:t>
      </w:r>
    </w:p>
    <w:p>
      <w:r>
        <w:t>• Clip to range [-1,1]</w:t>
      </w:r>
    </w:p>
    <w:p>
      <w:r>
        <w:t>• Use Level-2A surface reflectance products</w:t>
      </w:r>
    </w:p>
    <w:p>
      <w:pPr>
        <w:pStyle w:val="Heading3"/>
      </w:pPr>
      <w:r>
        <w:t>2.2 EVI (Optional)</w:t>
      </w:r>
    </w:p>
    <w:p>
      <w:r>
        <w:t>Formula: EVI = 2.5 * (NIR − Red) / (NIR + 6*Red − 7.5*Blue + 1)</w:t>
      </w:r>
    </w:p>
    <w:p>
      <w:r>
        <w:t>Bands: B8 (NIR), B4 (Red), B2 (Blue)</w:t>
      </w:r>
    </w:p>
    <w:p>
      <w:r>
        <w:t>• Blue band resampled to 10 m if required</w:t>
      </w:r>
    </w:p>
    <w:p>
      <w:pPr>
        <w:pStyle w:val="Heading3"/>
      </w:pPr>
      <w:r>
        <w:t>2.3 Structural Heterogeneity</w:t>
      </w:r>
    </w:p>
    <w:p>
      <w:r>
        <w:t>• Compute NDVI variance using rolling window (default 5×5 pixels)</w:t>
      </w:r>
    </w:p>
    <w:p>
      <w:r>
        <w:t>• Store median + upper quartile per plot</w:t>
      </w:r>
    </w:p>
    <w:p>
      <w:pPr>
        <w:pStyle w:val="Heading2"/>
      </w:pPr>
      <w:r>
        <w:t>3. Preprocessing &amp; Cloud Masking</w:t>
      </w:r>
    </w:p>
    <w:p>
      <w:r>
        <w:t>Preferred: Sentinel-2 SCL mask (cloud, shadow, cirrus removed).</w:t>
      </w:r>
    </w:p>
    <w:p>
      <w:r>
        <w:t>Fallback: QA60 or cloud probability threshold.</w:t>
      </w:r>
    </w:p>
    <w:p>
      <w:r>
        <w:t>Minimum valid pixel fraction per plot-month: 20% (default).</w:t>
      </w:r>
    </w:p>
    <w:p>
      <w:pPr>
        <w:pStyle w:val="Heading2"/>
      </w:pPr>
      <w:r>
        <w:t>4. Monthly Composite Strategy</w:t>
      </w:r>
    </w:p>
    <w:p>
      <w:r>
        <w:t>• Calendar month temporal window.</w:t>
      </w:r>
    </w:p>
    <w:p>
      <w:r>
        <w:t>• Composite operator: median (default).</w:t>
      </w:r>
    </w:p>
    <w:p>
      <w:r>
        <w:t>• Store NDVI_monthly, HET_NDVI_monthly, ValidPixelFraction.</w:t>
      </w:r>
    </w:p>
    <w:p>
      <w:pPr>
        <w:pStyle w:val="Heading2"/>
      </w:pPr>
      <w:r>
        <w:t>5. Change &amp; Disturbance Detection</w:t>
      </w:r>
    </w:p>
    <w:p>
      <w:r>
        <w:t>ΔNDVI_mom = NDVI_t − NDVI_(t−1)</w:t>
      </w:r>
    </w:p>
    <w:p>
      <w:r>
        <w:t>ΔNDVI_yoy = NDVI_t − NDVI_(t−12) (if available)</w:t>
      </w:r>
    </w:p>
    <w:p>
      <w:r>
        <w:t>Default negative disturbance threshold: -0.10 NDVI (configurable).</w:t>
      </w:r>
    </w:p>
    <w:p>
      <w:r>
        <w:t>VIIRS fire detections stored as contextual tags (not automatic degradation labels).</w:t>
      </w:r>
    </w:p>
    <w:p>
      <w:pPr>
        <w:pStyle w:val="Heading2"/>
      </w:pPr>
      <w:r>
        <w:t>6. Aggregation (Plot → Zone → Portfolio)</w:t>
      </w:r>
    </w:p>
    <w:p>
      <w:r>
        <w:t>Plot summaries: median NDVI + IQR; heterogeneity median + upper quartile.</w:t>
      </w:r>
    </w:p>
    <w:p>
      <w:r>
        <w:t>Zone rollups: area-weighted medians; store density &amp; depth.</w:t>
      </w:r>
    </w:p>
    <w:p>
      <w:r>
        <w:t>Portfolio: aggregation container only (no credit logic in Phase 1).</w:t>
      </w:r>
    </w:p>
    <w:p>
      <w:pPr>
        <w:pStyle w:val="Heading2"/>
      </w:pPr>
      <w:r>
        <w:t>7. Tier 1 Confidence Object</w:t>
      </w:r>
    </w:p>
    <w:p>
      <w:r>
        <w:t>Confidence inputs:</w:t>
      </w:r>
    </w:p>
    <w:p>
      <w:r>
        <w:t>• ValidPixelFraction</w:t>
      </w:r>
    </w:p>
    <w:p>
      <w:r>
        <w:t>• Temporal depth (months available)</w:t>
      </w:r>
    </w:p>
    <w:p>
      <w:r>
        <w:t>• Data consistency (variance of monthly summaries)</w:t>
      </w:r>
    </w:p>
    <w:p>
      <w:r>
        <w:t>Outputs:</w:t>
      </w:r>
    </w:p>
    <w:p>
      <w:r>
        <w:t>• confidence_score (0–1)</w:t>
      </w:r>
    </w:p>
    <w:p>
      <w:r>
        <w:t>• confidence_band (Low/Medium/High)</w:t>
      </w:r>
    </w:p>
    <w:p>
      <w:r>
        <w:t>All inputs stored for audit.</w:t>
      </w:r>
    </w:p>
    <w:p>
      <w:pPr>
        <w:pStyle w:val="Heading2"/>
      </w:pPr>
      <w:r>
        <w:t>8. Default Parameters (Version-Controlled)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Default Value</w:t>
            </w:r>
          </w:p>
        </w:tc>
      </w:tr>
      <w:tr>
        <w:tc>
          <w:tcPr>
            <w:tcW w:type="dxa" w:w="4320"/>
          </w:tcPr>
          <w:p>
            <w:r>
              <w:t>Min valid pixels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Composite operator</w:t>
            </w:r>
          </w:p>
        </w:tc>
        <w:tc>
          <w:tcPr>
            <w:tcW w:type="dxa" w:w="4320"/>
          </w:tcPr>
          <w:p>
            <w:r>
              <w:t>Median</w:t>
            </w:r>
          </w:p>
        </w:tc>
      </w:tr>
      <w:tr>
        <w:tc>
          <w:tcPr>
            <w:tcW w:type="dxa" w:w="4320"/>
          </w:tcPr>
          <w:p>
            <w:r>
              <w:t>Heterogeneity window</w:t>
            </w:r>
          </w:p>
        </w:tc>
        <w:tc>
          <w:tcPr>
            <w:tcW w:type="dxa" w:w="4320"/>
          </w:tcPr>
          <w:p>
            <w:r>
              <w:t>5×5 pixels</w:t>
            </w:r>
          </w:p>
        </w:tc>
      </w:tr>
      <w:tr>
        <w:tc>
          <w:tcPr>
            <w:tcW w:type="dxa" w:w="4320"/>
          </w:tcPr>
          <w:p>
            <w:r>
              <w:t>ΔNDVI disturbance threshold</w:t>
            </w:r>
          </w:p>
        </w:tc>
        <w:tc>
          <w:tcPr>
            <w:tcW w:type="dxa" w:w="4320"/>
          </w:tcPr>
          <w:p>
            <w:r>
              <w:t>-0.10</w:t>
            </w:r>
          </w:p>
        </w:tc>
      </w:tr>
      <w:tr>
        <w:tc>
          <w:tcPr>
            <w:tcW w:type="dxa" w:w="4320"/>
          </w:tcPr>
          <w:p>
            <w:r>
              <w:t>Fire buffer distance</w:t>
            </w:r>
          </w:p>
        </w:tc>
        <w:tc>
          <w:tcPr>
            <w:tcW w:type="dxa" w:w="4320"/>
          </w:tcPr>
          <w:p>
            <w:r>
              <w:t>1 km</w:t>
            </w:r>
          </w:p>
        </w:tc>
      </w:tr>
      <w:tr>
        <w:tc>
          <w:tcPr>
            <w:tcW w:type="dxa" w:w="4320"/>
          </w:tcPr>
          <w:p>
            <w:r>
              <w:t>Update cadence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</w:tbl>
    <w:p>
      <w:pPr>
        <w:pStyle w:val="Heading2"/>
      </w:pPr>
      <w:r>
        <w:t>9. Pipeline Sequence (Authoritative Order)</w:t>
      </w:r>
    </w:p>
    <w:p>
      <w:r>
        <w:drawing>
          <wp:inline xmlns:a="http://schemas.openxmlformats.org/drawingml/2006/main" xmlns:pic="http://schemas.openxmlformats.org/drawingml/2006/picture">
            <wp:extent cx="6217920" cy="1709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_Pipeline_Diagram_v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0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Acceptance Criteria (Engineering QA)</w:t>
      </w:r>
    </w:p>
    <w:p>
      <w:r>
        <w:t>• NDVI formula verified against reference pixel values.</w:t>
      </w:r>
    </w:p>
    <w:p>
      <w:r>
        <w:t>• Cloud-masked pixels excluded from composites.</w:t>
      </w:r>
    </w:p>
    <w:p>
      <w:r>
        <w:t>• Monthly composites reproducible under identical inputs.</w:t>
      </w:r>
    </w:p>
    <w:p>
      <w:r>
        <w:t>• Versioning preserves historical outputs when parameters change.</w:t>
      </w:r>
    </w:p>
    <w:p>
      <w:r>
        <w:t>• Offline Monthly Brief cache functional.</w:t>
      </w:r>
    </w:p>
    <w:p>
      <w:r>
        <w:t>• Push notification delivered on Monthly Brief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