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Technical Architecture v1.0</w:t>
      </w:r>
    </w:p>
    <w:p>
      <w:pPr>
        <w:pStyle w:val="Heading2"/>
      </w:pPr>
      <w:r>
        <w:t>1. Pillar Structure</w:t>
      </w:r>
    </w:p>
    <w:p>
      <w:r>
        <w:t>HHI is composed of five core pillars:</w:t>
      </w:r>
    </w:p>
    <w:p>
      <w:r>
        <w:t>1. Ecological Function (dominant pillar: guild persistence, seasonal continuity, volatility suppression).</w:t>
      </w:r>
    </w:p>
    <w:p>
      <w:r>
        <w:t>2. Habitat Structure (vegetation complexity, canopy layering, habitat heterogeneity).</w:t>
      </w:r>
    </w:p>
    <w:p>
      <w:r>
        <w:t>3. Connectivity (landscape linkage, corridor continuity, fragmentation metrics).</w:t>
      </w:r>
    </w:p>
    <w:p>
      <w:r>
        <w:t>4. Disturbance &amp; Recovery (fire, clearing, hydrological disruption, recovery trajectory).</w:t>
      </w:r>
    </w:p>
    <w:p>
      <w:r>
        <w:t>5. Stability &amp; Resilience (trend durability, climate-adjusted persistence).</w:t>
      </w:r>
    </w:p>
    <w:p>
      <w:pPr>
        <w:pStyle w:val="Heading2"/>
      </w:pPr>
      <w:r>
        <w:t>2. Tiered Resolution Model</w:t>
      </w:r>
    </w:p>
    <w:p>
      <w:r>
        <w:t>Tier 1 – Satellite-derived baseline (NDVI, land cover, disturbance history).</w:t>
      </w:r>
    </w:p>
    <w:p>
      <w:r>
        <w:t>Tier 2 – Acoustic-enhanced (guild persistence, seasonal stability; minimum for credit eligibility).</w:t>
      </w:r>
    </w:p>
    <w:p>
      <w:r>
        <w:t>Tier 3 – Structural &amp; functional validation (drone, LiDAR, eDNA, hydrology, microclimate).</w:t>
      </w:r>
    </w:p>
    <w:p>
      <w:r>
        <w:t>Resolution increases confidence, not score inflation.</w:t>
      </w:r>
    </w:p>
    <w:p>
      <w:pPr>
        <w:pStyle w:val="Heading2"/>
      </w:pPr>
      <w:r>
        <w:t>3. Confidence Framework</w:t>
      </w:r>
    </w:p>
    <w:p>
      <w:r>
        <w:t>Each HHI score includes a confidence band based on:</w:t>
      </w:r>
    </w:p>
    <w:p>
      <w:r>
        <w:t>• Sensor density per km²</w:t>
      </w:r>
    </w:p>
    <w:p>
      <w:r>
        <w:t>• Temporal depth of dataset</w:t>
      </w:r>
    </w:p>
    <w:p>
      <w:r>
        <w:t>• Spatial coverage completeness</w:t>
      </w:r>
    </w:p>
    <w:p>
      <w:r>
        <w:t>• Cross-data validation diversity</w:t>
      </w:r>
    </w:p>
    <w:p>
      <w:pPr>
        <w:pStyle w:val="Heading2"/>
      </w:pPr>
      <w:r>
        <w:t>4. Elite Classification Requirements</w:t>
      </w:r>
    </w:p>
    <w:p>
      <w:r>
        <w:t>Elite classification requires:</w:t>
      </w:r>
    </w:p>
    <w:p>
      <w:r>
        <w:t>• Minimum acoustic sensor density threshold</w:t>
      </w:r>
    </w:p>
    <w:p>
      <w:r>
        <w:t>• High statistical confidence band</w:t>
      </w:r>
    </w:p>
    <w:p>
      <w:r>
        <w:t>• Sustained multi-season functional stability</w:t>
      </w:r>
    </w:p>
    <w:p>
      <w:r>
        <w:t>• No reversal indicators</w:t>
      </w:r>
    </w:p>
    <w:p>
      <w:r>
        <w:t>Elite is open and uncapped but evidence-gated.</w:t>
      </w:r>
    </w:p>
    <w:p>
      <w:pPr>
        <w:pStyle w:val="Heading2"/>
      </w:pPr>
      <w:r>
        <w:t>5. Threshold Governance</w:t>
      </w:r>
    </w:p>
    <w:p>
      <w:r>
        <w:t>Issuance thresholds require:</w:t>
      </w:r>
    </w:p>
    <w:p>
      <w:r>
        <w:t>• Directional improvement above calibrated level</w:t>
      </w:r>
    </w:p>
    <w:p>
      <w:r>
        <w:t>• Sustained performance across defined seasonal cycles</w:t>
      </w:r>
    </w:p>
    <w:p>
      <w:r>
        <w:t>• Portfolio-level aggregation</w:t>
      </w:r>
    </w:p>
    <w:p>
      <w:r>
        <w:t>• Hybrid structure: global integrity floor + regional calibration + portfolio-relative improvement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