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693" w:rsidRPr="002D7693" w:rsidRDefault="002D7693" w:rsidP="002D76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Gondwana BioReserve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Execution Layer Specification</w: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(Non-Ecological – Operational Sequencing Layer)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Version 1.0 – Brookfield Pilot (4.2 km Radius)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Phase 1 Execution Layer is an operational overlay designed to prioritise landholder engagement and restoration sequencing within a defined pilot boundary.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 does </w:t>
      </w:r>
      <w:r w:rsidRPr="002D7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modify ecological scoring.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operates in parallel to the Biodiversity Priority Index (BPI) and exists purely to:</w:t>
      </w:r>
    </w:p>
    <w:p w:rsidR="002D7693" w:rsidRPr="002D7693" w:rsidRDefault="002D7693" w:rsidP="002D76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actionable grid cells</w:t>
      </w:r>
    </w:p>
    <w:p w:rsidR="002D7693" w:rsidRPr="002D7693" w:rsidRDefault="002D7693" w:rsidP="002D76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Sequence engagement efficiently</w:t>
      </w:r>
    </w:p>
    <w:p w:rsidR="002D7693" w:rsidRPr="002D7693" w:rsidRDefault="002D7693" w:rsidP="002D76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Distinguish public vs private leverage</w:t>
      </w:r>
    </w:p>
    <w:p w:rsidR="002D7693" w:rsidRPr="00E711A4" w:rsidRDefault="002D7693" w:rsidP="002D769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 Phase 1 delivery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Separation of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467"/>
        <w:gridCol w:w="2661"/>
      </w:tblGrid>
      <w:tr w:rsidR="002D7693" w:rsidRPr="002D7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Affects Ecological Score?</w:t>
            </w:r>
          </w:p>
        </w:tc>
      </w:tr>
      <w:tr w:rsidR="002D7693" w:rsidRPr="002D7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BPPF / BPI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Biodiversity significance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Yes</w:t>
            </w:r>
          </w:p>
        </w:tc>
      </w:tr>
      <w:tr w:rsidR="002D7693" w:rsidRPr="002D7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Execution Layer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Delivery feasibility</w:t>
            </w:r>
          </w:p>
        </w:tc>
        <w:tc>
          <w:tcPr>
            <w:tcW w:w="0" w:type="auto"/>
            <w:vAlign w:val="center"/>
            <w:hideMark/>
          </w:tcPr>
          <w:p w:rsidR="002D7693" w:rsidRPr="002D7693" w:rsidRDefault="002D7693" w:rsidP="002D769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6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</w:t>
            </w:r>
          </w:p>
        </w:tc>
      </w:tr>
    </w:tbl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Ecological integrity remains untouched. 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Spatial Scope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Pilot Boundary:</w:t>
      </w:r>
    </w:p>
    <w:p w:rsidR="002D7693" w:rsidRPr="002D7693" w:rsidRDefault="002D7693" w:rsidP="002D769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Centre: 81 Boscombe Road, Brookfield</w:t>
      </w:r>
    </w:p>
    <w:p w:rsidR="002D7693" w:rsidRPr="002D7693" w:rsidRDefault="002D7693" w:rsidP="002D769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Radius: 4.2 km</w:t>
      </w:r>
    </w:p>
    <w:p w:rsidR="002D7693" w:rsidRPr="002D7693" w:rsidRDefault="002D7693" w:rsidP="002D769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Coordinate system: GDA2020</w:t>
      </w:r>
    </w:p>
    <w:p w:rsidR="002D7693" w:rsidRPr="002D7693" w:rsidRDefault="002D7693" w:rsidP="002D769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Grid: 1 km × 1 km clipped to boundary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grid cell retains:</w:t>
      </w:r>
    </w:p>
    <w:p w:rsidR="002D7693" w:rsidRPr="002D7693" w:rsidRDefault="002D7693" w:rsidP="002D769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Biodiversity Priority Index (0–100)</w:t>
      </w:r>
    </w:p>
    <w:p w:rsidR="002D7693" w:rsidRPr="00E711A4" w:rsidRDefault="002D7693" w:rsidP="002D769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classification tier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Implementation Leverage Index (ILI)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grid cell receives a </w:t>
      </w:r>
      <w:r w:rsidRPr="002D7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separate operational score (0–100)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on cadastral and land control characteristics.</w: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Components</w:t>
      </w:r>
    </w:p>
    <w:p w:rsidR="002D7693" w:rsidRPr="002D7693" w:rsidRDefault="002D7693" w:rsidP="002D769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 Private Land Leverage (0–50 points)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proportional to % of private land within grid cell.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100% private → 50 points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0% private → 0 points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Rationale: Private land drives Phase 1 participation potential.</w:t>
      </w:r>
    </w:p>
    <w:p w:rsidR="002D7693" w:rsidRPr="002D7693" w:rsidRDefault="002D7693" w:rsidP="002D769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 Parcel Fragmentation (0–30 points)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Based on number of distinct RPs intersecting cell.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RP → 30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2 RPs → 22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3–4 RPs → 12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5+ RPs → 0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Rationale: Fewer landholders = lower coordination friction.</w:t>
      </w:r>
    </w:p>
    <w:p w:rsidR="002D7693" w:rsidRPr="002D7693" w:rsidRDefault="002D7693" w:rsidP="002D769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 Parcel Dominance (0–20 points)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Based on largest RP share of grid cell.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≥80% → 20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60–79% → 14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40–59% → 8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&lt;40% → 0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Rationale: Strong single-parcel control increases execution certainty.</w: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Formula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ILI = Private Score + Fragmentation Score + Dominance Score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Range: 0–100</w: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Phase 1 Execution Categories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grid cell is assigned one of four execution categories.</w: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A — Engagement Cells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Criteria:</w:t>
      </w:r>
    </w:p>
    <w:p w:rsidR="002D7693" w:rsidRPr="002D7693" w:rsidRDefault="002D7693" w:rsidP="002D769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ILI ≥ 60</w:t>
      </w:r>
    </w:p>
    <w:p w:rsidR="002D7693" w:rsidRPr="002D7693" w:rsidRDefault="002D7693" w:rsidP="002D769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BPI ≥ 50</w:t>
      </w:r>
    </w:p>
    <w:p w:rsidR="002D7693" w:rsidRPr="002D7693" w:rsidRDefault="002D7693" w:rsidP="00E711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Primary Phase 1 landholder onboarding focus.</w: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B — Public Core Cells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Criteria:</w:t>
      </w:r>
    </w:p>
    <w:p w:rsidR="002D7693" w:rsidRPr="002D7693" w:rsidRDefault="002D7693" w:rsidP="002D769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land ≥ 70%</w:t>
      </w:r>
    </w:p>
    <w:p w:rsidR="002D7693" w:rsidRPr="002D7693" w:rsidRDefault="002D7693" w:rsidP="002D769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BPI ≥ 65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Ecologically critical.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Engagement via council/state partnerships, not private onboarding.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C — Mixed Strategy Cells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Criteria:</w:t>
      </w:r>
    </w:p>
    <w:p w:rsidR="002D7693" w:rsidRPr="002D7693" w:rsidRDefault="002D7693" w:rsidP="002D769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BPI ≥ 50</w:t>
      </w:r>
    </w:p>
    <w:p w:rsidR="002D7693" w:rsidRPr="002D7693" w:rsidRDefault="002D7693" w:rsidP="002D769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ILI between 40–59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 targeted engagement and corridor stitching.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D — Deferred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Criteria:</w:t>
      </w:r>
    </w:p>
    <w:p w:rsidR="002D7693" w:rsidRPr="002D7693" w:rsidRDefault="002D7693" w:rsidP="002D769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BPI &lt; 50 or ILI &lt; 40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priority for Phase 1.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Data Architecture Alignment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layer integrates directly with: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Terra – Cadastral (RP) Integration Addendum v1.0 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Terra_Cadastral_RP_Integration_…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Specifically:</w:t>
      </w:r>
    </w:p>
    <w:p w:rsidR="002D7693" w:rsidRPr="002D7693" w:rsidRDefault="002D7693" w:rsidP="002D769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Courier New" w:eastAsia="Times New Roman" w:hAnsi="Courier New" w:cs="Courier New"/>
          <w:kern w:val="0"/>
          <w:lang w:eastAsia="en-GB"/>
          <w14:ligatures w14:val="none"/>
        </w:rPr>
        <w:t>cadastral_parcels</w:t>
      </w: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table</w:t>
      </w:r>
    </w:p>
    <w:p w:rsidR="002D7693" w:rsidRPr="002D7693" w:rsidRDefault="002D7693" w:rsidP="002D769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Courier New" w:eastAsia="Times New Roman" w:hAnsi="Courier New" w:cs="Courier New"/>
          <w:kern w:val="0"/>
          <w:lang w:eastAsia="en-GB"/>
          <w14:ligatures w14:val="none"/>
        </w:rPr>
        <w:t>plots.rp_number</w:t>
      </w:r>
    </w:p>
    <w:p w:rsidR="002D7693" w:rsidRPr="002D7693" w:rsidRDefault="002D7693" w:rsidP="002D769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Sub-RP overlay support (Model C)</w:t>
      </w:r>
    </w:p>
    <w:p w:rsidR="002D7693" w:rsidRPr="002D7693" w:rsidRDefault="002D7693" w:rsidP="002D769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Canonical RP geometry linkage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ensures:</w:t>
      </w:r>
    </w:p>
    <w:p w:rsidR="002D7693" w:rsidRPr="002D7693" w:rsidRDefault="002D7693" w:rsidP="002D7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Engagement traceability by parcel</w:t>
      </w:r>
    </w:p>
    <w:p w:rsidR="002D7693" w:rsidRPr="002D7693" w:rsidRDefault="002D7693" w:rsidP="002D7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 density metrics</w:t>
      </w:r>
    </w:p>
    <w:p w:rsidR="002D7693" w:rsidRPr="002D7693" w:rsidRDefault="002D7693" w:rsidP="002D769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Future compliance alignment readiness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Outputs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implementation produces:</w:t>
      </w:r>
    </w:p>
    <w:p w:rsidR="002D7693" w:rsidRPr="002D7693" w:rsidRDefault="002D7693" w:rsidP="002D7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Heatmap (BPI)</w:t>
      </w:r>
    </w:p>
    <w:p w:rsidR="002D7693" w:rsidRPr="002D7693" w:rsidRDefault="002D7693" w:rsidP="002D7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Execution Heatmap (ILI)</w:t>
      </w:r>
    </w:p>
    <w:p w:rsidR="002D7693" w:rsidRPr="002D7693" w:rsidRDefault="002D7693" w:rsidP="002D7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Engagement Cell List (Grid_ID + RP list)</w:t>
      </w:r>
    </w:p>
    <w:p w:rsidR="002D7693" w:rsidRPr="002D7693" w:rsidRDefault="002D7693" w:rsidP="002D7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Core Map</w:t>
      </w:r>
    </w:p>
    <w:p w:rsidR="002D7693" w:rsidRPr="002D7693" w:rsidRDefault="002D7693" w:rsidP="002D769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Top 20 RPs ranked by:</w:t>
      </w:r>
    </w:p>
    <w:p w:rsidR="002D7693" w:rsidRPr="002D7693" w:rsidRDefault="002D7693" w:rsidP="002D769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Overlap with Engagement Cells</w:t>
      </w:r>
    </w:p>
    <w:p w:rsidR="002D7693" w:rsidRPr="002D7693" w:rsidRDefault="002D7693" w:rsidP="002D769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Cumulative ecological score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Governance Safeguards</w:t>
      </w:r>
    </w:p>
    <w:p w:rsidR="002D7693" w:rsidRPr="002D7693" w:rsidRDefault="002D7693" w:rsidP="002D7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ILI never alters BPI.</w:t>
      </w:r>
    </w:p>
    <w:p w:rsidR="002D7693" w:rsidRPr="002D7693" w:rsidRDefault="002D7693" w:rsidP="002D7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ranking remains standards-aligned.</w:t>
      </w:r>
    </w:p>
    <w:p w:rsidR="002D7693" w:rsidRPr="002D7693" w:rsidRDefault="002D7693" w:rsidP="002D7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Cadastral linkage used only for sequencing, not compliance claims.</w:t>
      </w:r>
    </w:p>
    <w:p w:rsidR="002D7693" w:rsidRPr="002D7693" w:rsidRDefault="002D7693" w:rsidP="002D769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Version logging required for:</w:t>
      </w:r>
    </w:p>
    <w:p w:rsidR="002D7693" w:rsidRPr="002D7693" w:rsidRDefault="002D7693" w:rsidP="002D769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changes</w:t>
      </w:r>
    </w:p>
    <w:p w:rsidR="002D7693" w:rsidRPr="002D7693" w:rsidRDefault="002D7693" w:rsidP="002D769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Dataset versions</w:t>
      </w:r>
    </w:p>
    <w:p w:rsidR="002D7693" w:rsidRPr="002D7693" w:rsidRDefault="002D7693" w:rsidP="002D769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Scoring thresholds</w:t>
      </w:r>
    </w:p>
    <w:p w:rsidR="002D7693" w:rsidRPr="002D7693" w:rsidRDefault="008248B7" w:rsidP="002D769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48B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D7693" w:rsidRPr="002D7693" w:rsidRDefault="002D7693" w:rsidP="002D76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Strategic Outcome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execution layer transforms Gondwana Phase 1 from: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 biodiversity mapping exercise”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into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 coordinated ecological engagement programme across legally defined land units.”</w:t>
      </w:r>
    </w:p>
    <w:p w:rsidR="002D7693" w:rsidRPr="002D7693" w:rsidRDefault="002D7693" w:rsidP="002D76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enables:</w:t>
      </w:r>
    </w:p>
    <w:p w:rsidR="002D7693" w:rsidRPr="002D7693" w:rsidRDefault="002D7693" w:rsidP="002D769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Faster early wins</w:t>
      </w:r>
    </w:p>
    <w:p w:rsidR="002D7693" w:rsidRPr="002D7693" w:rsidRDefault="002D7693" w:rsidP="002D769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Visible corridor stitching</w:t>
      </w:r>
    </w:p>
    <w:p w:rsidR="002D7693" w:rsidRPr="002D7693" w:rsidRDefault="002D7693" w:rsidP="002D769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Concentrated sensor deployment</w:t>
      </w:r>
    </w:p>
    <w:p w:rsidR="002D7693" w:rsidRPr="002D7693" w:rsidRDefault="002D7693" w:rsidP="002D769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Credible reporting</w:t>
      </w:r>
    </w:p>
    <w:p w:rsidR="002D7693" w:rsidRPr="002D7693" w:rsidRDefault="002D7693" w:rsidP="002D769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D76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Reduced execution risk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8B7" w:rsidRDefault="008248B7" w:rsidP="00815A10">
      <w:r>
        <w:separator/>
      </w:r>
    </w:p>
  </w:endnote>
  <w:endnote w:type="continuationSeparator" w:id="0">
    <w:p w:rsidR="008248B7" w:rsidRDefault="008248B7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8B7" w:rsidRDefault="008248B7" w:rsidP="00815A10">
      <w:r>
        <w:separator/>
      </w:r>
    </w:p>
  </w:footnote>
  <w:footnote w:type="continuationSeparator" w:id="0">
    <w:p w:rsidR="008248B7" w:rsidRDefault="008248B7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4A7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590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587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745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D6AF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D3DB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F012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339F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F049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539B"/>
    <w:multiLevelType w:val="multilevel"/>
    <w:tmpl w:val="58DE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E5AA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6799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7"/>
  </w:num>
  <w:num w:numId="2" w16cid:durableId="1714115399">
    <w:abstractNumId w:val="13"/>
  </w:num>
  <w:num w:numId="3" w16cid:durableId="205603462">
    <w:abstractNumId w:val="2"/>
  </w:num>
  <w:num w:numId="4" w16cid:durableId="360018075">
    <w:abstractNumId w:val="23"/>
  </w:num>
  <w:num w:numId="5" w16cid:durableId="1071542414">
    <w:abstractNumId w:val="15"/>
  </w:num>
  <w:num w:numId="6" w16cid:durableId="687752655">
    <w:abstractNumId w:val="12"/>
  </w:num>
  <w:num w:numId="7" w16cid:durableId="2086031260">
    <w:abstractNumId w:val="19"/>
  </w:num>
  <w:num w:numId="8" w16cid:durableId="525797403">
    <w:abstractNumId w:val="22"/>
  </w:num>
  <w:num w:numId="9" w16cid:durableId="1864662065">
    <w:abstractNumId w:val="7"/>
  </w:num>
  <w:num w:numId="10" w16cid:durableId="2098479066">
    <w:abstractNumId w:val="14"/>
  </w:num>
  <w:num w:numId="11" w16cid:durableId="1186404522">
    <w:abstractNumId w:val="24"/>
  </w:num>
  <w:num w:numId="12" w16cid:durableId="850947944">
    <w:abstractNumId w:val="26"/>
  </w:num>
  <w:num w:numId="13" w16cid:durableId="73018751">
    <w:abstractNumId w:val="11"/>
  </w:num>
  <w:num w:numId="14" w16cid:durableId="158037431">
    <w:abstractNumId w:val="6"/>
  </w:num>
  <w:num w:numId="15" w16cid:durableId="394204387">
    <w:abstractNumId w:val="10"/>
  </w:num>
  <w:num w:numId="16" w16cid:durableId="958103432">
    <w:abstractNumId w:val="0"/>
  </w:num>
  <w:num w:numId="17" w16cid:durableId="887490758">
    <w:abstractNumId w:val="21"/>
  </w:num>
  <w:num w:numId="18" w16cid:durableId="853226321">
    <w:abstractNumId w:val="1"/>
  </w:num>
  <w:num w:numId="19" w16cid:durableId="1549338680">
    <w:abstractNumId w:val="3"/>
  </w:num>
  <w:num w:numId="20" w16cid:durableId="243682834">
    <w:abstractNumId w:val="28"/>
  </w:num>
  <w:num w:numId="21" w16cid:durableId="409887811">
    <w:abstractNumId w:val="17"/>
  </w:num>
  <w:num w:numId="22" w16cid:durableId="1300768137">
    <w:abstractNumId w:val="8"/>
  </w:num>
  <w:num w:numId="23" w16cid:durableId="1474255563">
    <w:abstractNumId w:val="9"/>
  </w:num>
  <w:num w:numId="24" w16cid:durableId="781189217">
    <w:abstractNumId w:val="25"/>
  </w:num>
  <w:num w:numId="25" w16cid:durableId="1807626760">
    <w:abstractNumId w:val="18"/>
  </w:num>
  <w:num w:numId="26" w16cid:durableId="284434145">
    <w:abstractNumId w:val="4"/>
  </w:num>
  <w:num w:numId="27" w16cid:durableId="567307278">
    <w:abstractNumId w:val="20"/>
  </w:num>
  <w:num w:numId="28" w16cid:durableId="1350183252">
    <w:abstractNumId w:val="5"/>
  </w:num>
  <w:num w:numId="29" w16cid:durableId="1294750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93"/>
    <w:rsid w:val="0019653B"/>
    <w:rsid w:val="002D7693"/>
    <w:rsid w:val="005A1B2F"/>
    <w:rsid w:val="006C421F"/>
    <w:rsid w:val="00794B9C"/>
    <w:rsid w:val="007A04B4"/>
    <w:rsid w:val="00815A10"/>
    <w:rsid w:val="00821F2F"/>
    <w:rsid w:val="008248B7"/>
    <w:rsid w:val="008F3DC3"/>
    <w:rsid w:val="00CA762F"/>
    <w:rsid w:val="00DC690B"/>
    <w:rsid w:val="00E40C24"/>
    <w:rsid w:val="00E711A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27A1"/>
  <w15:chartTrackingRefBased/>
  <w15:docId w15:val="{39E2B110-C788-D544-A4E7-468822E6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customStyle="1" w:styleId="relative">
    <w:name w:val="relative"/>
    <w:basedOn w:val="DefaultParagraphFont"/>
    <w:rsid w:val="002D7693"/>
  </w:style>
  <w:style w:type="paragraph" w:customStyle="1" w:styleId="not-prose">
    <w:name w:val="not-prose"/>
    <w:basedOn w:val="Normal"/>
    <w:rsid w:val="002D76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6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11</TotalTime>
  <Pages>5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2</cp:revision>
  <cp:lastPrinted>2026-01-08T05:04:00Z</cp:lastPrinted>
  <dcterms:created xsi:type="dcterms:W3CDTF">2026-02-16T06:29:00Z</dcterms:created>
  <dcterms:modified xsi:type="dcterms:W3CDTF">2026-02-16T21:29:00Z</dcterms:modified>
</cp:coreProperties>
</file>