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 Acoustic Sensor Deployment</w:t>
        <w:br/>
        <w:t>Corridor-First Model (Founding 50)</w:t>
      </w:r>
    </w:p>
    <w:p>
      <w:pPr>
        <w:jc w:val="center"/>
      </w:pPr>
      <w:r>
        <w:rPr>
          <w:sz w:val="22"/>
        </w:rPr>
        <w:t>4.2 km radius centred on 81 Boscombe Rd, Brookfield (Gondwana cluster)</w:t>
        <w:br/>
        <w:t>Restoration mode | 1 km x 1 km targeting grid | 50 sensor cap</w:t>
      </w:r>
    </w:p>
    <w:p/>
    <w:p>
      <w:pPr>
        <w:pStyle w:val="Heading1"/>
      </w:pPr>
      <w:r>
        <w:t>1. Executive Summary</w:t>
      </w:r>
    </w:p>
    <w:p>
      <w:r>
        <w:t>Phase 1 establishes a 50-node acoustic observatory using a corridor-first deployment strategy. The network is anchored by two existing seed nodes: Gondwana (mapped watercourse on-property) and Andrew Grace (Gold Creek frontage). Deployment prioritises hydrological connectivity (headwaters → tributary → river) and restoration leverage, enabling defensible measurement of biodiversity response while remaining practical to implement and scale.</w:t>
      </w:r>
    </w:p>
    <w:p>
      <w:r>
        <w:t>Figure 1. Conceptual corridor structure (schematic).</w:t>
      </w:r>
    </w:p>
    <w:p>
      <w:r>
        <w:drawing>
          <wp:inline xmlns:a="http://schemas.openxmlformats.org/drawingml/2006/main" xmlns:pic="http://schemas.openxmlformats.org/drawingml/2006/picture">
            <wp:extent cx="5669280" cy="5809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0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Corridor-First Deployment Bands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Sensors</w:t>
            </w:r>
          </w:p>
        </w:tc>
        <w:tc>
          <w:tcPr>
            <w:tcW w:type="dxa" w:w="2160"/>
          </w:tcPr>
          <w:p>
            <w:r>
              <w:t>Why it matters (Phase 1)</w:t>
            </w:r>
          </w:p>
        </w:tc>
      </w:tr>
      <w:tr>
        <w:tc>
          <w:tcPr>
            <w:tcW w:type="dxa" w:w="2160"/>
          </w:tcPr>
          <w:p>
            <w:r>
              <w:t>Band 1</w:t>
            </w:r>
          </w:p>
        </w:tc>
        <w:tc>
          <w:tcPr>
            <w:tcW w:type="dxa" w:w="2160"/>
          </w:tcPr>
          <w:p>
            <w:r>
              <w:t>Gold Creek spine (primary tributary corridor)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Highest leverage corridor for movement, riparian specialists, and HLW alignment.</w:t>
            </w:r>
          </w:p>
        </w:tc>
      </w:tr>
      <w:tr>
        <w:tc>
          <w:tcPr>
            <w:tcW w:type="dxa" w:w="2160"/>
          </w:tcPr>
          <w:p>
            <w:r>
              <w:t>Band 2</w:t>
            </w:r>
          </w:p>
        </w:tc>
        <w:tc>
          <w:tcPr>
            <w:tcW w:type="dxa" w:w="2160"/>
          </w:tcPr>
          <w:p>
            <w:r>
              <w:t>Gondwana feeder micro-catchment (mapped watercourse + adjacent feeders)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Headwater integrity and feeder-to-tributary continuity.</w:t>
            </w:r>
          </w:p>
        </w:tc>
      </w:tr>
      <w:tr>
        <w:tc>
          <w:tcPr>
            <w:tcW w:type="dxa" w:w="2160"/>
          </w:tcPr>
          <w:p>
            <w:r>
              <w:t>Band 3</w:t>
            </w:r>
          </w:p>
        </w:tc>
        <w:tc>
          <w:tcPr>
            <w:tcW w:type="dxa" w:w="2160"/>
          </w:tcPr>
          <w:p>
            <w:r>
              <w:t>Riparian buffer halo (edge and transition zones)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Captures edge effects and uplift response outward from corridors.</w:t>
            </w:r>
          </w:p>
        </w:tc>
      </w:tr>
      <w:tr>
        <w:tc>
          <w:tcPr>
            <w:tcW w:type="dxa" w:w="2160"/>
          </w:tcPr>
          <w:p>
            <w:r>
              <w:t>Band 4</w:t>
            </w:r>
          </w:p>
        </w:tc>
        <w:tc>
          <w:tcPr>
            <w:tcW w:type="dxa" w:w="2160"/>
          </w:tcPr>
          <w:p>
            <w:r>
              <w:t>Ridge &amp; upland connectors (stepping stones between corridors)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Captures cross-corridor movement and fragmentation risk.</w:t>
            </w:r>
          </w:p>
        </w:tc>
      </w:tr>
      <w:tr>
        <w:tc>
          <w:tcPr>
            <w:tcW w:type="dxa" w:w="2160"/>
          </w:tcPr>
          <w:p>
            <w:r>
              <w:t>Band 5</w:t>
            </w:r>
          </w:p>
        </w:tc>
        <w:tc>
          <w:tcPr>
            <w:tcW w:type="dxa" w:w="2160"/>
          </w:tcPr>
          <w:p>
            <w:r>
              <w:t>Interior controls &amp; mosaic tiles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Baseline/control sites and high-uplift conversion targets.</w:t>
            </w:r>
          </w:p>
        </w:tc>
      </w:tr>
    </w:tbl>
    <w:p/>
    <w:p>
      <w:r>
        <w:t>Figure 2. 1 km tiles showing band assignment and initial sensor allocation (numbers indicate sensors per tile).</w:t>
      </w:r>
    </w:p>
    <w:p>
      <w:r>
        <w:drawing>
          <wp:inline xmlns:a="http://schemas.openxmlformats.org/drawingml/2006/main" xmlns:pic="http://schemas.openxmlformats.org/drawingml/2006/picture">
            <wp:extent cx="5760720" cy="5886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ile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1 km x 1 km Tile Targeting and Allocation</w:t>
      </w:r>
    </w:p>
    <w:p>
      <w:r>
        <w:t>The 4.2 km radius footprint is tessellated into 1 km x 1 km tiles. Tiles are prioritised by proximity to (a) the Gold Creek corridor line, (b) the Gondwana feeder watercourse line, and (c) connector geography between the two. This creates a repeatable, scalable framework: replace the corridor lines with mapped waterway centreline(s) and tributaries for any new region, then score tiles by corridor distance and connectivity.</w:t>
      </w:r>
    </w:p>
    <w:p>
      <w:r>
        <w:t>Table 2. Top priority tiles (illustrative IDs are relative offsets in km from the centre; Band and sensors indicate Phase 1 placement).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Tile ID</w:t>
            </w:r>
          </w:p>
        </w:tc>
        <w:tc>
          <w:tcPr>
            <w:tcW w:type="dxa" w:w="1728"/>
          </w:tcPr>
          <w:p>
            <w:r>
              <w:t>Band</w:t>
            </w:r>
          </w:p>
        </w:tc>
        <w:tc>
          <w:tcPr>
            <w:tcW w:type="dxa" w:w="1728"/>
          </w:tcPr>
          <w:p>
            <w:r>
              <w:t>Sensors</w:t>
            </w:r>
          </w:p>
        </w:tc>
        <w:tc>
          <w:tcPr>
            <w:tcW w:type="dxa" w:w="1728"/>
          </w:tcPr>
          <w:p>
            <w:r>
              <w:t>Distance to Gold Creek line (km)</w:t>
            </w:r>
          </w:p>
        </w:tc>
        <w:tc>
          <w:tcPr>
            <w:tcW w:type="dxa" w:w="1728"/>
          </w:tcPr>
          <w:p>
            <w:r>
              <w:t>Distance to Gondwana feeder line (km)</w:t>
            </w:r>
          </w:p>
        </w:tc>
      </w:tr>
      <w:tr>
        <w:tc>
          <w:tcPr>
            <w:tcW w:type="dxa" w:w="1728"/>
          </w:tcPr>
          <w:p>
            <w:r>
              <w:t>T(+0,+0)</w:t>
            </w:r>
          </w:p>
        </w:tc>
        <w:tc>
          <w:tcPr>
            <w:tcW w:type="dxa" w:w="1728"/>
          </w:tcPr>
          <w:p>
            <w:r>
              <w:t>Band 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T(+2,-3)</w:t>
            </w:r>
          </w:p>
        </w:tc>
        <w:tc>
          <w:tcPr>
            <w:tcW w:type="dxa" w:w="1728"/>
          </w:tcPr>
          <w:p>
            <w:r>
              <w:t>Band 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1.81</w:t>
            </w:r>
          </w:p>
        </w:tc>
      </w:tr>
      <w:tr>
        <w:tc>
          <w:tcPr>
            <w:tcW w:type="dxa" w:w="1728"/>
          </w:tcPr>
          <w:p>
            <w:r>
              <w:t>T(+1,-1)</w:t>
            </w:r>
          </w:p>
        </w:tc>
        <w:tc>
          <w:tcPr>
            <w:tcW w:type="dxa" w:w="1728"/>
          </w:tcPr>
          <w:p>
            <w:r>
              <w:t>Band 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</w:tr>
      <w:tr>
        <w:tc>
          <w:tcPr>
            <w:tcW w:type="dxa" w:w="1728"/>
          </w:tcPr>
          <w:p>
            <w:r>
              <w:t>T(-1,+2)</w:t>
            </w:r>
          </w:p>
        </w:tc>
        <w:tc>
          <w:tcPr>
            <w:tcW w:type="dxa" w:w="1728"/>
          </w:tcPr>
          <w:p>
            <w:r>
              <w:t>Band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</w:tr>
      <w:tr>
        <w:tc>
          <w:tcPr>
            <w:tcW w:type="dxa" w:w="1728"/>
          </w:tcPr>
          <w:p>
            <w:r>
              <w:t>T(+0,+1)</w:t>
            </w:r>
          </w:p>
        </w:tc>
        <w:tc>
          <w:tcPr>
            <w:tcW w:type="dxa" w:w="1728"/>
          </w:tcPr>
          <w:p>
            <w:r>
              <w:t>Band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T(+0,-1)</w:t>
            </w:r>
          </w:p>
        </w:tc>
        <w:tc>
          <w:tcPr>
            <w:tcW w:type="dxa" w:w="1728"/>
          </w:tcPr>
          <w:p>
            <w:r>
              <w:t>Band 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  <w:tr>
        <w:tc>
          <w:tcPr>
            <w:tcW w:type="dxa" w:w="1728"/>
          </w:tcPr>
          <w:p>
            <w:r>
              <w:t>T(+0,-2)</w:t>
            </w:r>
          </w:p>
        </w:tc>
        <w:tc>
          <w:tcPr>
            <w:tcW w:type="dxa" w:w="1728"/>
          </w:tcPr>
          <w:p>
            <w:r>
              <w:t>Band 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T(+0,-3)</w:t>
            </w:r>
          </w:p>
        </w:tc>
        <w:tc>
          <w:tcPr>
            <w:tcW w:type="dxa" w:w="1728"/>
          </w:tcPr>
          <w:p>
            <w:r>
              <w:t>Band 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1.74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</w:tr>
      <w:tr>
        <w:tc>
          <w:tcPr>
            <w:tcW w:type="dxa" w:w="1728"/>
          </w:tcPr>
          <w:p>
            <w:r>
              <w:t>T(+1,-2)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</w:tr>
      <w:tr>
        <w:tc>
          <w:tcPr>
            <w:tcW w:type="dxa" w:w="1728"/>
          </w:tcPr>
          <w:p>
            <w:r>
              <w:t>T(+2,-2)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</w:tr>
      <w:tr>
        <w:tc>
          <w:tcPr>
            <w:tcW w:type="dxa" w:w="1728"/>
          </w:tcPr>
          <w:p>
            <w:r>
              <w:t>T(-1,+3)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3.16</w:t>
            </w:r>
          </w:p>
        </w:tc>
      </w:tr>
      <w:tr>
        <w:tc>
          <w:tcPr>
            <w:tcW w:type="dxa" w:w="1728"/>
          </w:tcPr>
          <w:p>
            <w:r>
              <w:t>T(+1,+0)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T(-1,+1)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</w:tr>
      <w:tr>
        <w:tc>
          <w:tcPr>
            <w:tcW w:type="dxa" w:w="1728"/>
          </w:tcPr>
          <w:p>
            <w:r>
              <w:t>T(+0,+2)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</w:tr>
      <w:tr>
        <w:tc>
          <w:tcPr>
            <w:tcW w:type="dxa" w:w="1728"/>
          </w:tcPr>
          <w:p>
            <w:r>
              <w:t>T(+1,-3)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</w:tr>
      <w:tr>
        <w:tc>
          <w:tcPr>
            <w:tcW w:type="dxa" w:w="1728"/>
          </w:tcPr>
          <w:p>
            <w:r>
              <w:t>T(+2,-1)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</w:tr>
      <w:tr>
        <w:tc>
          <w:tcPr>
            <w:tcW w:type="dxa" w:w="1728"/>
          </w:tcPr>
          <w:p>
            <w:r>
              <w:t>T(-1,+0)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T(+2,-4)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2.16</w:t>
            </w:r>
          </w:p>
        </w:tc>
      </w:tr>
      <w:tr>
        <w:tc>
          <w:tcPr>
            <w:tcW w:type="dxa" w:w="1728"/>
          </w:tcPr>
          <w:p>
            <w:r>
              <w:t>T(+3,-3)</w:t>
            </w:r>
          </w:p>
        </w:tc>
        <w:tc>
          <w:tcPr>
            <w:tcW w:type="dxa" w:w="1728"/>
          </w:tcPr>
          <w:p>
            <w:r>
              <w:t>Band 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2.81</w:t>
            </w:r>
          </w:p>
        </w:tc>
      </w:tr>
      <w:tr>
        <w:tc>
          <w:tcPr>
            <w:tcW w:type="dxa" w:w="1728"/>
          </w:tcPr>
          <w:p>
            <w:r>
              <w:t>T(-2,+2)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2.83</w:t>
            </w:r>
          </w:p>
        </w:tc>
      </w:tr>
      <w:tr>
        <w:tc>
          <w:tcPr>
            <w:tcW w:type="dxa" w:w="1728"/>
          </w:tcPr>
          <w:p>
            <w:r>
              <w:t>T(-2,+3)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3.61</w:t>
            </w:r>
          </w:p>
        </w:tc>
      </w:tr>
      <w:tr>
        <w:tc>
          <w:tcPr>
            <w:tcW w:type="dxa" w:w="1728"/>
          </w:tcPr>
          <w:p>
            <w:r>
              <w:t>T(+0,+3)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T(-1,+4)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1.59</w:t>
            </w:r>
          </w:p>
        </w:tc>
        <w:tc>
          <w:tcPr>
            <w:tcW w:type="dxa" w:w="1728"/>
          </w:tcPr>
          <w:p>
            <w:r>
              <w:t>4.12</w:t>
            </w:r>
          </w:p>
        </w:tc>
      </w:tr>
      <w:tr>
        <w:tc>
          <w:tcPr>
            <w:tcW w:type="dxa" w:w="1728"/>
          </w:tcPr>
          <w:p>
            <w:r>
              <w:t>T(+1,+2)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1.61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</w:tr>
      <w:tr>
        <w:tc>
          <w:tcPr>
            <w:tcW w:type="dxa" w:w="1728"/>
          </w:tcPr>
          <w:p>
            <w:r>
              <w:t>T(-2,+4)</w:t>
            </w:r>
          </w:p>
        </w:tc>
        <w:tc>
          <w:tcPr>
            <w:tcW w:type="dxa" w:w="1728"/>
          </w:tcPr>
          <w:p>
            <w:r>
              <w:t>Band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4.47</w:t>
            </w:r>
          </w:p>
        </w:tc>
      </w:tr>
    </w:tbl>
    <w:p>
      <w:pPr>
        <w:pStyle w:val="Heading1"/>
      </w:pPr>
      <w:r>
        <w:t>4. Wave 1-3 Invitation Sequence (Terra → Founding 50)</w:t>
      </w:r>
    </w:p>
    <w:p>
      <w:r>
        <w:t>Sequencing choice: Terra Free launches first to build uptake and social proof, then Founding 50 invitations are selectively issued to the highest-priority corridor tiles. This avoids premature scarcity signalling and increases conversion when scarcity is introduced.</w:t>
      </w:r>
    </w:p>
    <w:p>
      <w:r>
        <w:t>Figure 3. Indicative rollout timeline (weeks).</w:t>
      </w:r>
    </w:p>
    <w:p>
      <w:r>
        <w:drawing>
          <wp:inline xmlns:a="http://schemas.openxmlformats.org/drawingml/2006/main" xmlns:pic="http://schemas.openxmlformats.org/drawingml/2006/picture">
            <wp:extent cx="5760720" cy="1515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Wave definitions:</w:t>
      </w:r>
    </w:p>
    <w:p>
      <w:pPr>
        <w:ind w:left="360"/>
      </w:pPr>
      <w:r>
        <w:t>Wave 1: Band 1 tiles (Gold Creek spine) – first invitations; fastest corridor density build; strong HLW narrative.</w:t>
      </w:r>
    </w:p>
    <w:p>
      <w:pPr>
        <w:ind w:left="360"/>
      </w:pPr>
      <w:r>
        <w:t>Wave 2: Band 2-3 tiles (Gondwana feeder + riparian halo) – extends upstream integrity and edge-response capture.</w:t>
      </w:r>
    </w:p>
    <w:p>
      <w:pPr>
        <w:ind w:left="360"/>
      </w:pPr>
      <w:r>
        <w:t>Wave 3: Band 4-5 tiles (connectors + controls) – completes connectivity and embeds controls for defensibility.</w:t>
      </w:r>
    </w:p>
    <w:p>
      <w:pPr>
        <w:pStyle w:val="Heading1"/>
      </w:pPr>
      <w:r>
        <w:t>5. Acoustic Coverage Overlap (Parameterised)</w:t>
      </w:r>
    </w:p>
    <w:p>
      <w:r>
        <w:t>Effective acoustic detection range varies by species, habitat structure, microphone, weather, and noise. For planning, treat detection radius as a tunable parameter (r). Coverage footprint per sensor is approximately πr², but overlap is desirable along corridors to ensure continuity and resilience to noise/obstruction.</w:t>
      </w:r>
    </w:p>
    <w:p>
      <w:r>
        <w:t>Figure 4. Layout with illustrative footprints (250 m and 500 m) shown for scale; use real-world calibration once sensors are deployed.</w:t>
      </w:r>
    </w:p>
    <w:p>
      <w:r>
        <w:drawing>
          <wp:inline xmlns:a="http://schemas.openxmlformats.org/drawingml/2006/main" xmlns:pic="http://schemas.openxmlformats.org/drawingml/2006/picture">
            <wp:extent cx="5760720" cy="5902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Practical corridor spacing guidance (rule-of-thumb):</w:t>
      </w:r>
    </w:p>
    <w:p>
      <w:pPr>
        <w:ind w:left="360"/>
      </w:pPr>
      <w:r>
        <w:t>Corridor continuity: aim for centre-to-centre spacing of ~0.8r to 1.5r along the creek line, depending on vegetation density and ambient noise.</w:t>
      </w:r>
    </w:p>
    <w:p>
      <w:pPr>
        <w:ind w:left="360"/>
      </w:pPr>
      <w:r>
        <w:t>Junctions and transition zones: increase density (shorter spacing) where tributaries meet or habitat changes sharply.</w:t>
      </w:r>
    </w:p>
    <w:p>
      <w:pPr>
        <w:ind w:left="360"/>
      </w:pPr>
      <w:r>
        <w:t>Controls: place farther apart; controls are for contrast, not corridor continuity.</w:t>
      </w:r>
    </w:p>
    <w:p>
      <w:pPr>
        <w:pStyle w:val="Heading1"/>
      </w:pPr>
      <w:r>
        <w:t>6. Scenario Comparison (30 vs 50 vs 70 Sensors)</w:t>
      </w:r>
    </w:p>
    <w:p>
      <w:r>
        <w:t>The table below provides indicative network density metrics for the 4.2 km radius footprint (area ≈ 55.4 km²). Nearest-neighbour spacing is shown as a baseline expectation for a random distribution; corridor-first placement will be denser on waterways and sparser in the interior.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Average area per sensor (km²)</w:t>
            </w:r>
          </w:p>
        </w:tc>
        <w:tc>
          <w:tcPr>
            <w:tcW w:type="dxa" w:w="2160"/>
          </w:tcPr>
          <w:p>
            <w:r>
              <w:t>Sensors per km²</w:t>
            </w:r>
          </w:p>
        </w:tc>
        <w:tc>
          <w:tcPr>
            <w:tcW w:type="dxa" w:w="2160"/>
          </w:tcPr>
          <w:p>
            <w:r>
              <w:t>Expected nearest-neighbour distance (km, random baseline)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1.85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0.44</w:t>
            </w:r>
          </w:p>
        </w:tc>
      </w:tr>
    </w:tbl>
    <w:p>
      <w:r>
        <w:t>Interpretation for Phase 1:</w:t>
      </w:r>
    </w:p>
    <w:p>
      <w:pPr>
        <w:ind w:left="360"/>
      </w:pPr>
      <w:r>
        <w:t>30 sensors: viable for corridor proof-of-concept, but less robust for tile-level classification and edge-effect modelling.</w:t>
      </w:r>
    </w:p>
    <w:p>
      <w:pPr>
        <w:ind w:left="360"/>
      </w:pPr>
      <w:r>
        <w:t>50 sensors (chosen): strong balance of scientific defensibility and practical rollout; supports corridor continuity + controls.</w:t>
      </w:r>
    </w:p>
    <w:p>
      <w:pPr>
        <w:ind w:left="360"/>
      </w:pPr>
      <w:r>
        <w:t>70 sensors: increases redundancy and spatial resolution, but raises cost/coordination burden; best reserved for Phase 2 expansion once conversions are proven.</w:t>
      </w:r>
    </w:p>
    <w:p>
      <w:pPr>
        <w:pStyle w:val="Heading1"/>
      </w:pPr>
      <w:r>
        <w:t>7. Repeatable Method (How to Replicate in Any Region)</w:t>
      </w:r>
    </w:p>
    <w:p>
      <w:r>
        <w:t>1. Set centre point and radius (e.g., 4.2 km).</w:t>
      </w:r>
    </w:p>
    <w:p>
      <w:r>
        <w:t>2. Generate 1 km x 1 km tile grid intersecting the radius.</w:t>
      </w:r>
    </w:p>
    <w:p>
      <w:r>
        <w:t>3. Import/trace waterway centrelines (primary tributary + key feeders).</w:t>
      </w:r>
    </w:p>
    <w:p>
      <w:r>
        <w:t>4. Score each tile on: (a) distance-to-waterway, (b) corridor connectivity (adjacent waterway tiles), (c) vegetation/remnant proxy, (d) restoration leverage (edge + opportunity).</w:t>
      </w:r>
    </w:p>
    <w:p>
      <w:r>
        <w:t>5. Assign bands (1-5) and allocate sensors per band (e.g., 18/10/8/8/6).</w:t>
      </w:r>
    </w:p>
    <w:p>
      <w:r>
        <w:t>6. Run Terra Free for 2-4 weeks to build uptake, then issue invitations Wave 1 → 2 → 3 based on band priority.</w:t>
      </w:r>
    </w:p>
    <w:p>
      <w:r>
        <w:t>7. Calibrate effective acoustic radius in-field and adjust spacing/overlap rules for the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