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Terra EOS</w:t>
      </w:r>
    </w:p>
    <w:p>
      <w:pPr>
        <w:jc w:val="center"/>
      </w:pPr>
      <w:r>
        <w:rPr>
          <w:i/>
        </w:rPr>
        <w:t>Design Directives &amp; Implementation Guidance</w:t>
      </w:r>
    </w:p>
    <w:p>
      <w:r>
        <w:t>Supplementary guidance provided during development, to be read alongside the core PRD.</w:t>
      </w:r>
    </w:p>
    <w:p/>
    <w:p>
      <w:pPr>
        <w:pStyle w:val="Heading1"/>
      </w:pPr>
      <w:r>
        <w:t>1. Visual Design: Earth-Tone Palette</w:t>
      </w:r>
    </w:p>
    <w:p>
      <w:pPr>
        <w:pStyle w:val="Heading2"/>
      </w:pPr>
      <w:r>
        <w:t>Rationale</w:t>
      </w:r>
    </w:p>
    <w:p>
      <w:r>
        <w:t>Grid overlays should feel like they "emerged from the land" — not like a heatmap or traffic light system. The palette must remain readable on satellite imagery without overwhelming the landscape itself.</w:t>
      </w:r>
    </w:p>
    <w:p>
      <w:pPr>
        <w:pStyle w:val="Heading2"/>
      </w:pPr>
      <w:r>
        <w:t>Palette Specification (6-step gradient)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Score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Color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Hex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RGBA Fill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1728"/>
          </w:tcPr>
          <w:p>
            <w:r>
              <w:t>80–100</w:t>
            </w:r>
          </w:p>
        </w:tc>
        <w:tc>
          <w:tcPr>
            <w:tcW w:type="dxa" w:w="1728"/>
          </w:tcPr>
          <w:p>
            <w:r>
              <w:t>Rich forest</w:t>
            </w:r>
          </w:p>
        </w:tc>
        <w:tc>
          <w:tcPr>
            <w:tcW w:type="dxa" w:w="1728"/>
          </w:tcPr>
          <w:p>
            <w:r>
              <w:t>#2E5A27</w:t>
            </w:r>
          </w:p>
        </w:tc>
        <w:tc>
          <w:tcPr>
            <w:tcW w:type="dxa" w:w="1728"/>
          </w:tcPr>
          <w:p>
            <w:r>
              <w:t>rgba(46, 90, 39, 0.45)</w:t>
            </w:r>
          </w:p>
        </w:tc>
        <w:tc>
          <w:tcPr>
            <w:tcW w:type="dxa" w:w="1728"/>
          </w:tcPr>
          <w:p>
            <w:r>
              <w:t>Remnant vegetation cores</w:t>
            </w:r>
          </w:p>
        </w:tc>
      </w:tr>
      <w:tr>
        <w:tc>
          <w:tcPr>
            <w:tcW w:type="dxa" w:w="1728"/>
          </w:tcPr>
          <w:p>
            <w:r>
              <w:t>65–79</w:t>
            </w:r>
          </w:p>
        </w:tc>
        <w:tc>
          <w:tcPr>
            <w:tcW w:type="dxa" w:w="1728"/>
          </w:tcPr>
          <w:p>
            <w:r>
              <w:t>Deep olive</w:t>
            </w:r>
          </w:p>
        </w:tc>
        <w:tc>
          <w:tcPr>
            <w:tcW w:type="dxa" w:w="1728"/>
          </w:tcPr>
          <w:p>
            <w:r>
              <w:t>#556B2F</w:t>
            </w:r>
          </w:p>
        </w:tc>
        <w:tc>
          <w:tcPr>
            <w:tcW w:type="dxa" w:w="1728"/>
          </w:tcPr>
          <w:p>
            <w:r>
              <w:t>rgba(85, 107, 47, 0.42)</w:t>
            </w:r>
          </w:p>
        </w:tc>
        <w:tc>
          <w:tcPr>
            <w:tcW w:type="dxa" w:w="1728"/>
          </w:tcPr>
          <w:p>
            <w:r>
              <w:t>Strategic ecological value</w:t>
            </w:r>
          </w:p>
        </w:tc>
      </w:tr>
      <w:tr>
        <w:tc>
          <w:tcPr>
            <w:tcW w:type="dxa" w:w="1728"/>
          </w:tcPr>
          <w:p>
            <w:r>
              <w:t>50–64</w:t>
            </w:r>
          </w:p>
        </w:tc>
        <w:tc>
          <w:tcPr>
            <w:tcW w:type="dxa" w:w="1728"/>
          </w:tcPr>
          <w:p>
            <w:r>
              <w:t>Sage green</w:t>
            </w:r>
          </w:p>
        </w:tc>
        <w:tc>
          <w:tcPr>
            <w:tcW w:type="dxa" w:w="1728"/>
          </w:tcPr>
          <w:p>
            <w:r>
              <w:t>#6B8E23</w:t>
            </w:r>
          </w:p>
        </w:tc>
        <w:tc>
          <w:tcPr>
            <w:tcW w:type="dxa" w:w="1728"/>
          </w:tcPr>
          <w:p>
            <w:r>
              <w:t>rgba(107, 142, 35, 0.38)</w:t>
            </w:r>
          </w:p>
        </w:tc>
        <w:tc>
          <w:tcPr>
            <w:tcW w:type="dxa" w:w="1728"/>
          </w:tcPr>
          <w:p>
            <w:r>
              <w:t>High uplift potential</w:t>
            </w:r>
          </w:p>
        </w:tc>
      </w:tr>
      <w:tr>
        <w:tc>
          <w:tcPr>
            <w:tcW w:type="dxa" w:w="1728"/>
          </w:tcPr>
          <w:p>
            <w:r>
              <w:t>35–49</w:t>
            </w:r>
          </w:p>
        </w:tc>
        <w:tc>
          <w:tcPr>
            <w:tcW w:type="dxa" w:w="1728"/>
          </w:tcPr>
          <w:p>
            <w:r>
              <w:t>Warm amber</w:t>
            </w:r>
          </w:p>
        </w:tc>
        <w:tc>
          <w:tcPr>
            <w:tcW w:type="dxa" w:w="1728"/>
          </w:tcPr>
          <w:p>
            <w:r>
              <w:t>#B8860B</w:t>
            </w:r>
          </w:p>
        </w:tc>
        <w:tc>
          <w:tcPr>
            <w:tcW w:type="dxa" w:w="1728"/>
          </w:tcPr>
          <w:p>
            <w:r>
              <w:t>rgba(184, 134, 11, 0.35)</w:t>
            </w:r>
          </w:p>
        </w:tc>
        <w:tc>
          <w:tcPr>
            <w:tcW w:type="dxa" w:w="1728"/>
          </w:tcPr>
          <w:p>
            <w:r>
              <w:t>Corridor support areas</w:t>
            </w:r>
          </w:p>
        </w:tc>
      </w:tr>
      <w:tr>
        <w:tc>
          <w:tcPr>
            <w:tcW w:type="dxa" w:w="1728"/>
          </w:tcPr>
          <w:p>
            <w:r>
              <w:t>20–34</w:t>
            </w:r>
          </w:p>
        </w:tc>
        <w:tc>
          <w:tcPr>
            <w:tcW w:type="dxa" w:w="1728"/>
          </w:tcPr>
          <w:p>
            <w:r>
              <w:t>Sandy brown</w:t>
            </w:r>
          </w:p>
        </w:tc>
        <w:tc>
          <w:tcPr>
            <w:tcW w:type="dxa" w:w="1728"/>
          </w:tcPr>
          <w:p>
            <w:r>
              <w:t>#C2A478</w:t>
            </w:r>
          </w:p>
        </w:tc>
        <w:tc>
          <w:tcPr>
            <w:tcW w:type="dxa" w:w="1728"/>
          </w:tcPr>
          <w:p>
            <w:r>
              <w:t>rgba(194, 164, 120, 0.32)</w:t>
            </w:r>
          </w:p>
        </w:tc>
        <w:tc>
          <w:tcPr>
            <w:tcW w:type="dxa" w:w="1728"/>
          </w:tcPr>
          <w:p>
            <w:r>
              <w:t>Lower priority</w:t>
            </w:r>
          </w:p>
        </w:tc>
      </w:tr>
      <w:tr>
        <w:tc>
          <w:tcPr>
            <w:tcW w:type="dxa" w:w="1728"/>
          </w:tcPr>
          <w:p>
            <w:r>
              <w:t>0–19</w:t>
            </w:r>
          </w:p>
        </w:tc>
        <w:tc>
          <w:tcPr>
            <w:tcW w:type="dxa" w:w="1728"/>
          </w:tcPr>
          <w:p>
            <w:r>
              <w:t>Light tan</w:t>
            </w:r>
          </w:p>
        </w:tc>
        <w:tc>
          <w:tcPr>
            <w:tcW w:type="dxa" w:w="1728"/>
          </w:tcPr>
          <w:p>
            <w:r>
              <w:t>#D2B48C</w:t>
            </w:r>
          </w:p>
        </w:tc>
        <w:tc>
          <w:tcPr>
            <w:tcW w:type="dxa" w:w="1728"/>
          </w:tcPr>
          <w:p>
            <w:r>
              <w:t>rgba(210, 180, 140, 0.28)</w:t>
            </w:r>
          </w:p>
        </w:tc>
        <w:tc>
          <w:tcPr>
            <w:tcW w:type="dxa" w:w="1728"/>
          </w:tcPr>
          <w:p>
            <w:r>
              <w:t>Baseline landscape</w:t>
            </w:r>
          </w:p>
        </w:tc>
      </w:tr>
    </w:tbl>
    <w:p/>
    <w:p>
      <w:pPr>
        <w:pStyle w:val="Heading2"/>
      </w:pPr>
      <w:r>
        <w:t>Overlay Rules</w:t>
      </w:r>
    </w:p>
    <w:p>
      <w:r>
        <w:t>• Fill opacity: 28–45% (semi-transparent so satellite layer stays visible)</w:t>
      </w:r>
    </w:p>
    <w:p>
      <w:r>
        <w:t>• Stroke: Subtle border (1.5px) at ~60-80% opacity for grid edge legibility</w:t>
      </w:r>
    </w:p>
    <w:p>
      <w:r>
        <w:t>• Stroke color: Same hue as fill, but higher opacity</w:t>
      </w:r>
    </w:p>
    <w:p>
      <w:pPr>
        <w:pStyle w:val="Heading1"/>
      </w:pPr>
      <w:r>
        <w:t>2. Map Implementation: Phased Approach</w:t>
      </w:r>
    </w:p>
    <w:p>
      <w:pPr>
        <w:pStyle w:val="Heading2"/>
      </w:pPr>
      <w:r>
        <w:t>Phase 1: Stabilise (Current)</w:t>
      </w:r>
    </w:p>
    <w:p>
      <w:r>
        <w:t>• Render grid polygons as static overlays</w:t>
      </w:r>
    </w:p>
    <w:p>
      <w:r>
        <w:t>• No tap interactions yet</w:t>
      </w:r>
    </w:p>
    <w:p>
      <w:r>
        <w:t>• Focus on: correct centering, polygon render performance, visual legibility</w:t>
      </w:r>
    </w:p>
    <w:p>
      <w:pPr>
        <w:pStyle w:val="Heading2"/>
      </w:pPr>
      <w:r>
        <w:t>Phase 2: Interaction (Next)</w:t>
      </w:r>
    </w:p>
    <w:p>
      <w:r>
        <w:t>• Add onPress handlers to polygons</w:t>
      </w:r>
    </w:p>
    <w:p>
      <w:r>
        <w:t>• Open simplified "trust-first" grid detail modal</w:t>
      </w:r>
    </w:p>
    <w:p>
      <w:r>
        <w:t>• Animate transitions smoothly</w:t>
      </w:r>
    </w:p>
    <w:p>
      <w:pPr>
        <w:pStyle w:val="Heading2"/>
      </w:pPr>
      <w:r>
        <w:t>Phase 3: Property Claiming</w:t>
      </w:r>
    </w:p>
    <w:p>
      <w:r>
        <w:t>• Connect taps to property claiming flow</w:t>
      </w:r>
    </w:p>
    <w:p>
      <w:r>
        <w:t>• Multi-select for landholders with multiple grids</w:t>
      </w:r>
    </w:p>
    <w:p>
      <w:pPr>
        <w:pStyle w:val="Heading1"/>
      </w:pPr>
      <w:r>
        <w:t>3. Performance Optimisation</w:t>
      </w:r>
    </w:p>
    <w:p>
      <w:pPr>
        <w:pStyle w:val="Heading2"/>
      </w:pPr>
      <w:r>
        <w:t>Polygon Rendering</w:t>
      </w:r>
    </w:p>
    <w:p>
      <w:r>
        <w:t>• Memoize polygons: Use React.memo and useMemo to precompute polygon arrays</w:t>
      </w:r>
    </w:p>
    <w:p>
      <w:r>
        <w:t>• Avoid unnecessary re-renders: Polygon coordinates are static</w:t>
      </w:r>
    </w:p>
    <w:p>
      <w:r>
        <w:t>• Conditional rendering: Only render polygons after onMapReady fires</w:t>
      </w:r>
    </w:p>
    <w:p>
      <w:r>
        <w:t>• Batch state updates: Don't trigger re-renders on every map gesture</w:t>
      </w:r>
    </w:p>
    <w:p>
      <w:pPr>
        <w:pStyle w:val="Heading2"/>
      </w:pPr>
      <w:r>
        <w:t>Data Loading</w:t>
      </w:r>
    </w:p>
    <w:p>
      <w:r>
        <w:t>• Load grid data once on mount</w:t>
      </w:r>
    </w:p>
    <w:p>
      <w:r>
        <w:t>• Cache boundary/grid data in Zustand store</w:t>
      </w:r>
    </w:p>
    <w:p>
      <w:r>
        <w:t>• Consider pagination for future scale (56 grids now, potentially hundreds later)</w:t>
      </w:r>
    </w:p>
    <w:p>
      <w:pPr>
        <w:pStyle w:val="Heading1"/>
      </w:pPr>
      <w:r>
        <w:t>4. Platform Strategy</w:t>
      </w:r>
    </w:p>
    <w:p>
      <w:pPr>
        <w:pStyle w:val="Heading2"/>
      </w:pPr>
      <w:r>
        <w:t>Native (iOS/Android via Expo Go)</w:t>
      </w:r>
    </w:p>
    <w:p>
      <w:r>
        <w:t>• Primary experience: Full satellite map with interactive polygons</w:t>
      </w:r>
    </w:p>
    <w:p>
      <w:r>
        <w:t>• Use react-native-maps with mapType="hybrid"</w:t>
      </w:r>
    </w:p>
    <w:p>
      <w:r>
        <w:t>• Disable unnecessary map features: compass, scale, rotation, pitch</w:t>
      </w:r>
    </w:p>
    <w:p>
      <w:pPr>
        <w:pStyle w:val="Heading2"/>
      </w:pPr>
      <w:r>
        <w:t>Web</w:t>
      </w:r>
    </w:p>
    <w:p>
      <w:r>
        <w:t>• Fallback experience: Not a broken state, but a deliberate redirect</w:t>
      </w:r>
    </w:p>
    <w:p>
      <w:r>
        <w:t>• Show Terra branding, stats summary, sample parcels</w:t>
      </w:r>
    </w:p>
    <w:p>
      <w:r>
        <w:t>• Clear messaging: "The full map experience is on mobile"</w:t>
      </w:r>
    </w:p>
    <w:p>
      <w:r>
        <w:t>• Maintain trust-first aesthetic</w:t>
      </w:r>
    </w:p>
    <w:p>
      <w:pPr>
        <w:pStyle w:val="Heading2"/>
      </w:pPr>
      <w:r>
        <w:t>Technical Pattern</w:t>
      </w:r>
    </w:p>
    <w:p>
      <w:r>
        <w:t>• Single file with conditional rendering (Platform.OS === 'web')</w:t>
      </w:r>
    </w:p>
    <w:p>
      <w:r>
        <w:t>• Native-only code isolated in components that web never calls</w:t>
      </w:r>
    </w:p>
    <w:p>
      <w:r>
        <w:t>• Avoid platform-specific file extensions for route files (Metro bundling issues)</w:t>
      </w:r>
    </w:p>
    <w:p>
      <w:pPr>
        <w:pStyle w:val="Heading1"/>
      </w:pPr>
      <w:r>
        <w:t>5. Iteration Philosophy</w:t>
      </w:r>
    </w:p>
    <w:p>
      <w:pPr>
        <w:pStyle w:val="Heading2"/>
      </w:pPr>
      <w:r>
        <w:t>"Stabilise, then Enhance"</w:t>
      </w:r>
    </w:p>
    <w:p>
      <w:r>
        <w:t>1. Get the basic version working and stable</w:t>
      </w:r>
    </w:p>
    <w:p>
      <w:r>
        <w:t>2. Test on actual device (Expo Go)</w:t>
      </w:r>
    </w:p>
    <w:p>
      <w:r>
        <w:t>3. Add interactions/enhancements in subsequent iteration</w:t>
      </w:r>
    </w:p>
    <w:p>
      <w:r>
        <w:t>4. Don't bundle complexity into first pass</w:t>
      </w:r>
    </w:p>
    <w:p>
      <w:pPr>
        <w:pStyle w:val="Heading2"/>
      </w:pPr>
      <w:r>
        <w:t>User Testing Checkpoints</w:t>
      </w:r>
    </w:p>
    <w:p>
      <w:r>
        <w:t>Before adding complexity, verify:</w:t>
      </w:r>
    </w:p>
    <w:p>
      <w:r>
        <w:t>☐ Does it load correctly?</w:t>
      </w:r>
    </w:p>
    <w:p>
      <w:r>
        <w:t>☐ Is performance acceptable?</w:t>
      </w:r>
    </w:p>
    <w:p>
      <w:r>
        <w:t>☐ Does the visual design match the trust-first aesthetic?</w:t>
      </w:r>
    </w:p>
    <w:p>
      <w:r>
        <w:t>☐ Is it usable by a 60+ year-old landholder?</w:t>
      </w:r>
    </w:p>
    <w:p>
      <w:pPr>
        <w:pStyle w:val="Heading1"/>
      </w:pPr>
      <w:r>
        <w:t>6. UI/UX Principles</w:t>
      </w:r>
    </w:p>
    <w:p>
      <w:pPr>
        <w:pStyle w:val="Heading2"/>
      </w:pPr>
      <w:r>
        <w:t>Emotional Hierarchy</w:t>
      </w:r>
    </w:p>
    <w:p>
      <w:r>
        <w:rPr>
          <w:b/>
        </w:rPr>
        <w:t>Ownership → Pride → Calm → Curiosity</w:t>
      </w:r>
    </w:p>
    <w:p>
      <w:pPr>
        <w:pStyle w:val="Heading2"/>
      </w:pPr>
      <w:r>
        <w:t>Trust-First Interface Rules</w:t>
      </w:r>
    </w:p>
    <w:p>
      <w:r>
        <w:t>1. The landscape is the hero — map fills the screen, UI overlays are minimal</w:t>
      </w:r>
    </w:p>
    <w:p>
      <w:r>
        <w:t>2. Progressive disclosure — start simple, reveal complexity on demand</w:t>
      </w:r>
    </w:p>
    <w:p>
      <w:r>
        <w:t>3. Familiar patterns — feel like Google Maps, not a complex dashboard</w:t>
      </w:r>
    </w:p>
    <w:p>
      <w:r>
        <w:t>4. Calming aesthetic — earth tones, generous whitespace, no alarm colors</w:t>
      </w:r>
    </w:p>
    <w:p>
      <w:r>
        <w:t>5. Friendly language — "What you can do" not "Available missions"</w:t>
      </w:r>
    </w:p>
    <w:p>
      <w:pPr>
        <w:pStyle w:val="Heading2"/>
      </w:pPr>
      <w:r>
        <w:t>Navigation</w:t>
      </w:r>
    </w:p>
    <w:p>
      <w:r>
        <w:t>• 4 tabs: Explore, Actions, Community, You</w:t>
      </w:r>
    </w:p>
    <w:p>
      <w:r>
        <w:t>• Explore tab: No header (full-screen map)</w:t>
      </w:r>
    </w:p>
    <w:p>
      <w:r>
        <w:t>• Other tabs: Simple, friendly headers</w:t>
      </w:r>
    </w:p>
    <w:p>
      <w:pPr>
        <w:pStyle w:val="Heading1"/>
      </w:pPr>
      <w:r>
        <w:t>7. Backend Data Notes</w:t>
      </w:r>
    </w:p>
    <w:p>
      <w:pPr>
        <w:pStyle w:val="Heading2"/>
      </w:pPr>
      <w:r>
        <w:t>Mock Data (MVP)</w:t>
      </w:r>
    </w:p>
    <w:p>
      <w:r>
        <w:t>All ecological scores are currently mocked (deterministic seed for consistency):</w:t>
      </w:r>
    </w:p>
    <w:p>
      <w:r>
        <w:t>• 56 grid cells generated</w:t>
      </w:r>
    </w:p>
    <w:p>
      <w:r>
        <w:t>• Scores based on distance from center + simulated corridor</w:t>
      </w:r>
    </w:p>
    <w:p>
      <w:r>
        <w:t>• 2 clusters detected automatically</w:t>
      </w:r>
    </w:p>
    <w:p>
      <w:pPr>
        <w:pStyle w:val="Heading2"/>
      </w:pPr>
      <w:r>
        <w:t>Future Integration Points</w:t>
      </w:r>
    </w:p>
    <w:p>
      <w:r>
        <w:t>• Replace mock scores with real BPPF model output</w:t>
      </w:r>
    </w:p>
    <w:p>
      <w:r>
        <w:t>• Connect to satellite NDVI data</w:t>
      </w:r>
    </w:p>
    <w:p>
      <w:r>
        <w:t>• Integrate property boundary verification (RP numbers)</w:t>
      </w:r>
    </w:p>
    <w:p>
      <w:pPr>
        <w:pStyle w:val="Heading1"/>
      </w:pPr>
      <w:r>
        <w:t>8. Key Decisions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4320"/>
          </w:tcPr>
          <w:p>
            <w:r>
              <w:t>Use react-native-maps over MapLibre</w:t>
            </w:r>
          </w:p>
        </w:tc>
        <w:tc>
          <w:tcPr>
            <w:tcW w:type="dxa" w:w="4320"/>
          </w:tcPr>
          <w:p>
            <w:r>
              <w:t>Expo Go compatibility; true native feel without custom dev build</w:t>
            </w:r>
          </w:p>
        </w:tc>
      </w:tr>
      <w:tr>
        <w:tc>
          <w:tcPr>
            <w:tcW w:type="dxa" w:w="4320"/>
          </w:tcPr>
          <w:p>
            <w:r>
              <w:t>Earth tones over traffic-light colors</w:t>
            </w:r>
          </w:p>
        </w:tc>
        <w:tc>
          <w:tcPr>
            <w:tcW w:type="dxa" w:w="4320"/>
          </w:tcPr>
          <w:p>
            <w:r>
              <w:t>Feels organic; readable on satellite; avoids alarm aesthetic</w:t>
            </w:r>
          </w:p>
        </w:tc>
      </w:tr>
      <w:tr>
        <w:tc>
          <w:tcPr>
            <w:tcW w:type="dxa" w:w="4320"/>
          </w:tcPr>
          <w:p>
            <w:r>
              <w:t>Conditional rendering over platform files</w:t>
            </w:r>
          </w:p>
        </w:tc>
        <w:tc>
          <w:tcPr>
            <w:tcW w:type="dxa" w:w="4320"/>
          </w:tcPr>
          <w:p>
            <w:r>
              <w:t>Metro bundler issues with .web.tsx in route files</w:t>
            </w:r>
          </w:p>
        </w:tc>
      </w:tr>
      <w:tr>
        <w:tc>
          <w:tcPr>
            <w:tcW w:type="dxa" w:w="4320"/>
          </w:tcPr>
          <w:p>
            <w:r>
              <w:t>Phase 1 = no tap interactions</w:t>
            </w:r>
          </w:p>
        </w:tc>
        <w:tc>
          <w:tcPr>
            <w:tcW w:type="dxa" w:w="4320"/>
          </w:tcPr>
          <w:p>
            <w:r>
              <w:t>Stabilise map rendering first; add interactivity in next iteration</w:t>
            </w:r>
          </w:p>
        </w:tc>
      </w:tr>
      <w:tr>
        <w:tc>
          <w:tcPr>
            <w:tcW w:type="dxa" w:w="4320"/>
          </w:tcPr>
          <w:p>
            <w:r>
              <w:t>Web fallback shows stats, not error</w:t>
            </w:r>
          </w:p>
        </w:tc>
        <w:tc>
          <w:tcPr>
            <w:tcW w:type="dxa" w:w="4320"/>
          </w:tcPr>
          <w:p>
            <w:r>
              <w:t>Every platform should feel intentional, not broken</w:t>
            </w:r>
          </w:p>
        </w:tc>
      </w:tr>
    </w:tbl>
    <w:p/>
    <w:p>
      <w:r>
        <w:t>Document created: February 2026</w:t>
      </w:r>
    </w:p>
    <w:p>
      <w:r>
        <w:rPr>
          <w:i/>
        </w:rPr>
        <w:t>To be updated as new directives emerge during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