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Corridor‑First Deployment Structure (50 Sensors)</w:t>
      </w:r>
    </w:p>
    <w:p>
      <w:r>
        <w:rPr>
          <w:b/>
        </w:rPr>
        <w:t xml:space="preserve">Centrepoint (Gondwana pin): </w:t>
      </w:r>
      <w:r>
        <w:t>-27.490422615161563, 152.91568918292165</w:t>
      </w:r>
    </w:p>
    <w:p>
      <w:r>
        <w:rPr>
          <w:b/>
        </w:rPr>
        <w:t xml:space="preserve">Footprint: </w:t>
      </w:r>
      <w:r>
        <w:t>4.2 km radius circular pilot boundary; planning grid is 1 km × 1 km tiles indexed from the centre tile (0,0).</w:t>
      </w:r>
    </w:p>
    <w:p>
      <w:r>
        <w:rPr>
          <w:b/>
        </w:rPr>
        <w:t>Seed nodes locked for Phase 1:</w:t>
      </w:r>
    </w:p>
    <w:p>
      <w:r>
        <w:t>• Gondwana (PUC-17057): -27.490423, 152.915689  |  offsets ≈ (+0.00 km E, +0.00 km N)  |  tile T_0_0</w:t>
      </w:r>
    </w:p>
    <w:p>
      <w:r>
        <w:t>• Andrew.grace.1981: -27.468685, 152.904706  |  offsets ≈ (-1.08 km E, +2.42 km N)  |  tile T_W1_N2</w:t>
      </w:r>
    </w:p>
    <w:p/>
    <w:p>
      <w:r>
        <w:rPr>
          <w:b/>
        </w:rPr>
        <w:t>Corridor‑first deployment bands (allocation totals)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Band</w:t>
            </w:r>
          </w:p>
        </w:tc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Sensors</w:t>
            </w:r>
          </w:p>
        </w:tc>
      </w:tr>
      <w:tr>
        <w:tc>
          <w:tcPr>
            <w:tcW w:type="dxa" w:w="2880"/>
          </w:tcPr>
          <w:p>
            <w:r>
              <w:t>Band 1 – Gold Creek spine</w:t>
            </w:r>
          </w:p>
        </w:tc>
        <w:tc>
          <w:tcPr>
            <w:tcW w:type="dxa" w:w="2880"/>
          </w:tcPr>
          <w:p>
            <w:r>
              <w:t>Primary tributary corridor backbone (movement + riparian response).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Band 2 – Feeder micro-catchments</w:t>
            </w:r>
          </w:p>
        </w:tc>
        <w:tc>
          <w:tcPr>
            <w:tcW w:type="dxa" w:w="2880"/>
          </w:tcPr>
          <w:p>
            <w:r>
              <w:t>Headwater/feeder corridors including Gondwana watercourse; links toward Gold Creek.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Band 3 – Riparian buffer halo</w:t>
            </w:r>
          </w:p>
        </w:tc>
        <w:tc>
          <w:tcPr>
            <w:tcW w:type="dxa" w:w="2880"/>
          </w:tcPr>
          <w:p>
            <w:r>
              <w:t>Edge/transition zones adjacent to corridors; uplift measurement belt.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Band 4 – Ridge &amp; upland connectors</w:t>
            </w:r>
          </w:p>
        </w:tc>
        <w:tc>
          <w:tcPr>
            <w:tcW w:type="dxa" w:w="2880"/>
          </w:tcPr>
          <w:p>
            <w:r>
              <w:t>Ridge/stepping‑stone connectors between drainage lines (lateral connectivity).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Band 5 – Control &amp; interior mosaic</w:t>
            </w:r>
          </w:p>
        </w:tc>
        <w:tc>
          <w:tcPr>
            <w:tcW w:type="dxa" w:w="2880"/>
          </w:tcPr>
          <w:p>
            <w:r>
              <w:t>Controls + mixed‑use interior to keep inference defensible.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/>
    <w:p>
      <w:r>
        <w:rPr>
          <w:b/>
        </w:rPr>
        <w:t>Wave sequence (Terra → Founding 50)</w:t>
      </w:r>
    </w:p>
    <w:p>
      <w:r>
        <w:t>Stage 1 (2–4 weeks): Terra Free to all parcels in footprint; show river/tributary context + registered‑properties overlay; no Founding 50 scarcity.</w:t>
      </w:r>
    </w:p>
    <w:p>
      <w:r>
        <w:t>Stage 2: Launch Founding 50 invites only to Wave 1 tiles (Band 1).</w:t>
      </w:r>
    </w:p>
    <w:p>
      <w:r>
        <w:t>Stage 3: Expand to Wave 2 (Bands 2–3), then Wave 3 (Bands 4–5) as corridor density builds.</w:t>
      </w:r>
    </w:p>
    <w:p/>
    <w:p>
      <w:r>
        <w:rPr>
          <w:b/>
        </w:rPr>
        <w:t>Acoustic overlap planning (parameterised)</w:t>
      </w:r>
    </w:p>
    <w:p>
      <w:r>
        <w:t>Use this as a tunable planning parameter (R) rather than a fixed assumption:</w:t>
      </w:r>
    </w:p>
    <w:p>
      <w:r>
        <w:t>• R = effective detection radius (m) for target taxa + habitat + mic placement.</w:t>
      </w:r>
    </w:p>
    <w:p>
      <w:r>
        <w:t>• Along corridors: target overlap of ~30–50% (spacing ≈ 1.0–1.4 × R).</w:t>
      </w:r>
    </w:p>
    <w:p>
      <w:r>
        <w:t>• In interior/control: target overlap of ~0–20% (spacing ≈ 1.6–2.5 × R).</w:t>
      </w:r>
    </w:p>
    <w:p>
      <w:r>
        <w:t>Calibrate R after first 2–3 deployments using empirical detection density and false‑positive rates.</w:t>
      </w:r>
    </w:p>
    <w:p/>
    <w:p>
      <w:r>
        <w:rPr>
          <w:b/>
        </w:rPr>
        <w:t>30 vs 50 vs 70 sensor scenarios (rule‑of‑thumb)</w:t>
      </w:r>
    </w:p>
    <w:p>
      <w:r>
        <w:t>• 30 sensors: corridor sampling only; weaker interior inference; best for proof‑of‑value.</w:t>
      </w:r>
    </w:p>
    <w:p>
      <w:r>
        <w:t>• 50 sensors (selected): corridor + feeder + connectors + controls; balanced defensibility and practicality.</w:t>
      </w:r>
    </w:p>
    <w:p>
      <w:r>
        <w:t>• 70 sensors: higher corridor granularity + replicated controls; stronger statistical power for uplift attribution.</w:t>
      </w:r>
    </w:p>
    <w:p/>
    <w:p>
      <w:r>
        <w:rPr>
          <w:b/>
        </w:rPr>
        <w:t>Tile allocation file</w:t>
      </w:r>
    </w:p>
    <w:p>
      <w:r>
        <w:t>A machine‑readable tile plan (centroids, band, wave, sensors per tile, seed nodes) is provided as 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