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HHI – Nature Repair Market Alignment Addendum</w:t>
      </w:r>
    </w:p>
    <w:p>
      <w:pPr>
        <w:pStyle w:val="Heading2"/>
      </w:pPr>
      <w:r>
        <w:t>1. Alignment with Outcome-Based Design</w:t>
      </w:r>
    </w:p>
    <w:p>
      <w:r>
        <w:t>HHI embeds guild-level persistence, seasonal continuity, and volatility suppression.</w:t>
      </w:r>
    </w:p>
    <w:p>
      <w:r>
        <w:t>Species-level metrics are excluded from credit calculation to reduce noise and gaming risk.</w:t>
      </w:r>
    </w:p>
    <w:p>
      <w:pPr>
        <w:pStyle w:val="Heading2"/>
      </w:pPr>
      <w:r>
        <w:t>2. Portfolio-Level Assessment</w:t>
      </w:r>
    </w:p>
    <w:p>
      <w:r>
        <w:t>Credit issuance is based on portfolio-scale functional improvement.</w:t>
      </w:r>
    </w:p>
    <w:p>
      <w:r>
        <w:t>High sensor density reduces leakage and displacement risk.</w:t>
      </w:r>
    </w:p>
    <w:p>
      <w:pPr>
        <w:pStyle w:val="Heading2"/>
      </w:pPr>
      <w:r>
        <w:t>3. Dynamic Baseline Integration</w:t>
      </w:r>
    </w:p>
    <w:p>
      <w:r>
        <w:t>Rolling historical baselines and seasonal normalisation reduce counterfactual risk.</w:t>
      </w:r>
    </w:p>
    <w:p>
      <w:r>
        <w:t>Real-time monitoring enables early reversal detection.</w:t>
      </w:r>
    </w:p>
    <w:p>
      <w:pPr>
        <w:pStyle w:val="Heading2"/>
      </w:pPr>
      <w:r>
        <w:t>4. Evidence Gating for Credits</w:t>
      </w:r>
    </w:p>
    <w:p>
      <w:r>
        <w:t>Tier 2 (acoustic-enhanced) is minimum requirement for credit eligibility.</w:t>
      </w:r>
    </w:p>
    <w:p>
      <w:r>
        <w:t>Elite classification requires density and statistical robustness.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