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Habitat Health Index (HHI) – Pillar Definitions &amp; Conceptual Scoring Logic v1.0</w:t>
      </w:r>
    </w:p>
    <w:p>
      <w:r>
        <w:t>This document defines the five core pillars of the Habitat Health Index (HHI) and outlines their conceptual scoring logic. Exact weightings and fusion algorithms remain proprietary but auditable.</w:t>
      </w:r>
    </w:p>
    <w:p>
      <w:pPr>
        <w:pStyle w:val="Heading2"/>
      </w:pPr>
      <w:r>
        <w:t>1. Ecological Function (Dominant Pillar)</w:t>
      </w:r>
    </w:p>
    <w:p>
      <w:r>
        <w:t>Core Focus: Measured ecological use and persistence.</w:t>
      </w:r>
    </w:p>
    <w:p>
      <w:r>
        <w:t>Primary Indicators:</w:t>
      </w:r>
    </w:p>
    <w:p>
      <w:r>
        <w:t>• Functional guild persistence (canopy, mid-storey, ground insectivores, nectarivores, granivores, predators)</w:t>
      </w:r>
    </w:p>
    <w:p>
      <w:r>
        <w:t>• Seasonal continuity and return patterns</w:t>
      </w:r>
    </w:p>
    <w:p>
      <w:r>
        <w:t>• Volatility suppression relative to baseline</w:t>
      </w:r>
    </w:p>
    <w:p>
      <w:r>
        <w:t>Conceptual Scoring Logic:</w:t>
      </w:r>
    </w:p>
    <w:p>
      <w:r>
        <w:t>Higher scores reflect sustained multi-season guild stability, reduced volatility, and evidence of ecosystem function rather than episodic species presence.</w:t>
      </w:r>
    </w:p>
    <w:p>
      <w:pPr>
        <w:pStyle w:val="Heading2"/>
      </w:pPr>
      <w:r>
        <w:t>2. Habitat Structure</w:t>
      </w:r>
    </w:p>
    <w:p>
      <w:r>
        <w:t>Core Focus: Physical habitat complexity and vegetative integrity.</w:t>
      </w:r>
    </w:p>
    <w:p>
      <w:r>
        <w:t>Primary Indicators:</w:t>
      </w:r>
    </w:p>
    <w:p>
      <w:r>
        <w:t>• Canopy layering and heterogeneity</w:t>
      </w:r>
    </w:p>
    <w:p>
      <w:r>
        <w:t>• Understorey density</w:t>
      </w:r>
    </w:p>
    <w:p>
      <w:r>
        <w:t>• Native vegetation cover trends</w:t>
      </w:r>
    </w:p>
    <w:p>
      <w:r>
        <w:t>Conceptual Scoring Logic:</w:t>
      </w:r>
    </w:p>
    <w:p>
      <w:r>
        <w:t>Higher scores reflect increased structural complexity and habitat heterogeneity consistent with functional support of faunal guilds.</w:t>
      </w:r>
    </w:p>
    <w:p>
      <w:pPr>
        <w:pStyle w:val="Heading2"/>
      </w:pPr>
      <w:r>
        <w:t>3. Connectivity</w:t>
      </w:r>
    </w:p>
    <w:p>
      <w:r>
        <w:t>Core Focus: Landscape linkage and fragmentation suppression.</w:t>
      </w:r>
    </w:p>
    <w:p>
      <w:r>
        <w:t>Primary Indicators:</w:t>
      </w:r>
    </w:p>
    <w:p>
      <w:r>
        <w:t>• Corridor continuity metrics</w:t>
      </w:r>
    </w:p>
    <w:p>
      <w:r>
        <w:t>• Patch isolation analysis</w:t>
      </w:r>
    </w:p>
    <w:p>
      <w:r>
        <w:t>• Edge effect mitigation</w:t>
      </w:r>
    </w:p>
    <w:p>
      <w:r>
        <w:t>Conceptual Scoring Logic:</w:t>
      </w:r>
    </w:p>
    <w:p>
      <w:r>
        <w:t>Higher scores reflect improved ecological connectivity and reduced fragmentation, supporting landscape-scale species movement.</w:t>
      </w:r>
    </w:p>
    <w:p>
      <w:pPr>
        <w:pStyle w:val="Heading2"/>
      </w:pPr>
      <w:r>
        <w:t>4. Disturbance &amp; Recovery</w:t>
      </w:r>
    </w:p>
    <w:p>
      <w:r>
        <w:t>Core Focus: Disturbance frequency and recovery trajectory.</w:t>
      </w:r>
    </w:p>
    <w:p>
      <w:r>
        <w:t>Primary Indicators:</w:t>
      </w:r>
    </w:p>
    <w:p>
      <w:r>
        <w:t>• Fire disturbance history</w:t>
      </w:r>
    </w:p>
    <w:p>
      <w:r>
        <w:t>• Clearing events</w:t>
      </w:r>
    </w:p>
    <w:p>
      <w:r>
        <w:t>• Recovery rate post-disturbance</w:t>
      </w:r>
    </w:p>
    <w:p>
      <w:r>
        <w:t>Conceptual Scoring Logic:</w:t>
      </w:r>
    </w:p>
    <w:p>
      <w:r>
        <w:t>Higher scores reflect stable disturbance regimes and evidence of recovery resilience without functional collapse.</w:t>
      </w:r>
    </w:p>
    <w:p>
      <w:pPr>
        <w:pStyle w:val="Heading2"/>
      </w:pPr>
      <w:r>
        <w:t>5. Stability &amp; Resilience</w:t>
      </w:r>
    </w:p>
    <w:p>
      <w:r>
        <w:t>Core Focus: Durability of ecological performance over time.</w:t>
      </w:r>
    </w:p>
    <w:p>
      <w:r>
        <w:t>Primary Indicators:</w:t>
      </w:r>
    </w:p>
    <w:p>
      <w:r>
        <w:t>• Multi-year trend stability</w:t>
      </w:r>
    </w:p>
    <w:p>
      <w:r>
        <w:t>• Climate-adjusted persistence signals</w:t>
      </w:r>
    </w:p>
    <w:p>
      <w:r>
        <w:t>• Absence of reversal indicators</w:t>
      </w:r>
    </w:p>
    <w:p>
      <w:r>
        <w:t>Conceptual Scoring Logic:</w:t>
      </w:r>
    </w:p>
    <w:p>
      <w:r>
        <w:t>Higher scores reflect consistent ecological performance across seasonal and climatic variability.</w:t>
      </w:r>
    </w:p>
    <w:p>
      <w:pPr>
        <w:pStyle w:val="Heading2"/>
      </w:pPr>
      <w:r>
        <w:t>Composite Score Logic (Conceptual)</w:t>
      </w:r>
    </w:p>
    <w:p>
      <w:r>
        <w:t>HHI is calculated as a composite score integrating all five pillars. Ecological Function is the largest single contributor. Minimum pillar thresholds may apply for credit issuance and elite classification.</w:t>
      </w:r>
    </w:p>
    <w:p>
      <w:r>
        <w:t>Higher data resolution increases statistical confidence but does not inflate the composite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