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Algorithm &amp; Data Processing Spec v1.0 Addendum</w:t>
      </w:r>
    </w:p>
    <w:p>
      <w:r>
        <w:t>This addendum provides (1) explicit default parameters, (2) a step-by-step pipeline sequence, and (3) test cases and acceptance criteria for Phase 1 modules. It complements the main Algorithm &amp; Data Processing Specification.</w:t>
      </w:r>
    </w:p>
    <w:p>
      <w:pPr>
        <w:pStyle w:val="Heading2"/>
      </w:pPr>
      <w:r>
        <w:t>1. Default Parameters (Proposed Baseline)</w:t>
      </w:r>
    </w:p>
    <w:p>
      <w:r>
        <w:t>All parameters are version-controlled. Defaults below are starting points and may be tuned with documented rationale.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Sentinel-2</w:t>
            </w:r>
          </w:p>
        </w:tc>
        <w:tc>
          <w:tcPr>
            <w:tcW w:type="dxa" w:w="2160"/>
          </w:tcPr>
          <w:p>
            <w:r>
              <w:t>Product level</w:t>
            </w:r>
          </w:p>
        </w:tc>
        <w:tc>
          <w:tcPr>
            <w:tcW w:type="dxa" w:w="2160"/>
          </w:tcPr>
          <w:p>
            <w:r>
              <w:t>L2A surface reflectance</w:t>
            </w:r>
          </w:p>
        </w:tc>
        <w:tc>
          <w:tcPr>
            <w:tcW w:type="dxa" w:w="2160"/>
          </w:tcPr>
          <w:p>
            <w:r>
              <w:t>Use SCL when available</w:t>
            </w:r>
          </w:p>
        </w:tc>
      </w:tr>
      <w:tr>
        <w:tc>
          <w:tcPr>
            <w:tcW w:type="dxa" w:w="2160"/>
          </w:tcPr>
          <w:p>
            <w:r>
              <w:t>Cloud masking</w:t>
            </w:r>
          </w:p>
        </w:tc>
        <w:tc>
          <w:tcPr>
            <w:tcW w:type="dxa" w:w="2160"/>
          </w:tcPr>
          <w:p>
            <w:r>
              <w:t>Mask classes</w:t>
            </w:r>
          </w:p>
        </w:tc>
        <w:tc>
          <w:tcPr>
            <w:tcW w:type="dxa" w:w="2160"/>
          </w:tcPr>
          <w:p>
            <w:r>
              <w:t>SCL cloud+shadow+cirrus</w:t>
            </w:r>
          </w:p>
        </w:tc>
        <w:tc>
          <w:tcPr>
            <w:tcW w:type="dxa" w:w="2160"/>
          </w:tcPr>
          <w:p>
            <w:r>
              <w:t>Fallback: QA60/cloud-prob</w:t>
            </w:r>
          </w:p>
        </w:tc>
      </w:tr>
      <w:tr>
        <w:tc>
          <w:tcPr>
            <w:tcW w:type="dxa" w:w="2160"/>
          </w:tcPr>
          <w:p>
            <w:r>
              <w:t>Plot validity</w:t>
            </w:r>
          </w:p>
        </w:tc>
        <w:tc>
          <w:tcPr>
            <w:tcW w:type="dxa" w:w="2160"/>
          </w:tcPr>
          <w:p>
            <w:r>
              <w:t>Min valid pixels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Below this: ‘insufficient clear-sky’</w:t>
            </w:r>
          </w:p>
        </w:tc>
      </w:tr>
      <w:tr>
        <w:tc>
          <w:tcPr>
            <w:tcW w:type="dxa" w:w="2160"/>
          </w:tcPr>
          <w:p>
            <w:r>
              <w:t>NDVI</w:t>
            </w:r>
          </w:p>
        </w:tc>
        <w:tc>
          <w:tcPr>
            <w:tcW w:type="dxa" w:w="2160"/>
          </w:tcPr>
          <w:p>
            <w:r>
              <w:t>Bands</w:t>
            </w:r>
          </w:p>
        </w:tc>
        <w:tc>
          <w:tcPr>
            <w:tcW w:type="dxa" w:w="2160"/>
          </w:tcPr>
          <w:p>
            <w:r>
              <w:t>B8 (NIR), B4 (Red)</w:t>
            </w:r>
          </w:p>
        </w:tc>
        <w:tc>
          <w:tcPr>
            <w:tcW w:type="dxa" w:w="2160"/>
          </w:tcPr>
          <w:p>
            <w:r>
              <w:t>Clip to [-1,1]; denom=0 → NoData</w:t>
            </w:r>
          </w:p>
        </w:tc>
      </w:tr>
      <w:tr>
        <w:tc>
          <w:tcPr>
            <w:tcW w:type="dxa" w:w="2160"/>
          </w:tcPr>
          <w:p>
            <w:r>
              <w:t>EVI (opt)</w:t>
            </w:r>
          </w:p>
        </w:tc>
        <w:tc>
          <w:tcPr>
            <w:tcW w:type="dxa" w:w="2160"/>
          </w:tcPr>
          <w:p>
            <w:r>
              <w:t>Constants</w:t>
            </w:r>
          </w:p>
        </w:tc>
        <w:tc>
          <w:tcPr>
            <w:tcW w:type="dxa" w:w="2160"/>
          </w:tcPr>
          <w:p>
            <w:r>
              <w:t>G=2.5, C1=6, C2=7.5, L=1</w:t>
            </w:r>
          </w:p>
        </w:tc>
        <w:tc>
          <w:tcPr>
            <w:tcW w:type="dxa" w:w="2160"/>
          </w:tcPr>
          <w:p>
            <w:r>
              <w:t>Bands: B8,B4,B2</w:t>
            </w:r>
          </w:p>
        </w:tc>
      </w:tr>
      <w:tr>
        <w:tc>
          <w:tcPr>
            <w:tcW w:type="dxa" w:w="2160"/>
          </w:tcPr>
          <w:p>
            <w:r>
              <w:t>Compositing</w:t>
            </w:r>
          </w:p>
        </w:tc>
        <w:tc>
          <w:tcPr>
            <w:tcW w:type="dxa" w:w="2160"/>
          </w:tcPr>
          <w:p>
            <w:r>
              <w:t>Operator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Alternative percentile must be versioned</w:t>
            </w:r>
          </w:p>
        </w:tc>
      </w:tr>
      <w:tr>
        <w:tc>
          <w:tcPr>
            <w:tcW w:type="dxa" w:w="2160"/>
          </w:tcPr>
          <w:p>
            <w:r>
              <w:t>Compositing</w:t>
            </w:r>
          </w:p>
        </w:tc>
        <w:tc>
          <w:tcPr>
            <w:tcW w:type="dxa" w:w="2160"/>
          </w:tcPr>
          <w:p>
            <w:r>
              <w:t>Temporal window</w:t>
            </w:r>
          </w:p>
        </w:tc>
        <w:tc>
          <w:tcPr>
            <w:tcW w:type="dxa" w:w="2160"/>
          </w:tcPr>
          <w:p>
            <w:r>
              <w:t>Calendar month</w:t>
            </w:r>
          </w:p>
        </w:tc>
        <w:tc>
          <w:tcPr>
            <w:tcW w:type="dxa" w:w="2160"/>
          </w:tcPr>
          <w:p>
            <w:r>
              <w:t>Timezone set for reporting</w:t>
            </w:r>
          </w:p>
        </w:tc>
      </w:tr>
      <w:tr>
        <w:tc>
          <w:tcPr>
            <w:tcW w:type="dxa" w:w="2160"/>
          </w:tcPr>
          <w:p>
            <w:r>
              <w:t>Heterogeneity</w:t>
            </w:r>
          </w:p>
        </w:tc>
        <w:tc>
          <w:tcPr>
            <w:tcW w:type="dxa" w:w="2160"/>
          </w:tcPr>
          <w:p>
            <w:r>
              <w:t>Window size</w:t>
            </w:r>
          </w:p>
        </w:tc>
        <w:tc>
          <w:tcPr>
            <w:tcW w:type="dxa" w:w="2160"/>
          </w:tcPr>
          <w:p>
            <w:r>
              <w:t>5×5 pixels</w:t>
            </w:r>
          </w:p>
        </w:tc>
        <w:tc>
          <w:tcPr>
            <w:tcW w:type="dxa" w:w="2160"/>
          </w:tcPr>
          <w:p>
            <w:r>
              <w:t>Configurable; default ~50m</w:t>
            </w:r>
          </w:p>
        </w:tc>
      </w:tr>
      <w:tr>
        <w:tc>
          <w:tcPr>
            <w:tcW w:type="dxa" w:w="2160"/>
          </w:tcPr>
          <w:p>
            <w:r>
              <w:t>Change detection</w:t>
            </w:r>
          </w:p>
        </w:tc>
        <w:tc>
          <w:tcPr>
            <w:tcW w:type="dxa" w:w="2160"/>
          </w:tcPr>
          <w:p>
            <w:r>
              <w:t>ΔMoM threshold</w:t>
            </w:r>
          </w:p>
        </w:tc>
        <w:tc>
          <w:tcPr>
            <w:tcW w:type="dxa" w:w="2160"/>
          </w:tcPr>
          <w:p>
            <w:r>
              <w:t>-0.10 NDVI</w:t>
            </w:r>
          </w:p>
        </w:tc>
        <w:tc>
          <w:tcPr>
            <w:tcW w:type="dxa" w:w="2160"/>
          </w:tcPr>
          <w:p>
            <w:r>
              <w:t>Flag only if valid pixels ok</w:t>
            </w:r>
          </w:p>
        </w:tc>
      </w:tr>
      <w:tr>
        <w:tc>
          <w:tcPr>
            <w:tcW w:type="dxa" w:w="2160"/>
          </w:tcPr>
          <w:p>
            <w:r>
              <w:t>Change detection</w:t>
            </w:r>
          </w:p>
        </w:tc>
        <w:tc>
          <w:tcPr>
            <w:tcW w:type="dxa" w:w="2160"/>
          </w:tcPr>
          <w:p>
            <w:r>
              <w:t>ΔYoY threshold</w:t>
            </w:r>
          </w:p>
        </w:tc>
        <w:tc>
          <w:tcPr>
            <w:tcW w:type="dxa" w:w="2160"/>
          </w:tcPr>
          <w:p>
            <w:r>
              <w:t>-0.10 NDVI</w:t>
            </w:r>
          </w:p>
        </w:tc>
        <w:tc>
          <w:tcPr>
            <w:tcW w:type="dxa" w:w="2160"/>
          </w:tcPr>
          <w:p>
            <w:r>
              <w:t>Requires t-12 available</w:t>
            </w:r>
          </w:p>
        </w:tc>
      </w:tr>
      <w:tr>
        <w:tc>
          <w:tcPr>
            <w:tcW w:type="dxa" w:w="2160"/>
          </w:tcPr>
          <w:p>
            <w:r>
              <w:t>Fire tagging</w:t>
            </w:r>
          </w:p>
        </w:tc>
        <w:tc>
          <w:tcPr>
            <w:tcW w:type="dxa" w:w="2160"/>
          </w:tcPr>
          <w:p>
            <w:r>
              <w:t>Buffer distance</w:t>
            </w:r>
          </w:p>
        </w:tc>
        <w:tc>
          <w:tcPr>
            <w:tcW w:type="dxa" w:w="2160"/>
          </w:tcPr>
          <w:p>
            <w:r>
              <w:t>1 km</w:t>
            </w:r>
          </w:p>
        </w:tc>
        <w:tc>
          <w:tcPr>
            <w:tcW w:type="dxa" w:w="2160"/>
          </w:tcPr>
          <w:p>
            <w:r>
              <w:t>Store proximity + confidence</w:t>
            </w:r>
          </w:p>
        </w:tc>
      </w:tr>
      <w:tr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Plot summary</w:t>
            </w:r>
          </w:p>
        </w:tc>
        <w:tc>
          <w:tcPr>
            <w:tcW w:type="dxa" w:w="2160"/>
          </w:tcPr>
          <w:p>
            <w:r>
              <w:t>Median + IQR</w:t>
            </w:r>
          </w:p>
        </w:tc>
        <w:tc>
          <w:tcPr>
            <w:tcW w:type="dxa" w:w="2160"/>
          </w:tcPr>
          <w:p>
            <w:r>
              <w:t>Robust to outliers</w:t>
            </w:r>
          </w:p>
        </w:tc>
      </w:tr>
      <w:tr>
        <w:tc>
          <w:tcPr>
            <w:tcW w:type="dxa" w:w="2160"/>
          </w:tcPr>
          <w:p>
            <w:r>
              <w:t>Aggregation</w:t>
            </w:r>
          </w:p>
        </w:tc>
        <w:tc>
          <w:tcPr>
            <w:tcW w:type="dxa" w:w="2160"/>
          </w:tcPr>
          <w:p>
            <w:r>
              <w:t>Zone rollup</w:t>
            </w:r>
          </w:p>
        </w:tc>
        <w:tc>
          <w:tcPr>
            <w:tcW w:type="dxa" w:w="2160"/>
          </w:tcPr>
          <w:p>
            <w:r>
              <w:t>Area-weighted medians</w:t>
            </w:r>
          </w:p>
        </w:tc>
        <w:tc>
          <w:tcPr>
            <w:tcW w:type="dxa" w:w="2160"/>
          </w:tcPr>
          <w:p>
            <w:r>
              <w:t>Store density/depth</w:t>
            </w:r>
          </w:p>
        </w:tc>
      </w:tr>
      <w:tr>
        <w:tc>
          <w:tcPr>
            <w:tcW w:type="dxa" w:w="2160"/>
          </w:tcPr>
          <w:p>
            <w:r>
              <w:t>Confidence (Tier 1)</w:t>
            </w:r>
          </w:p>
        </w:tc>
        <w:tc>
          <w:tcPr>
            <w:tcW w:type="dxa" w:w="2160"/>
          </w:tcPr>
          <w:p>
            <w:r>
              <w:t>Inputs</w:t>
            </w:r>
          </w:p>
        </w:tc>
        <w:tc>
          <w:tcPr>
            <w:tcW w:type="dxa" w:w="2160"/>
          </w:tcPr>
          <w:p>
            <w:r>
              <w:t>valid pixels, depth, consistency</w:t>
            </w:r>
          </w:p>
        </w:tc>
        <w:tc>
          <w:tcPr>
            <w:tcW w:type="dxa" w:w="2160"/>
          </w:tcPr>
          <w:p>
            <w:r>
              <w:t>0–1 score + band</w:t>
            </w:r>
          </w:p>
        </w:tc>
      </w:tr>
      <w:tr>
        <w:tc>
          <w:tcPr>
            <w:tcW w:type="dxa" w:w="2160"/>
          </w:tcPr>
          <w:p>
            <w:r>
              <w:t>Publishing</w:t>
            </w:r>
          </w:p>
        </w:tc>
        <w:tc>
          <w:tcPr>
            <w:tcW w:type="dxa" w:w="2160"/>
          </w:tcPr>
          <w:p>
            <w:r>
              <w:t>Update cadence</w:t>
            </w:r>
          </w:p>
        </w:tc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Push ‘Monthly Brief’</w:t>
            </w:r>
          </w:p>
        </w:tc>
      </w:tr>
    </w:tbl>
    <w:p>
      <w:pPr>
        <w:pStyle w:val="Heading2"/>
      </w:pPr>
      <w:r>
        <w:t>2. Pipeline Sequence (Phase 1)</w:t>
      </w:r>
    </w:p>
    <w:p>
      <w:r>
        <w:t>The following sequence is the authoritative order of operations for Phase 1 processing.</w:t>
      </w:r>
    </w:p>
    <w:p>
      <w:r>
        <w:drawing>
          <wp:inline xmlns:a="http://schemas.openxmlformats.org/drawingml/2006/main" xmlns:pic="http://schemas.openxmlformats.org/drawingml/2006/picture">
            <wp:extent cx="6583680" cy="1810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_Pipeline_Diagram_v1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81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1) Ingest sources for the target month (Sentinel-2 required; others optional).</w:t>
      </w:r>
    </w:p>
    <w:p>
      <w:r>
        <w:t>2) Spatial normalisation: align grids, resample as needed, clip to AOI/plots.</w:t>
      </w:r>
    </w:p>
    <w:p>
      <w:r>
        <w:t>3) Apply cloud/shadow masking and compute ValidPixelFraction.</w:t>
      </w:r>
    </w:p>
    <w:p>
      <w:r>
        <w:t>4) Compute per-scene indices (NDVI; EVI optional) and per-scene structural proxies.</w:t>
      </w:r>
    </w:p>
    <w:p>
      <w:r>
        <w:t>5) Monthly composite: median per pixel; generate quality layers.</w:t>
      </w:r>
    </w:p>
    <w:p>
      <w:r>
        <w:t>6) Compute change signals (ΔMoM, ΔYoY where available).</w:t>
      </w:r>
    </w:p>
    <w:p>
      <w:r>
        <w:t>7) Disturbance context: apply VIIRS fire tags and store events.</w:t>
      </w:r>
    </w:p>
    <w:p>
      <w:r>
        <w:t>8) Aggregate to plot summaries; roll up to zone and portfolio scaffolding.</w:t>
      </w:r>
    </w:p>
    <w:p>
      <w:r>
        <w:t>9) Compute Tier 1 confidence object from coverage/depth/consistency.</w:t>
      </w:r>
    </w:p>
    <w:p>
      <w:r>
        <w:t>10) Persist outputs with method_version + parameters; publish Monthly Brief + push notifications.</w:t>
      </w:r>
    </w:p>
    <w:p>
      <w:pPr>
        <w:pStyle w:val="Heading2"/>
      </w:pPr>
      <w:r>
        <w:t>3. Test Cases &amp; Acceptance Criteria</w:t>
      </w:r>
    </w:p>
    <w:p>
      <w:r>
        <w:t>Acceptance criteria are written to be verifiable by Emergent during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Acceptance Criteria</w:t>
            </w:r>
          </w:p>
        </w:tc>
      </w:tr>
      <w:tr>
        <w:tc>
          <w:tcPr>
            <w:tcW w:type="dxa" w:w="2880"/>
          </w:tcPr>
          <w:p>
            <w:r>
              <w:t>NDVI calculation</w:t>
            </w:r>
          </w:p>
        </w:tc>
        <w:tc>
          <w:tcPr>
            <w:tcW w:type="dxa" w:w="2880"/>
          </w:tcPr>
          <w:p>
            <w:r>
              <w:t>Given a sample pixel with known Red and NIR reflectance values, NDVI matches formula output within ±1e-6. Denominator=0 returns NoData.</w:t>
            </w:r>
          </w:p>
        </w:tc>
        <w:tc>
          <w:tcPr>
            <w:tcW w:type="dxa" w:w="2880"/>
          </w:tcPr>
          <w:p>
            <w:r>
              <w:t>Pass if unit tests cover normal, denom=0, and clipping bounds.</w:t>
            </w:r>
          </w:p>
        </w:tc>
      </w:tr>
      <w:tr>
        <w:tc>
          <w:tcPr>
            <w:tcW w:type="dxa" w:w="2880"/>
          </w:tcPr>
          <w:p>
            <w:r>
              <w:t>Cloud masking</w:t>
            </w:r>
          </w:p>
        </w:tc>
        <w:tc>
          <w:tcPr>
            <w:tcW w:type="dxa" w:w="2880"/>
          </w:tcPr>
          <w:p>
            <w:r>
              <w:t>Pixels marked cloud/shadow in SCL are excluded from composites; ValidPixelFraction reflects remaining pixels.</w:t>
            </w:r>
          </w:p>
        </w:tc>
        <w:tc>
          <w:tcPr>
            <w:tcW w:type="dxa" w:w="2880"/>
          </w:tcPr>
          <w:p>
            <w:r>
              <w:t>Pass if masked pixels do not contribute to NDVI_monthly and coverage metric is correct.</w:t>
            </w:r>
          </w:p>
        </w:tc>
      </w:tr>
      <w:tr>
        <w:tc>
          <w:tcPr>
            <w:tcW w:type="dxa" w:w="2880"/>
          </w:tcPr>
          <w:p>
            <w:r>
              <w:t>Monthly compositing</w:t>
            </w:r>
          </w:p>
        </w:tc>
        <w:tc>
          <w:tcPr>
            <w:tcW w:type="dxa" w:w="2880"/>
          </w:tcPr>
          <w:p>
            <w:r>
              <w:t>For a pixel with N clear observations, composite equals median of observations (or documented operator).</w:t>
            </w:r>
          </w:p>
        </w:tc>
        <w:tc>
          <w:tcPr>
            <w:tcW w:type="dxa" w:w="2880"/>
          </w:tcPr>
          <w:p>
            <w:r>
              <w:t>Pass if reproducible across runs with same inputs and parameters.</w:t>
            </w:r>
          </w:p>
        </w:tc>
      </w:tr>
      <w:tr>
        <w:tc>
          <w:tcPr>
            <w:tcW w:type="dxa" w:w="2880"/>
          </w:tcPr>
          <w:p>
            <w:r>
              <w:t>Plot validity gate</w:t>
            </w:r>
          </w:p>
        </w:tc>
        <w:tc>
          <w:tcPr>
            <w:tcW w:type="dxa" w:w="2880"/>
          </w:tcPr>
          <w:p>
            <w:r>
              <w:t>If ValidPixelFraction &lt; 20% for a plot-month, Monthly Brief is generated with ‘insufficient clear-sky’ status and no misleading trend arrow.</w:t>
            </w:r>
          </w:p>
        </w:tc>
        <w:tc>
          <w:tcPr>
            <w:tcW w:type="dxa" w:w="2880"/>
          </w:tcPr>
          <w:p>
            <w:r>
              <w:t>Pass if UI/API flags quality state and suppresses unreliable insights.</w:t>
            </w:r>
          </w:p>
        </w:tc>
      </w:tr>
      <w:tr>
        <w:tc>
          <w:tcPr>
            <w:tcW w:type="dxa" w:w="2880"/>
          </w:tcPr>
          <w:p>
            <w:r>
              <w:t>Heterogeneity metric</w:t>
            </w:r>
          </w:p>
        </w:tc>
        <w:tc>
          <w:tcPr>
            <w:tcW w:type="dxa" w:w="2880"/>
          </w:tcPr>
          <w:p>
            <w:r>
              <w:t>HET_NDVI output equals variance of NDVI within the defined window; changing window size changes result predictably.</w:t>
            </w:r>
          </w:p>
        </w:tc>
        <w:tc>
          <w:tcPr>
            <w:tcW w:type="dxa" w:w="2880"/>
          </w:tcPr>
          <w:p>
            <w:r>
              <w:t>Pass if window-size parameter is honoured and validated by test raster.</w:t>
            </w:r>
          </w:p>
        </w:tc>
      </w:tr>
      <w:tr>
        <w:tc>
          <w:tcPr>
            <w:tcW w:type="dxa" w:w="2880"/>
          </w:tcPr>
          <w:p>
            <w:r>
              <w:t>Change detection</w:t>
            </w:r>
          </w:p>
        </w:tc>
        <w:tc>
          <w:tcPr>
            <w:tcW w:type="dxa" w:w="2880"/>
          </w:tcPr>
          <w:p>
            <w:r>
              <w:t>ΔMoM and ΔYoY are computed correctly; disturbance flags only trigger when validity gate passed.</w:t>
            </w:r>
          </w:p>
        </w:tc>
        <w:tc>
          <w:tcPr>
            <w:tcW w:type="dxa" w:w="2880"/>
          </w:tcPr>
          <w:p>
            <w:r>
              <w:t>Pass if flags never trigger when ValidPixelFraction below threshold.</w:t>
            </w:r>
          </w:p>
        </w:tc>
      </w:tr>
      <w:tr>
        <w:tc>
          <w:tcPr>
            <w:tcW w:type="dxa" w:w="2880"/>
          </w:tcPr>
          <w:p>
            <w:r>
              <w:t>Fire tagging</w:t>
            </w:r>
          </w:p>
        </w:tc>
        <w:tc>
          <w:tcPr>
            <w:tcW w:type="dxa" w:w="2880"/>
          </w:tcPr>
          <w:p>
            <w:r>
              <w:t>VIIRS detections within 1 km buffer create a fire event record with date and confidence; plot-month marked as ‘fire context’.</w:t>
            </w:r>
          </w:p>
        </w:tc>
        <w:tc>
          <w:tcPr>
            <w:tcW w:type="dxa" w:w="2880"/>
          </w:tcPr>
          <w:p>
            <w:r>
              <w:t>Pass if events are stored and displayed as context, not automatically as degradation.</w:t>
            </w:r>
          </w:p>
        </w:tc>
      </w:tr>
      <w:tr>
        <w:tc>
          <w:tcPr>
            <w:tcW w:type="dxa" w:w="2880"/>
          </w:tcPr>
          <w:p>
            <w:r>
              <w:t>Aggregation rollups</w:t>
            </w:r>
          </w:p>
        </w:tc>
        <w:tc>
          <w:tcPr>
            <w:tcW w:type="dxa" w:w="2880"/>
          </w:tcPr>
          <w:p>
            <w:r>
              <w:t>Plot summaries use median + IQR; zone rollup uses area-weighted medians; portfolio scaffolding stores membership without credit logic.</w:t>
            </w:r>
          </w:p>
        </w:tc>
        <w:tc>
          <w:tcPr>
            <w:tcW w:type="dxa" w:w="2880"/>
          </w:tcPr>
          <w:p>
            <w:r>
              <w:t>Pass if aggregation outputs match reference calculations for test set.</w:t>
            </w:r>
          </w:p>
        </w:tc>
      </w:tr>
      <w:tr>
        <w:tc>
          <w:tcPr>
            <w:tcW w:type="dxa" w:w="2880"/>
          </w:tcPr>
          <w:p>
            <w:r>
              <w:t>Confidence object</w:t>
            </w:r>
          </w:p>
        </w:tc>
        <w:tc>
          <w:tcPr>
            <w:tcW w:type="dxa" w:w="2880"/>
          </w:tcPr>
          <w:p>
            <w:r>
              <w:t>Confidence_score is produced for every plot-month with stored inputs; increases with greater valid pixels and time depth.</w:t>
            </w:r>
          </w:p>
        </w:tc>
        <w:tc>
          <w:tcPr>
            <w:tcW w:type="dxa" w:w="2880"/>
          </w:tcPr>
          <w:p>
            <w:r>
              <w:t>Pass if confidence is monotonic with synthetic test inputs and stored for audit.</w:t>
            </w:r>
          </w:p>
        </w:tc>
      </w:tr>
      <w:tr>
        <w:tc>
          <w:tcPr>
            <w:tcW w:type="dxa" w:w="2880"/>
          </w:tcPr>
          <w:p>
            <w:r>
              <w:t>Versioning/reproducibility</w:t>
            </w:r>
          </w:p>
        </w:tc>
        <w:tc>
          <w:tcPr>
            <w:tcW w:type="dxa" w:w="2880"/>
          </w:tcPr>
          <w:p>
            <w:r>
              <w:t>Re-running the pipeline with identical inputs and method_version produces identical outputs; changing a parameter increments method_version and preserves prior results.</w:t>
            </w:r>
          </w:p>
        </w:tc>
        <w:tc>
          <w:tcPr>
            <w:tcW w:type="dxa" w:w="2880"/>
          </w:tcPr>
          <w:p>
            <w:r>
              <w:t>Pass if outputs are traceable and reproducible under both versions.</w:t>
            </w:r>
          </w:p>
        </w:tc>
      </w:tr>
      <w:tr>
        <w:tc>
          <w:tcPr>
            <w:tcW w:type="dxa" w:w="2880"/>
          </w:tcPr>
          <w:p>
            <w:r>
              <w:t>Offline cache &amp; notifications</w:t>
            </w:r>
          </w:p>
        </w:tc>
        <w:tc>
          <w:tcPr>
            <w:tcW w:type="dxa" w:w="2880"/>
          </w:tcPr>
          <w:p>
            <w:r>
              <w:t>Latest Monthly Brief is cached locally; user receives monthly push notification; offline viewing works without connectivity.</w:t>
            </w:r>
          </w:p>
        </w:tc>
        <w:tc>
          <w:tcPr>
            <w:tcW w:type="dxa" w:w="2880"/>
          </w:tcPr>
          <w:p>
            <w:r>
              <w:t>Pass if QA checklist confirms offline open + queued sync + push delivery in staging.</w:t>
            </w:r>
          </w:p>
        </w:tc>
      </w:tr>
    </w:tbl>
    <w:p>
      <w:pPr>
        <w:pStyle w:val="Heading2"/>
      </w:pPr>
      <w:r>
        <w:t>4. Notes on Canopy Height</w:t>
      </w:r>
    </w:p>
    <w:p>
      <w:r>
        <w:t>Phase 1 does not claim canopy height from Sentinel-2/Sentinel-1 directly. Any canopy height product requires separate data sources (e.g., LiDAR/photogrammetry) and will be specified in a future Tier 3 document. In Phase 1, the app should label outputs as ‘structural proxies’.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