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Gondwana / Terra – Phase 1 Specification</w:t>
      </w:r>
    </w:p>
    <w:p>
      <w:pPr>
        <w:pStyle w:val="Heading2"/>
      </w:pPr>
      <w:r>
        <w:t>1. Objective</w:t>
      </w:r>
    </w:p>
    <w:p>
      <w:r>
        <w:t>Establish a satellite-driven ecological baseline across the 10 km flagship zone. Deliver monthly ecological intelligence to support structural optimisation and bushcare mobilisation.</w:t>
      </w:r>
    </w:p>
    <w:p>
      <w:pPr>
        <w:pStyle w:val="Heading2"/>
      </w:pPr>
      <w:r>
        <w:t>2. Scope</w:t>
      </w:r>
    </w:p>
    <w:p>
      <w:r>
        <w:t>• Monthly Sentinel-2 NDVI composite (cloud-masked)</w:t>
      </w:r>
    </w:p>
    <w:p>
      <w:r>
        <w:t>• Structural complexity proxy (NDVI variance + Sentinel-1 where feasible)</w:t>
      </w:r>
    </w:p>
    <w:p>
      <w:r>
        <w:t>• Disturbance detection (fire/clearing)</w:t>
      </w:r>
    </w:p>
    <w:p>
      <w:r>
        <w:t>• Connectivity &amp; corridor gap mapping</w:t>
      </w:r>
    </w:p>
    <w:p>
      <w:r>
        <w:t>• Plot-level regional ecosystem identification</w:t>
      </w:r>
    </w:p>
    <w:p>
      <w:r>
        <w:t>• Mission recommendations (structural interventions)</w:t>
      </w:r>
    </w:p>
    <w:p>
      <w:pPr>
        <w:pStyle w:val="Heading2"/>
      </w:pPr>
      <w:r>
        <w:t>3. Out of Scope (Phase 1)</w:t>
      </w:r>
    </w:p>
    <w:p>
      <w:r>
        <w:t>• Credit issuance</w:t>
      </w:r>
    </w:p>
    <w:p>
      <w:r>
        <w:t>• Portfolio-level verification</w:t>
      </w:r>
    </w:p>
    <w:p>
      <w:r>
        <w:t>• Full acoustic coverage</w:t>
      </w:r>
    </w:p>
    <w:p>
      <w:r>
        <w:t>• Elite classification</w:t>
      </w:r>
    </w:p>
    <w:p>
      <w:pPr>
        <w:pStyle w:val="Heading2"/>
      </w:pPr>
      <w:r>
        <w:t>4. Deliverables</w:t>
      </w:r>
    </w:p>
    <w:p>
      <w:r>
        <w:t>• Automated monthly ecological composite</w:t>
      </w:r>
    </w:p>
    <w:p>
      <w:r>
        <w:t>• Interactive zone map interface</w:t>
      </w:r>
    </w:p>
    <w:p>
      <w:r>
        <w:t>• Plot-level ecosystem preference output</w:t>
      </w:r>
    </w:p>
    <w:p>
      <w:r>
        <w:t>• 3–5 structural missions initiated</w:t>
      </w:r>
    </w:p>
    <w:p>
      <w:r>
        <w:t>• Stakeholder feedback loop established</w:t>
      </w:r>
    </w:p>
    <w:p>
      <w:pPr>
        <w:pStyle w:val="Heading2"/>
      </w:pPr>
      <w:r>
        <w:t>5. Success Metrics</w:t>
      </w:r>
    </w:p>
    <w:p>
      <w:r>
        <w:t>• Monthly pipeline operational</w:t>
      </w:r>
    </w:p>
    <w:p>
      <w:r>
        <w:t>• Clear intelligence briefs generated</w:t>
      </w:r>
    </w:p>
    <w:p>
      <w:r>
        <w:t>• Structural hotspot identification validated</w:t>
      </w:r>
    </w:p>
    <w:p>
      <w:r>
        <w:t>• Active engagement from bushcare / catchment groups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