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Strategic Architecture &amp; Evolution Framework v1.0</w:t>
      </w:r>
    </w:p>
    <w:p>
      <w:r>
        <w:t>Purpose: Encode the network effects, phased evolution constraints, and integrity guardrails required for Terra to mature from a Phase 1 satellite-led mobile product into a portfolio-scale biodiversity infrastructure platform aligned to HHI governance.</w:t>
      </w:r>
    </w:p>
    <w:p>
      <w:pPr>
        <w:pStyle w:val="Heading2"/>
      </w:pPr>
      <w:r>
        <w:t>1. Core Design Principle</w:t>
      </w:r>
    </w:p>
    <w:p>
      <w:r>
        <w:t>Terra is a density-driven biodiversity intelligence network. Value increases as geographic concentration, sensor density, portfolio aggregation, and longitudinal time-series depth increase.</w:t>
      </w:r>
    </w:p>
    <w:p>
      <w:pPr>
        <w:pStyle w:val="Heading2"/>
      </w:pPr>
      <w:r>
        <w:t>2. Embedded Network Effects (Flywheel)</w:t>
      </w:r>
    </w:p>
    <w:p>
      <w:pPr>
        <w:pStyle w:val="Heading3"/>
      </w:pPr>
      <w:r>
        <w:t>2.1 Geographic Concentration Effect</w:t>
      </w:r>
    </w:p>
    <w:p>
      <w:r>
        <w:t>• Flagship-first: concentrate within the 10 km zone before expanding.</w:t>
      </w:r>
    </w:p>
    <w:p>
      <w:r>
        <w:t>• Concentration increases signal power, stakeholder trust, and sponsor appeal.</w:t>
      </w:r>
    </w:p>
    <w:p>
      <w:r>
        <w:t>Architectural requirements:</w:t>
      </w:r>
    </w:p>
    <w:p>
      <w:r>
        <w:t>• All entities are geo-indexed and zone-aware.</w:t>
      </w:r>
    </w:p>
    <w:p>
      <w:r>
        <w:t>• Zone-level aggregation is a first-class capability (not an afterthought).</w:t>
      </w:r>
    </w:p>
    <w:p>
      <w:pPr>
        <w:pStyle w:val="Heading3"/>
      </w:pPr>
      <w:r>
        <w:t>2.2 Density → Confidence Effect</w:t>
      </w:r>
    </w:p>
    <w:p>
      <w:r>
        <w:t>• Higher sensor density tightens confidence bands and reduces uncertainty.</w:t>
      </w:r>
    </w:p>
    <w:p>
      <w:r>
        <w:t>• Time-series depth reduces volatility noise and supports stability claims.</w:t>
      </w:r>
    </w:p>
    <w:p>
      <w:r>
        <w:t>Architectural requirements:</w:t>
      </w:r>
    </w:p>
    <w:p>
      <w:r>
        <w:t>• Confidence score is an explicit object, not a UI label.</w:t>
      </w:r>
    </w:p>
    <w:p>
      <w:r>
        <w:t>• Sensor density is computed and stored per zone and per portfolio.</w:t>
      </w:r>
    </w:p>
    <w:p>
      <w:r>
        <w:t>• Tier classification is dynamic, based on evidence present.</w:t>
      </w:r>
    </w:p>
    <w:p>
      <w:pPr>
        <w:pStyle w:val="Heading3"/>
      </w:pPr>
      <w:r>
        <w:t>2.3 Mission → Structure → Function Effect</w:t>
      </w:r>
    </w:p>
    <w:p>
      <w:r>
        <w:t>• Missions produce structural interventions (Phase 1).</w:t>
      </w:r>
    </w:p>
    <w:p>
      <w:r>
        <w:t>• Structural change is measurable via satellite time-series.</w:t>
      </w:r>
    </w:p>
    <w:p>
      <w:r>
        <w:t>• Functional response is validated via acoustics (Phase 2+).</w:t>
      </w:r>
    </w:p>
    <w:p>
      <w:r>
        <w:t>Architectural requirements:</w:t>
      </w:r>
    </w:p>
    <w:p>
      <w:r>
        <w:t>• Missions are persisted with geospatial footprint, date, and method version.</w:t>
      </w:r>
    </w:p>
    <w:p>
      <w:r>
        <w:t>• Structural metrics are stored as time-series and remain reproducible.</w:t>
      </w:r>
    </w:p>
    <w:p>
      <w:r>
        <w:t>• Functional metrics plug into the same plot/zone/portfolio hierarchy.</w:t>
      </w:r>
    </w:p>
    <w:p>
      <w:pPr>
        <w:pStyle w:val="Heading3"/>
      </w:pPr>
      <w:r>
        <w:t>2.4 Portfolio Aggregation Effect</w:t>
      </w:r>
    </w:p>
    <w:p>
      <w:r>
        <w:t>• Individual plots roll up into zones; zones roll up into portfolios.</w:t>
      </w:r>
    </w:p>
    <w:p>
      <w:r>
        <w:t>• Portfolio aggregation increases institutional relevance and market readiness.</w:t>
      </w:r>
    </w:p>
    <w:p>
      <w:r>
        <w:t>Architectural requirements:</w:t>
      </w:r>
    </w:p>
    <w:p>
      <w:r>
        <w:t>• Data model supports Plot → Zone → Portfolio aggregation.</w:t>
      </w:r>
    </w:p>
    <w:p>
      <w:r>
        <w:t>• Aggregations are versioned and reproducible.</w:t>
      </w:r>
    </w:p>
    <w:p>
      <w:pPr>
        <w:pStyle w:val="Heading2"/>
      </w:pPr>
      <w:r>
        <w:t>3. Phase Evolution Constraints</w:t>
      </w:r>
    </w:p>
    <w:p>
      <w:pPr>
        <w:pStyle w:val="Heading3"/>
      </w:pPr>
      <w:r>
        <w:t>3.1 Phase 1 – Structural Intelligence (Satellite-Led)</w:t>
      </w:r>
    </w:p>
    <w:p>
      <w:r>
        <w:t>• Tier 1 dominant: satellite composites and structural proxies.</w:t>
      </w:r>
    </w:p>
    <w:p>
      <w:r>
        <w:t>• Missions: structural optimisation and mobilisation.</w:t>
      </w:r>
    </w:p>
    <w:p>
      <w:r>
        <w:t>• Confidence: structural-only; no functional inference.</w:t>
      </w:r>
    </w:p>
    <w:p>
      <w:r>
        <w:t>• Credits: out of scope; Elite evaluation dormant.</w:t>
      </w:r>
    </w:p>
    <w:p>
      <w:r>
        <w:t>Constraints to build now (even if dormant):</w:t>
      </w:r>
    </w:p>
    <w:p>
      <w:r>
        <w:t>• Elite eligibility fields exist but remain inactive.</w:t>
      </w:r>
    </w:p>
    <w:p>
      <w:r>
        <w:t>• Acoustic ingestion interfaces scaffolded for Phase 2.</w:t>
      </w:r>
    </w:p>
    <w:p>
      <w:pPr>
        <w:pStyle w:val="Heading3"/>
      </w:pPr>
      <w:r>
        <w:t>3.2 Phase 2 – Functional Validation (Acoustic Integration)</w:t>
      </w:r>
    </w:p>
    <w:p>
      <w:r>
        <w:t>• Tier 2: acoustic integration enables guild persistence and volatility measures.</w:t>
      </w:r>
    </w:p>
    <w:p>
      <w:r>
        <w:t>• Confidence begins incorporating density and time-series depth.</w:t>
      </w:r>
    </w:p>
    <w:p>
      <w:r>
        <w:t>Constraints:</w:t>
      </w:r>
    </w:p>
    <w:p>
      <w:r>
        <w:t>• Acoustic schema plugs into existing Plot objects.</w:t>
      </w:r>
    </w:p>
    <w:p>
      <w:r>
        <w:t>• Tier updates automatically based on evidence present.</w:t>
      </w:r>
    </w:p>
    <w:p>
      <w:pPr>
        <w:pStyle w:val="Heading3"/>
      </w:pPr>
      <w:r>
        <w:t>3.3 Phase 3 – Market Activation (Portfolio &amp; Verification)</w:t>
      </w:r>
    </w:p>
    <w:p>
      <w:r>
        <w:t>• Portfolio-level scoring and threshold gating become active.</w:t>
      </w:r>
    </w:p>
    <w:p>
      <w:r>
        <w:t>• Elite eligibility evaluation and external review workflow integrated.</w:t>
      </w:r>
    </w:p>
    <w:p>
      <w:r>
        <w:t>Constraints:</w:t>
      </w:r>
    </w:p>
    <w:p>
      <w:r>
        <w:t>• Threshold engine exists (dormant until Phase 3).</w:t>
      </w:r>
    </w:p>
    <w:p>
      <w:r>
        <w:t>• All scores remain historically reproducible under method versioning.</w:t>
      </w:r>
    </w:p>
    <w:p>
      <w:pPr>
        <w:pStyle w:val="Heading2"/>
      </w:pPr>
      <w:r>
        <w:t>4. Elite &amp; Confidence Pathway (Must Exist in Schema Now)</w:t>
      </w:r>
    </w:p>
    <w:p>
      <w:r>
        <w:t>• tier_level (Tier 1/2/3)</w:t>
      </w:r>
    </w:p>
    <w:p>
      <w:r>
        <w:t>• confidence_score (numeric + band)</w:t>
      </w:r>
    </w:p>
    <w:p>
      <w:r>
        <w:t>• sensor_density (per km²)</w:t>
      </w:r>
    </w:p>
    <w:p>
      <w:r>
        <w:t>• time_series_depth (months)</w:t>
      </w:r>
    </w:p>
    <w:p>
      <w:r>
        <w:t>• elite_eligible (boolean)</w:t>
      </w:r>
    </w:p>
    <w:p>
      <w:r>
        <w:t>• elite_review_status (enum: not_started/in_review/approved/rejected)</w:t>
      </w:r>
    </w:p>
    <w:p>
      <w:r>
        <w:t>• method_version (HHI/Terra method version used)</w:t>
      </w:r>
    </w:p>
    <w:p>
      <w:pPr>
        <w:pStyle w:val="Heading2"/>
      </w:pPr>
      <w:r>
        <w:t>5. Versioning &amp; Reproducibility</w:t>
      </w:r>
    </w:p>
    <w:p>
      <w:r>
        <w:t>Every computed metric must store:</w:t>
      </w:r>
    </w:p>
    <w:p>
      <w:r>
        <w:t>• Data source identifier and version</w:t>
      </w:r>
    </w:p>
    <w:p>
      <w:r>
        <w:t>• Processing method version</w:t>
      </w:r>
    </w:p>
    <w:p>
      <w:r>
        <w:t>• Timestamp / period of measure</w:t>
      </w:r>
    </w:p>
    <w:p>
      <w:r>
        <w:t>• Confidence band inputs (density, depth, coverage)</w:t>
      </w:r>
    </w:p>
    <w:p>
      <w:pPr>
        <w:pStyle w:val="Heading2"/>
      </w:pPr>
      <w:r>
        <w:t>6. Integrity Guardrails</w:t>
      </w:r>
    </w:p>
    <w:p>
      <w:r>
        <w:t>• No functional inference from structural-only evidence.</w:t>
      </w:r>
    </w:p>
    <w:p>
      <w:r>
        <w:t>• Tier 1 vs Tier 2 must be explicit in UI and data.</w:t>
      </w:r>
    </w:p>
    <w:p>
      <w:r>
        <w:t>• No manual overrides that change score outputs without audit trail.</w:t>
      </w:r>
    </w:p>
    <w:p>
      <w:r>
        <w:t>• Thresholds and scoring logic must be version-controlled.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