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Structured Risk Review v1.0</w:t>
      </w:r>
    </w:p>
    <w:p>
      <w:r>
        <w:t>Purpose: Identify major categories of technical, ecological, operational, market, and governance risks for Terra Phase 1–3 evolution.</w:t>
      </w:r>
    </w:p>
    <w:p>
      <w:pPr>
        <w:pStyle w:val="Heading2"/>
      </w:pPr>
      <w:r>
        <w:t>1. Technical Risks</w:t>
      </w:r>
    </w:p>
    <w:p>
      <w:r>
        <w:t>• Cloud-heavy months reducing valid pixel coverage.</w:t>
      </w:r>
    </w:p>
    <w:p>
      <w:r>
        <w:t>• Performance bottlenecks in raster processing.</w:t>
      </w:r>
    </w:p>
    <w:p>
      <w:r>
        <w:t>• Offline sync conflicts or data loss.</w:t>
      </w:r>
    </w:p>
    <w:p>
      <w:r>
        <w:t>• API version drift during rapid iteration.</w:t>
      </w:r>
    </w:p>
    <w:p>
      <w:r>
        <w:t>Mitigation: QA thresholds, parallel processing, conflict resolution logic, strict API versioning.</w:t>
      </w:r>
    </w:p>
    <w:p>
      <w:pPr>
        <w:pStyle w:val="Heading2"/>
      </w:pPr>
      <w:r>
        <w:t>2. Ecological Risks</w:t>
      </w:r>
    </w:p>
    <w:p>
      <w:r>
        <w:t>• Structural proxies misinterpreted as functional proof.</w:t>
      </w:r>
    </w:p>
    <w:p>
      <w:r>
        <w:t>• Incorrect species recommendations by ecosystem mapping.</w:t>
      </w:r>
    </w:p>
    <w:p>
      <w:r>
        <w:t>• NDVI anomalies caused by non-ecological factors.</w:t>
      </w:r>
    </w:p>
    <w:p>
      <w:r>
        <w:t>Mitigation: Clear Tier labelling, advisory partners, disturbance tagging context.</w:t>
      </w:r>
    </w:p>
    <w:p>
      <w:pPr>
        <w:pStyle w:val="Heading2"/>
      </w:pPr>
      <w:r>
        <w:t>3. Engagement &amp; Adoption Risks</w:t>
      </w:r>
    </w:p>
    <w:p>
      <w:r>
        <w:t>• Bushcare fatigue or low mission completion.</w:t>
      </w:r>
    </w:p>
    <w:p>
      <w:r>
        <w:t>• Low sensor density delaying Phase 2.</w:t>
      </w:r>
    </w:p>
    <w:p>
      <w:r>
        <w:t>Mitigation: Mission gamification (non-market), sponsor clustering, flagship concentration strategy.</w:t>
      </w:r>
    </w:p>
    <w:p>
      <w:pPr>
        <w:pStyle w:val="Heading2"/>
      </w:pPr>
      <w:r>
        <w:t>4. Governance &amp; Market Risks</w:t>
      </w:r>
    </w:p>
    <w:p>
      <w:r>
        <w:t>• Regulatory scrutiny of methodology.</w:t>
      </w:r>
    </w:p>
    <w:p>
      <w:r>
        <w:t>• Misalignment with Nature Repair Market expectations.</w:t>
      </w:r>
    </w:p>
    <w:p>
      <w:r>
        <w:t>• Premature activation of Elite claims.</w:t>
      </w:r>
    </w:p>
    <w:p>
      <w:r>
        <w:t>Mitigation: Dormant threshold engine, external validation workflow, method version control.</w:t>
      </w:r>
    </w:p>
    <w:p>
      <w:pPr>
        <w:pStyle w:val="Heading2"/>
      </w:pPr>
      <w:r>
        <w:t>5. Strategic Risks</w:t>
      </w:r>
    </w:p>
    <w:p>
      <w:r>
        <w:t>• Expanding geographically before density achieved.</w:t>
      </w:r>
    </w:p>
    <w:p>
      <w:r>
        <w:t>• Adding features that dilute focus from flagship.</w:t>
      </w:r>
    </w:p>
    <w:p>
      <w:r>
        <w:t>Mitigation: 10 km concentration discipline; phased release governance.</w:t>
      </w:r>
    </w:p>
    <w:p>
      <w:pPr>
        <w:pStyle w:val="Heading2"/>
      </w:pPr>
      <w:r>
        <w:t>6. Residual Risk Assessment</w:t>
      </w:r>
    </w:p>
    <w:p>
      <w:r>
        <w:t>Residual risk remains moderate in ecological interpretation and market activation stages. Technical architecture risk is reduced significantly by current documentation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