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PRAMAAN–AICTE</w:t>
      </w:r>
    </w:p>
    <w:p>
      <w:pPr>
        <w:pStyle w:val="Subtitle"/>
        <w:jc w:val="center"/>
      </w:pPr>
      <w:r>
        <w:t>Complete Master Research, Architecture &amp; Implementation Report</w:t>
      </w:r>
    </w:p>
    <w:p>
      <w:pPr>
        <w:jc w:val="center"/>
      </w:pPr>
      <w:r>
        <w:rPr>
          <w:i/>
        </w:rPr>
        <w:t>APAAR-ID-Based Student Data Management and Verification Platform for AICTE-Approved Institutions</w:t>
      </w:r>
    </w:p>
    <w:p>
      <w:pPr>
        <w:jc w:val="center"/>
      </w:pPr>
      <w:r>
        <w:rPr>
          <w:b/>
        </w:rPr>
        <w:t>SIH problem statement reference: SIH26263 [VERIFY on official SIH portal]</w:t>
      </w:r>
    </w:p>
    <w:p>
      <w:pPr>
        <w:jc w:val="center"/>
      </w:pPr>
      <w:r>
        <w:t>Integrated edition: corrected source research + redesigned architecture + implementation specification</w:t>
      </w:r>
    </w:p>
    <w:p>
      <w:pPr>
        <w:jc w:val="center"/>
      </w:pPr>
      <w:r>
        <w:t>Document status: proposed design; not an official AICTE specification and not a legal compliance certification</w:t>
      </w:r>
    </w:p>
    <w:p>
      <w:pPr>
        <w:jc w:val="center"/>
      </w:pPr>
      <w:r>
        <w:t>Prepared 24 October 2026</w:t>
      </w:r>
    </w:p>
    <w:p>
      <w:pPr>
        <w:pageBreakBefore/>
      </w:pPr>
      <w:r/>
    </w:p>
    <w:p>
      <w:pPr>
        <w:spacing w:after="160"/>
      </w:pPr>
      <w:r>
        <w:rPr>
          <w:b/>
        </w:rPr>
        <w:t xml:space="preserve">MASTER REPORT NOTE. </w:t>
      </w:r>
      <w:r>
        <w:t>Part I preserves the corrected research document and its source-derived framing. Part II adds the redesigned architecture and ERP/module blueprint. Part III adds implementation-level contracts, workflows, security controls, deployment guidance, acceptance criteria, and a consolidated verification register. Statements inherited from the source that are not independently established remain marked [VERIFY] where applicable. Proposed technical choices are design recommendations, not confirmed external specifications.</w:t>
      </w:r>
    </w:p>
    <w:p>
      <w:pPr>
        <w:pStyle w:val="Title"/>
        <w:jc w:val="center"/>
      </w:pPr>
      <w:r>
        <w:t>CHANGE LOG</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vAlign w:val="top"/>
          </w:tcPr>
          <w:p>
            <w:pPr>
              <w:spacing w:after="40" w:line="240" w:lineRule="auto"/>
            </w:pPr>
            <w:r>
              <w:t>ID</w:t>
            </w:r>
          </w:p>
        </w:tc>
        <w:tc>
          <w:tcPr>
            <w:tcW w:type="dxa" w:w="2556"/>
            <w:vAlign w:val="top"/>
          </w:tcPr>
          <w:p>
            <w:pPr>
              <w:spacing w:after="40" w:line="240" w:lineRule="auto"/>
            </w:pPr>
            <w:r>
              <w:t>location</w:t>
            </w:r>
          </w:p>
        </w:tc>
        <w:tc>
          <w:tcPr>
            <w:tcW w:type="dxa" w:w="2556"/>
            <w:vAlign w:val="top"/>
          </w:tcPr>
          <w:p>
            <w:pPr>
              <w:spacing w:after="40" w:line="240" w:lineRule="auto"/>
            </w:pPr>
            <w:r>
              <w:t>before</w:t>
            </w:r>
          </w:p>
        </w:tc>
        <w:tc>
          <w:tcPr>
            <w:tcW w:type="dxa" w:w="2556"/>
            <w:vAlign w:val="top"/>
          </w:tcPr>
          <w:p>
            <w:pPr>
              <w:spacing w:after="40" w:line="240" w:lineRule="auto"/>
            </w:pPr>
            <w:r>
              <w:t>after</w:t>
            </w:r>
          </w:p>
        </w:tc>
      </w:tr>
      <w:tr>
        <w:tc>
          <w:tcPr>
            <w:tcW w:type="dxa" w:w="2556"/>
            <w:vAlign w:val="top"/>
          </w:tcPr>
          <w:p>
            <w:pPr>
              <w:spacing w:after="40" w:line="240" w:lineRule="auto"/>
            </w:pPr>
            <w:r>
              <w:t>A1</w:t>
            </w:r>
          </w:p>
        </w:tc>
        <w:tc>
          <w:tcPr>
            <w:tcW w:type="dxa" w:w="2556"/>
            <w:vAlign w:val="top"/>
          </w:tcPr>
          <w:p>
            <w:pPr>
              <w:spacing w:after="40" w:line="240" w:lineRule="auto"/>
            </w:pPr>
            <w:r>
              <w:t>§17 demo script</w:t>
            </w:r>
          </w:p>
        </w:tc>
        <w:tc>
          <w:tcPr>
            <w:tcW w:type="dxa" w:w="2556"/>
            <w:vAlign w:val="top"/>
          </w:tcPr>
          <w:p>
            <w:pPr>
              <w:spacing w:after="40" w:line="240" w:lineRule="auto"/>
            </w:pPr>
            <w:r>
              <w:t>₹32,00,000 = 4 × 5 × ₹8,00,000</w:t>
            </w:r>
          </w:p>
        </w:tc>
        <w:tc>
          <w:tcPr>
            <w:tcW w:type="dxa" w:w="2556"/>
            <w:vAlign w:val="top"/>
          </w:tcPr>
          <w:p>
            <w:pPr>
              <w:spacing w:after="40" w:line="240" w:lineRule="auto"/>
            </w:pPr>
            <w:r>
              <w:t>₹1,60,00,000 = 4 × 5 × ₹8,00,000</w:t>
            </w:r>
          </w:p>
        </w:tc>
      </w:tr>
      <w:tr>
        <w:tc>
          <w:tcPr>
            <w:tcW w:type="dxa" w:w="2556"/>
            <w:vAlign w:val="top"/>
          </w:tcPr>
          <w:p>
            <w:pPr>
              <w:spacing w:after="40" w:line="240" w:lineRule="auto"/>
            </w:pPr>
            <w:r>
              <w:t>A2</w:t>
            </w:r>
          </w:p>
        </w:tc>
        <w:tc>
          <w:tcPr>
            <w:tcW w:type="dxa" w:w="2556"/>
            <w:vAlign w:val="top"/>
          </w:tcPr>
          <w:p>
            <w:pPr>
              <w:spacing w:after="40" w:line="240" w:lineRule="auto"/>
            </w:pPr>
            <w:r>
              <w:t>§12 API response</w:t>
            </w:r>
          </w:p>
        </w:tc>
        <w:tc>
          <w:tcPr>
            <w:tcW w:type="dxa" w:w="2556"/>
            <w:vAlign w:val="top"/>
          </w:tcPr>
          <w:p>
            <w:pPr>
              <w:spacing w:after="40" w:line="240" w:lineRule="auto"/>
            </w:pPr>
            <w:r>
              <w:t>Identity totals 139 + 18 + 1 = 158; intake breakdown totals 156</w:t>
            </w:r>
          </w:p>
        </w:tc>
        <w:tc>
          <w:tcPr>
            <w:tcW w:type="dxa" w:w="2556"/>
            <w:vAlign w:val="top"/>
          </w:tcPr>
          <w:p>
            <w:pPr>
              <w:spacing w:after="40" w:line="240" w:lineRule="auto"/>
            </w:pPr>
            <w:r>
              <w:t>Added explicit identity_records_pending_intake_reconciliation: 2 line item</w:t>
            </w:r>
          </w:p>
        </w:tc>
      </w:tr>
      <w:tr>
        <w:tc>
          <w:tcPr>
            <w:tcW w:type="dxa" w:w="2556"/>
            <w:vAlign w:val="top"/>
          </w:tcPr>
          <w:p>
            <w:pPr>
              <w:spacing w:after="40" w:line="240" w:lineRule="auto"/>
            </w:pPr>
            <w:r>
              <w:t>A3</w:t>
            </w:r>
          </w:p>
        </w:tc>
        <w:tc>
          <w:tcPr>
            <w:tcW w:type="dxa" w:w="2556"/>
            <w:vAlign w:val="top"/>
          </w:tcPr>
          <w:p>
            <w:pPr>
              <w:spacing w:after="40" w:line="240" w:lineRule="auto"/>
            </w:pPr>
            <w:r>
              <w:t>Throughout</w:t>
            </w:r>
          </w:p>
        </w:tc>
        <w:tc>
          <w:tcPr>
            <w:tcW w:type="dxa" w:w="2556"/>
            <w:vAlign w:val="top"/>
          </w:tcPr>
          <w:p>
            <w:pPr>
              <w:spacing w:after="40" w:line="240" w:lineRule="auto"/>
            </w:pPr>
            <w:r>
              <w:t>DPDP Rules notification date: 14 Nov 2025</w:t>
            </w:r>
          </w:p>
        </w:tc>
        <w:tc>
          <w:tcPr>
            <w:tcW w:type="dxa" w:w="2556"/>
            <w:vAlign w:val="top"/>
          </w:tcPr>
          <w:p>
            <w:pPr>
              <w:spacing w:after="40" w:line="240" w:lineRule="auto"/>
            </w:pPr>
            <w:r>
              <w:t>13 Nov 2025; 13 May 2027 deadline retained</w:t>
            </w:r>
          </w:p>
        </w:tc>
      </w:tr>
      <w:tr>
        <w:tc>
          <w:tcPr>
            <w:tcW w:type="dxa" w:w="2556"/>
            <w:vAlign w:val="top"/>
          </w:tcPr>
          <w:p>
            <w:pPr>
              <w:spacing w:after="40" w:line="240" w:lineRule="auto"/>
            </w:pPr>
            <w:r>
              <w:t>A4</w:t>
            </w:r>
          </w:p>
        </w:tc>
        <w:tc>
          <w:tcPr>
            <w:tcW w:type="dxa" w:w="2556"/>
            <w:vAlign w:val="top"/>
          </w:tcPr>
          <w:p>
            <w:pPr>
              <w:spacing w:after="40" w:line="240" w:lineRule="auto"/>
            </w:pPr>
            <w:r>
              <w:t>§12 DigiLocker sample</w:t>
            </w:r>
          </w:p>
        </w:tc>
        <w:tc>
          <w:tcPr>
            <w:tcW w:type="dxa" w:w="2556"/>
            <w:vAlign w:val="top"/>
          </w:tcPr>
          <w:p>
            <w:pPr>
              <w:spacing w:after="40" w:line="240" w:lineRule="auto"/>
            </w:pPr>
            <w:r>
              <w:t>URI DocID omitted hyphens</w:t>
            </w:r>
          </w:p>
        </w:tc>
        <w:tc>
          <w:tcPr>
            <w:tcW w:type="dxa" w:w="2556"/>
            <w:vAlign w:val="top"/>
          </w:tcPr>
          <w:p>
            <w:pPr>
              <w:spacing w:after="40" w:line="240" w:lineRule="auto"/>
            </w:pPr>
            <w:r>
              <w:t>URI uses DocId exactly: in.gov.aicte-AICTEER-2026-144464883934-CE-0041</w:t>
            </w:r>
          </w:p>
        </w:tc>
      </w:tr>
      <w:tr>
        <w:tc>
          <w:tcPr>
            <w:tcW w:type="dxa" w:w="2556"/>
            <w:vAlign w:val="top"/>
          </w:tcPr>
          <w:p>
            <w:pPr>
              <w:spacing w:after="40" w:line="240" w:lineRule="auto"/>
            </w:pPr>
            <w:r>
              <w:t>A5</w:t>
            </w:r>
          </w:p>
        </w:tc>
        <w:tc>
          <w:tcPr>
            <w:tcW w:type="dxa" w:w="2556"/>
            <w:vAlign w:val="top"/>
          </w:tcPr>
          <w:p>
            <w:pPr>
              <w:spacing w:after="40" w:line="240" w:lineRule="auto"/>
            </w:pPr>
            <w:r>
              <w:t>§14 integrations</w:t>
            </w:r>
          </w:p>
        </w:tc>
        <w:tc>
          <w:tcPr>
            <w:tcW w:type="dxa" w:w="2556"/>
            <w:vAlign w:val="top"/>
          </w:tcPr>
          <w:p>
            <w:pPr>
              <w:spacing w:after="40" w:line="240" w:lineRule="auto"/>
            </w:pPr>
            <w:r>
              <w:t>partners.digitallocker.gov.in</w:t>
            </w:r>
          </w:p>
        </w:tc>
        <w:tc>
          <w:tcPr>
            <w:tcW w:type="dxa" w:w="2556"/>
            <w:vAlign w:val="top"/>
          </w:tcPr>
          <w:p>
            <w:pPr>
              <w:spacing w:after="40" w:line="240" w:lineRule="auto"/>
            </w:pPr>
            <w:r>
              <w:t>partners.apisetu.gov.in</w:t>
            </w:r>
          </w:p>
        </w:tc>
      </w:tr>
      <w:tr>
        <w:tc>
          <w:tcPr>
            <w:tcW w:type="dxa" w:w="2556"/>
            <w:vAlign w:val="top"/>
          </w:tcPr>
          <w:p>
            <w:pPr>
              <w:spacing w:after="40" w:line="240" w:lineRule="auto"/>
            </w:pPr>
            <w:r>
              <w:t>A6</w:t>
            </w:r>
          </w:p>
        </w:tc>
        <w:tc>
          <w:tcPr>
            <w:tcW w:type="dxa" w:w="2556"/>
            <w:vAlign w:val="top"/>
          </w:tcPr>
          <w:p>
            <w:pPr>
              <w:spacing w:after="40" w:line="240" w:lineRule="auto"/>
            </w:pPr>
            <w:r>
              <w:t>§2 / companion statements</w:t>
            </w:r>
          </w:p>
        </w:tc>
        <w:tc>
          <w:tcPr>
            <w:tcW w:type="dxa" w:w="2556"/>
            <w:vAlign w:val="top"/>
          </w:tcPr>
          <w:p>
            <w:pPr>
              <w:spacing w:after="40" w:line="240" w:lineRule="auto"/>
            </w:pPr>
            <w:r>
              <w:t>SIH26261–SIH26265; prose lists 61–64</w:t>
            </w:r>
          </w:p>
        </w:tc>
        <w:tc>
          <w:tcPr>
            <w:tcW w:type="dxa" w:w="2556"/>
            <w:vAlign w:val="top"/>
          </w:tcPr>
          <w:p>
            <w:pPr>
              <w:spacing w:after="40" w:line="240" w:lineRule="auto"/>
            </w:pPr>
            <w:r>
              <w:t>Aligned range to SIH26261–SIH26264</w:t>
            </w:r>
          </w:p>
        </w:tc>
      </w:tr>
      <w:tr>
        <w:tc>
          <w:tcPr>
            <w:tcW w:type="dxa" w:w="2556"/>
            <w:vAlign w:val="top"/>
          </w:tcPr>
          <w:p>
            <w:pPr>
              <w:spacing w:after="40" w:line="240" w:lineRule="auto"/>
            </w:pPr>
            <w:r>
              <w:t>A7</w:t>
            </w:r>
          </w:p>
        </w:tc>
        <w:tc>
          <w:tcPr>
            <w:tcW w:type="dxa" w:w="2556"/>
            <w:vAlign w:val="top"/>
          </w:tcPr>
          <w:p>
            <w:pPr>
              <w:spacing w:after="40" w:line="240" w:lineRule="auto"/>
            </w:pPr>
            <w:r>
              <w:t>Similarity thresholds</w:t>
            </w:r>
          </w:p>
        </w:tc>
        <w:tc>
          <w:tcPr>
            <w:tcW w:type="dxa" w:w="2556"/>
            <w:vAlign w:val="top"/>
          </w:tcPr>
          <w:p>
            <w:pPr>
              <w:spacing w:after="40" w:line="240" w:lineRule="auto"/>
            </w:pPr>
            <w:r>
              <w:t>Review 0.78–0.91 / inconsistent bounds</w:t>
            </w:r>
          </w:p>
        </w:tc>
        <w:tc>
          <w:tcPr>
            <w:tcW w:type="dxa" w:w="2556"/>
            <w:vAlign w:val="top"/>
          </w:tcPr>
          <w:p>
            <w:pPr>
              <w:spacing w:after="40" w:line="240" w:lineRule="auto"/>
            </w:pPr>
            <w:r>
              <w:t>Review [0.78, 0.92); auto-match ≥ 0.92; no-match &lt; 0.78</w:t>
            </w:r>
          </w:p>
        </w:tc>
      </w:tr>
      <w:tr>
        <w:tc>
          <w:tcPr>
            <w:tcW w:type="dxa" w:w="2556"/>
            <w:vAlign w:val="top"/>
          </w:tcPr>
          <w:p>
            <w:pPr>
              <w:spacing w:after="40" w:line="240" w:lineRule="auto"/>
            </w:pPr>
            <w:r>
              <w:t>B1</w:t>
            </w:r>
          </w:p>
        </w:tc>
        <w:tc>
          <w:tcPr>
            <w:tcW w:type="dxa" w:w="2556"/>
            <w:vAlign w:val="top"/>
          </w:tcPr>
          <w:p>
            <w:pPr>
              <w:spacing w:after="40" w:line="240" w:lineRule="auto"/>
            </w:pPr>
            <w:r>
              <w:t>§13 / Rule 8</w:t>
            </w:r>
          </w:p>
        </w:tc>
        <w:tc>
          <w:tcPr>
            <w:tcW w:type="dxa" w:w="2556"/>
            <w:vAlign w:val="top"/>
          </w:tcPr>
          <w:p>
            <w:pPr>
              <w:spacing w:after="40" w:line="240" w:lineRule="auto"/>
            </w:pPr>
            <w:r>
              <w:t>48-hour notice described as statutory obligation</w:t>
            </w:r>
          </w:p>
        </w:tc>
        <w:tc>
          <w:tcPr>
            <w:tcW w:type="dxa" w:w="2556"/>
            <w:vAlign w:val="top"/>
          </w:tcPr>
          <w:p>
            <w:pPr>
              <w:spacing w:after="40" w:line="240" w:lineRule="auto"/>
            </w:pPr>
            <w:r>
              <w:t>Recast as voluntary design choice; Rule 8 obligation removed</w:t>
            </w:r>
          </w:p>
        </w:tc>
      </w:tr>
      <w:tr>
        <w:tc>
          <w:tcPr>
            <w:tcW w:type="dxa" w:w="2556"/>
            <w:vAlign w:val="top"/>
          </w:tcPr>
          <w:p>
            <w:pPr>
              <w:spacing w:after="40" w:line="240" w:lineRule="auto"/>
            </w:pPr>
            <w:r>
              <w:t>B2</w:t>
            </w:r>
          </w:p>
        </w:tc>
        <w:tc>
          <w:tcPr>
            <w:tcW w:type="dxa" w:w="2556"/>
            <w:vAlign w:val="top"/>
          </w:tcPr>
          <w:p>
            <w:pPr>
              <w:spacing w:after="40" w:line="240" w:lineRule="auto"/>
            </w:pPr>
            <w:r>
              <w:t>§13 / notices</w:t>
            </w:r>
          </w:p>
        </w:tc>
        <w:tc>
          <w:tcPr>
            <w:tcW w:type="dxa" w:w="2556"/>
            <w:vAlign w:val="top"/>
          </w:tcPr>
          <w:p>
            <w:pPr>
              <w:spacing w:after="40" w:line="240" w:lineRule="auto"/>
            </w:pPr>
            <w:r>
              <w:t>Translated into all 22 languages</w:t>
            </w:r>
          </w:p>
        </w:tc>
        <w:tc>
          <w:tcPr>
            <w:tcW w:type="dxa" w:w="2556"/>
            <w:vAlign w:val="top"/>
          </w:tcPr>
          <w:p>
            <w:pPr>
              <w:spacing w:after="40" w:line="240" w:lineRule="auto"/>
            </w:pPr>
            <w:r>
              <w:t>English notice with selectable Eighth Schedule language option</w:t>
            </w:r>
          </w:p>
        </w:tc>
      </w:tr>
      <w:tr>
        <w:tc>
          <w:tcPr>
            <w:tcW w:type="dxa" w:w="2556"/>
            <w:vAlign w:val="top"/>
          </w:tcPr>
          <w:p>
            <w:pPr>
              <w:spacing w:after="40" w:line="240" w:lineRule="auto"/>
            </w:pPr>
            <w:r>
              <w:t>B3</w:t>
            </w:r>
          </w:p>
        </w:tc>
        <w:tc>
          <w:tcPr>
            <w:tcW w:type="dxa" w:w="2556"/>
            <w:vAlign w:val="top"/>
          </w:tcPr>
          <w:p>
            <w:pPr>
              <w:spacing w:after="40" w:line="240" w:lineRule="auto"/>
            </w:pPr>
            <w:r>
              <w:t>§13 / consent</w:t>
            </w:r>
          </w:p>
        </w:tc>
        <w:tc>
          <w:tcPr>
            <w:tcW w:type="dxa" w:w="2556"/>
            <w:vAlign w:val="top"/>
          </w:tcPr>
          <w:p>
            <w:pPr>
              <w:spacing w:after="40" w:line="240" w:lineRule="auto"/>
            </w:pPr>
            <w:r>
              <w:t>Two-click withdrawal requirement</w:t>
            </w:r>
          </w:p>
        </w:tc>
        <w:tc>
          <w:tcPr>
            <w:tcW w:type="dxa" w:w="2556"/>
            <w:vAlign w:val="top"/>
          </w:tcPr>
          <w:p>
            <w:pPr>
              <w:spacing w:after="40" w:line="240" w:lineRule="auto"/>
            </w:pPr>
            <w:r>
              <w:t>Withdrawal as easy as giving consent</w:t>
            </w:r>
          </w:p>
        </w:tc>
      </w:tr>
      <w:tr>
        <w:tc>
          <w:tcPr>
            <w:tcW w:type="dxa" w:w="2556"/>
            <w:vAlign w:val="top"/>
          </w:tcPr>
          <w:p>
            <w:pPr>
              <w:spacing w:after="40" w:line="240" w:lineRule="auto"/>
            </w:pPr>
            <w:r>
              <w:t>B4</w:t>
            </w:r>
          </w:p>
        </w:tc>
        <w:tc>
          <w:tcPr>
            <w:tcW w:type="dxa" w:w="2556"/>
            <w:vAlign w:val="top"/>
          </w:tcPr>
          <w:p>
            <w:pPr>
              <w:spacing w:after="40" w:line="240" w:lineRule="auto"/>
            </w:pPr>
            <w:r>
              <w:t>§6 / §13 legal basis</w:t>
            </w:r>
          </w:p>
        </w:tc>
        <w:tc>
          <w:tcPr>
            <w:tcW w:type="dxa" w:w="2556"/>
            <w:vAlign w:val="top"/>
          </w:tcPr>
          <w:p>
            <w:pPr>
              <w:spacing w:after="40" w:line="240" w:lineRule="auto"/>
            </w:pPr>
            <w:r>
              <w:t>Rule 3 used for masking/lawful basis</w:t>
            </w:r>
          </w:p>
        </w:tc>
        <w:tc>
          <w:tcPr>
            <w:tcW w:type="dxa" w:w="2556"/>
            <w:vAlign w:val="top"/>
          </w:tcPr>
          <w:p>
            <w:pPr>
              <w:spacing w:after="40" w:line="240" w:lineRule="auto"/>
            </w:pPr>
            <w:r>
              <w:t>Rule 3 limited to notices; Act §7 and Rule 5 cited for statutory/State processing</w:t>
            </w:r>
          </w:p>
        </w:tc>
      </w:tr>
      <w:tr>
        <w:tc>
          <w:tcPr>
            <w:tcW w:type="dxa" w:w="2556"/>
            <w:vAlign w:val="top"/>
          </w:tcPr>
          <w:p>
            <w:pPr>
              <w:spacing w:after="40" w:line="240" w:lineRule="auto"/>
            </w:pPr>
            <w:r>
              <w:t>B5</w:t>
            </w:r>
          </w:p>
        </w:tc>
        <w:tc>
          <w:tcPr>
            <w:tcW w:type="dxa" w:w="2556"/>
            <w:vAlign w:val="top"/>
          </w:tcPr>
          <w:p>
            <w:pPr>
              <w:spacing w:after="40" w:line="240" w:lineRule="auto"/>
            </w:pPr>
            <w:r>
              <w:t>§13, §15 TS-15, §19</w:t>
            </w:r>
          </w:p>
        </w:tc>
        <w:tc>
          <w:tcPr>
            <w:tcW w:type="dxa" w:w="2556"/>
            <w:vAlign w:val="top"/>
          </w:tcPr>
          <w:p>
            <w:pPr>
              <w:spacing w:after="40" w:line="240" w:lineRule="auto"/>
            </w:pPr>
            <w:r>
              <w:t>Minors handling inconsistent</w:t>
            </w:r>
          </w:p>
        </w:tc>
        <w:tc>
          <w:tcPr>
            <w:tcW w:type="dxa" w:w="2556"/>
            <w:vAlign w:val="top"/>
          </w:tcPr>
          <w:p>
            <w:pPr>
              <w:spacing w:after="40" w:line="240" w:lineRule="auto"/>
            </w:pPr>
            <w:r>
              <w:t>Fourth Schedule core academic exemption distinguished from third-party sharing consent</w:t>
            </w:r>
          </w:p>
        </w:tc>
      </w:tr>
      <w:tr>
        <w:tc>
          <w:tcPr>
            <w:tcW w:type="dxa" w:w="2556"/>
            <w:vAlign w:val="top"/>
          </w:tcPr>
          <w:p>
            <w:pPr>
              <w:spacing w:after="40" w:line="240" w:lineRule="auto"/>
            </w:pPr>
            <w:r>
              <w:t>B6</w:t>
            </w:r>
          </w:p>
        </w:tc>
        <w:tc>
          <w:tcPr>
            <w:tcW w:type="dxa" w:w="2556"/>
            <w:vAlign w:val="top"/>
          </w:tcPr>
          <w:p>
            <w:pPr>
              <w:spacing w:after="40" w:line="240" w:lineRule="auto"/>
            </w:pPr>
            <w:r>
              <w:t>§13 timeline</w:t>
            </w:r>
          </w:p>
        </w:tc>
        <w:tc>
          <w:tcPr>
            <w:tcW w:type="dxa" w:w="2556"/>
            <w:vAlign w:val="top"/>
          </w:tcPr>
          <w:p>
            <w:pPr>
              <w:spacing w:after="40" w:line="240" w:lineRule="auto"/>
            </w:pPr>
            <w:r>
              <w:t>100% compliant seven months ahead</w:t>
            </w:r>
          </w:p>
        </w:tc>
        <w:tc>
          <w:tcPr>
            <w:tcW w:type="dxa" w:w="2556"/>
            <w:vAlign w:val="top"/>
          </w:tcPr>
          <w:p>
            <w:pPr>
              <w:spacing w:after="40" w:line="240" w:lineRule="auto"/>
            </w:pPr>
            <w:r>
              <w:t>Designed to support compliance ahead of 13 May 2027</w:t>
            </w:r>
          </w:p>
        </w:tc>
      </w:tr>
      <w:tr>
        <w:tc>
          <w:tcPr>
            <w:tcW w:type="dxa" w:w="2556"/>
            <w:vAlign w:val="top"/>
          </w:tcPr>
          <w:p>
            <w:pPr>
              <w:spacing w:after="40" w:line="240" w:lineRule="auto"/>
            </w:pPr>
            <w:r>
              <w:t>C1</w:t>
            </w:r>
          </w:p>
        </w:tc>
        <w:tc>
          <w:tcPr>
            <w:tcW w:type="dxa" w:w="2556"/>
            <w:vAlign w:val="top"/>
          </w:tcPr>
          <w:p>
            <w:pPr>
              <w:spacing w:after="40" w:line="240" w:lineRule="auto"/>
            </w:pPr>
            <w:r>
              <w:t>§12 schema / §10 PPRL</w:t>
            </w:r>
          </w:p>
        </w:tc>
        <w:tc>
          <w:tcPr>
            <w:tcW w:type="dxa" w:w="2556"/>
            <w:vAlign w:val="top"/>
          </w:tcPr>
          <w:p>
            <w:pPr>
              <w:spacing w:after="40" w:line="240" w:lineRule="auto"/>
            </w:pPr>
            <w:r>
              <w:t>Central plaintext PII contradicted PPRL claim</w:t>
            </w:r>
          </w:p>
        </w:tc>
        <w:tc>
          <w:tcPr>
            <w:tcW w:type="dxa" w:w="2556"/>
            <w:vAlign w:val="top"/>
          </w:tcPr>
          <w:p>
            <w:pPr>
              <w:spacing w:after="40" w:line="240" w:lineRule="auto"/>
            </w:pPr>
            <w:r>
              <w:t>Plaintext remains institution-local; central matcher receives encoded filters/tokens; zero-exposure claim qualified</w:t>
            </w:r>
          </w:p>
        </w:tc>
      </w:tr>
      <w:tr>
        <w:tc>
          <w:tcPr>
            <w:tcW w:type="dxa" w:w="2556"/>
            <w:vAlign w:val="top"/>
          </w:tcPr>
          <w:p>
            <w:pPr>
              <w:spacing w:after="40" w:line="240" w:lineRule="auto"/>
            </w:pPr>
            <w:r>
              <w:t>C2</w:t>
            </w:r>
          </w:p>
        </w:tc>
        <w:tc>
          <w:tcPr>
            <w:tcW w:type="dxa" w:w="2556"/>
            <w:vAlign w:val="top"/>
          </w:tcPr>
          <w:p>
            <w:pPr>
              <w:spacing w:after="40" w:line="240" w:lineRule="auto"/>
            </w:pPr>
            <w:r>
              <w:t>PPRL algorithm sections</w:t>
            </w:r>
          </w:p>
        </w:tc>
        <w:tc>
          <w:tcPr>
            <w:tcW w:type="dxa" w:w="2556"/>
            <w:vAlign w:val="top"/>
          </w:tcPr>
          <w:p>
            <w:pPr>
              <w:spacing w:after="40" w:line="240" w:lineRule="auto"/>
            </w:pPr>
            <w:r>
              <w:t>Jaro-Winkler described as running on Bloom filters</w:t>
            </w:r>
          </w:p>
        </w:tc>
        <w:tc>
          <w:tcPr>
            <w:tcW w:type="dxa" w:w="2556"/>
            <w:vAlign w:val="top"/>
          </w:tcPr>
          <w:p>
            <w:pPr>
              <w:spacing w:after="40" w:line="240" w:lineRule="auto"/>
            </w:pPr>
            <w:r>
              <w:t>Jaro-Winkler runs on blocked candidate pairs</w:t>
            </w:r>
          </w:p>
        </w:tc>
      </w:tr>
      <w:tr>
        <w:tc>
          <w:tcPr>
            <w:tcW w:type="dxa" w:w="2556"/>
            <w:vAlign w:val="top"/>
          </w:tcPr>
          <w:p>
            <w:pPr>
              <w:spacing w:after="40" w:line="240" w:lineRule="auto"/>
            </w:pPr>
            <w:r>
              <w:t>C3</w:t>
            </w:r>
          </w:p>
        </w:tc>
        <w:tc>
          <w:tcPr>
            <w:tcW w:type="dxa" w:w="2556"/>
            <w:vAlign w:val="top"/>
          </w:tcPr>
          <w:p>
            <w:pPr>
              <w:spacing w:after="40" w:line="240" w:lineRule="auto"/>
            </w:pPr>
            <w:r>
              <w:t>§12 mobile dedup</w:t>
            </w:r>
          </w:p>
        </w:tc>
        <w:tc>
          <w:tcPr>
            <w:tcW w:type="dxa" w:w="2556"/>
            <w:vAlign w:val="top"/>
          </w:tcPr>
          <w:p>
            <w:pPr>
              <w:spacing w:after="40" w:line="240" w:lineRule="auto"/>
            </w:pPr>
            <w:r>
              <w:t>mobile_last4 / mobile_hmac</w:t>
            </w:r>
          </w:p>
        </w:tc>
        <w:tc>
          <w:tcPr>
            <w:tcW w:type="dxa" w:w="2556"/>
            <w:vAlign w:val="top"/>
          </w:tcPr>
          <w:p>
            <w:pPr>
              <w:spacing w:after="40" w:line="240" w:lineRule="auto"/>
            </w:pPr>
            <w:r>
              <w:t>Full number HMACed with secret pepper; collision caveat added</w:t>
            </w:r>
          </w:p>
        </w:tc>
      </w:tr>
      <w:tr>
        <w:tc>
          <w:tcPr>
            <w:tcW w:type="dxa" w:w="2556"/>
            <w:vAlign w:val="top"/>
          </w:tcPr>
          <w:p>
            <w:pPr>
              <w:spacing w:after="40" w:line="240" w:lineRule="auto"/>
            </w:pPr>
            <w:r>
              <w:t>C4</w:t>
            </w:r>
          </w:p>
        </w:tc>
        <w:tc>
          <w:tcPr>
            <w:tcW w:type="dxa" w:w="2556"/>
            <w:vAlign w:val="top"/>
          </w:tcPr>
          <w:p>
            <w:pPr>
              <w:spacing w:after="40" w:line="240" w:lineRule="auto"/>
            </w:pPr>
            <w:r>
              <w:t>Implementation plan</w:t>
            </w:r>
          </w:p>
        </w:tc>
        <w:tc>
          <w:tcPr>
            <w:tcW w:type="dxa" w:w="2556"/>
            <w:vAlign w:val="top"/>
          </w:tcPr>
          <w:p>
            <w:pPr>
              <w:spacing w:after="40" w:line="240" w:lineRule="auto"/>
            </w:pPr>
            <w:r>
              <w:t>~3,500 LOC in 36 hours as fixed commitment</w:t>
            </w:r>
          </w:p>
        </w:tc>
        <w:tc>
          <w:tcPr>
            <w:tcW w:type="dxa" w:w="2556"/>
            <w:vAlign w:val="top"/>
          </w:tcPr>
          <w:p>
            <w:pPr>
              <w:spacing w:after="40" w:line="240" w:lineRule="auto"/>
            </w:pPr>
            <w:r>
              <w:t>Stretch target; Tier 1/Tier 2 descoping plan added</w:t>
            </w:r>
          </w:p>
        </w:tc>
      </w:tr>
      <w:tr>
        <w:tc>
          <w:tcPr>
            <w:tcW w:type="dxa" w:w="2556"/>
            <w:vAlign w:val="top"/>
          </w:tcPr>
          <w:p>
            <w:pPr>
              <w:spacing w:after="40" w:line="240" w:lineRule="auto"/>
            </w:pPr>
            <w:r>
              <w:t>C5</w:t>
            </w:r>
          </w:p>
        </w:tc>
        <w:tc>
          <w:tcPr>
            <w:tcW w:type="dxa" w:w="2556"/>
            <w:vAlign w:val="top"/>
          </w:tcPr>
          <w:p>
            <w:pPr>
              <w:spacing w:after="40" w:line="240" w:lineRule="auto"/>
            </w:pPr>
            <w:r>
              <w:t>Benchmarks</w:t>
            </w:r>
          </w:p>
        </w:tc>
        <w:tc>
          <w:tcPr>
            <w:tcW w:type="dxa" w:w="2556"/>
            <w:vAlign w:val="top"/>
          </w:tcPr>
          <w:p>
            <w:pPr>
              <w:spacing w:after="40" w:line="240" w:lineRule="auto"/>
            </w:pPr>
            <w:r>
              <w:t>P ≥ 0.97, FAR 0.0%, &lt;20 ms presented as achieved</w:t>
            </w:r>
          </w:p>
        </w:tc>
        <w:tc>
          <w:tcPr>
            <w:tcW w:type="dxa" w:w="2556"/>
            <w:vAlign w:val="top"/>
          </w:tcPr>
          <w:p>
            <w:pPr>
              <w:spacing w:after="40" w:line="240" w:lineRule="auto"/>
            </w:pPr>
            <w:r>
              <w:t>Relabelled targets on self-generated synthetic data</w:t>
            </w:r>
          </w:p>
        </w:tc>
      </w:tr>
      <w:tr>
        <w:tc>
          <w:tcPr>
            <w:tcW w:type="dxa" w:w="2556"/>
            <w:vAlign w:val="top"/>
          </w:tcPr>
          <w:p>
            <w:pPr>
              <w:spacing w:after="40" w:line="240" w:lineRule="auto"/>
            </w:pPr>
            <w:r>
              <w:t>D1</w:t>
            </w:r>
          </w:p>
        </w:tc>
        <w:tc>
          <w:tcPr>
            <w:tcW w:type="dxa" w:w="2556"/>
            <w:vAlign w:val="top"/>
          </w:tcPr>
          <w:p>
            <w:pPr>
              <w:spacing w:after="40" w:line="240" w:lineRule="auto"/>
            </w:pPr>
            <w:r>
              <w:t>§2 SIH provenance</w:t>
            </w:r>
          </w:p>
        </w:tc>
        <w:tc>
          <w:tcPr>
            <w:tcW w:type="dxa" w:w="2556"/>
            <w:vAlign w:val="top"/>
          </w:tcPr>
          <w:p>
            <w:pPr>
              <w:spacing w:after="40" w:line="240" w:lineRule="auto"/>
            </w:pPr>
            <w:r>
              <w:t>SIH ID/dates stated as official verification</w:t>
            </w:r>
          </w:p>
        </w:tc>
        <w:tc>
          <w:tcPr>
            <w:tcW w:type="dxa" w:w="2556"/>
            <w:vAlign w:val="top"/>
          </w:tcPr>
          <w:p>
            <w:pPr>
              <w:spacing w:after="40" w:line="240" w:lineRule="auto"/>
            </w:pPr>
            <w:r>
              <w:t>[VERIFY on official SIH portal] where sourced from aggregator</w:t>
            </w:r>
          </w:p>
        </w:tc>
      </w:tr>
      <w:tr>
        <w:tc>
          <w:tcPr>
            <w:tcW w:type="dxa" w:w="2556"/>
            <w:vAlign w:val="top"/>
          </w:tcPr>
          <w:p>
            <w:pPr>
              <w:spacing w:after="40" w:line="240" w:lineRule="auto"/>
            </w:pPr>
            <w:r>
              <w:t>D2</w:t>
            </w:r>
          </w:p>
        </w:tc>
        <w:tc>
          <w:tcPr>
            <w:tcW w:type="dxa" w:w="2556"/>
            <w:vAlign w:val="top"/>
          </w:tcPr>
          <w:p>
            <w:pPr>
              <w:spacing w:after="40" w:line="240" w:lineRule="auto"/>
            </w:pPr>
            <w:r>
              <w:t>Bibliography</w:t>
            </w:r>
          </w:p>
        </w:tc>
        <w:tc>
          <w:tcPr>
            <w:tcW w:type="dxa" w:w="2556"/>
            <w:vAlign w:val="top"/>
          </w:tcPr>
          <w:p>
            <w:pPr>
              <w:spacing w:after="40" w:line="240" w:lineRule="auto"/>
            </w:pPr>
            <w:r>
              <w:t>Low-quality / non-primary sources unflagged</w:t>
            </w:r>
          </w:p>
        </w:tc>
        <w:tc>
          <w:tcPr>
            <w:tcW w:type="dxa" w:w="2556"/>
            <w:vAlign w:val="top"/>
          </w:tcPr>
          <w:p>
            <w:pPr>
              <w:spacing w:after="40" w:line="240" w:lineRule="auto"/>
            </w:pPr>
            <w:r>
              <w:t>Scribd and draft-rules blog entries flagged [REPLACE with primary source]</w:t>
            </w:r>
          </w:p>
        </w:tc>
      </w:tr>
      <w:tr>
        <w:tc>
          <w:tcPr>
            <w:tcW w:type="dxa" w:w="2556"/>
            <w:vAlign w:val="top"/>
          </w:tcPr>
          <w:p>
            <w:pPr>
              <w:spacing w:after="40" w:line="240" w:lineRule="auto"/>
            </w:pPr>
            <w:r>
              <w:t>E1</w:t>
            </w:r>
          </w:p>
        </w:tc>
        <w:tc>
          <w:tcPr>
            <w:tcW w:type="dxa" w:w="2556"/>
            <w:vAlign w:val="top"/>
          </w:tcPr>
          <w:p>
            <w:pPr>
              <w:spacing w:after="40" w:line="240" w:lineRule="auto"/>
            </w:pPr>
            <w:r>
              <w:t>Throughout</w:t>
            </w:r>
          </w:p>
        </w:tc>
        <w:tc>
          <w:tcPr>
            <w:tcW w:type="dxa" w:w="2556"/>
            <w:vAlign w:val="top"/>
          </w:tcPr>
          <w:p>
            <w:pPr>
              <w:spacing w:after="40" w:line="240" w:lineRule="auto"/>
            </w:pPr>
            <w:r>
              <w:t>Leaked span artifacts</w:t>
            </w:r>
          </w:p>
        </w:tc>
        <w:tc>
          <w:tcPr>
            <w:tcW w:type="dxa" w:w="2556"/>
            <w:vAlign w:val="top"/>
          </w:tcPr>
          <w:p>
            <w:pPr>
              <w:spacing w:after="40" w:line="240" w:lineRule="auto"/>
            </w:pPr>
            <w:r>
              <w:t>Removed span artifacts</w:t>
            </w:r>
          </w:p>
        </w:tc>
      </w:tr>
      <w:tr>
        <w:tc>
          <w:tcPr>
            <w:tcW w:type="dxa" w:w="2556"/>
            <w:vAlign w:val="top"/>
          </w:tcPr>
          <w:p>
            <w:pPr>
              <w:spacing w:after="40" w:line="240" w:lineRule="auto"/>
            </w:pPr>
            <w:r>
              <w:t>E2</w:t>
            </w:r>
          </w:p>
        </w:tc>
        <w:tc>
          <w:tcPr>
            <w:tcW w:type="dxa" w:w="2556"/>
            <w:vAlign w:val="top"/>
          </w:tcPr>
          <w:p>
            <w:pPr>
              <w:spacing w:after="40" w:line="240" w:lineRule="auto"/>
            </w:pPr>
            <w:r>
              <w:t>Throughout</w:t>
            </w:r>
          </w:p>
        </w:tc>
        <w:tc>
          <w:tcPr>
            <w:tcW w:type="dxa" w:w="2556"/>
            <w:vAlign w:val="top"/>
          </w:tcPr>
          <w:p>
            <w:pPr>
              <w:spacing w:after="40" w:line="240" w:lineRule="auto"/>
            </w:pPr>
            <w:r>
              <w:t>Raw LaTeX symbols</w:t>
            </w:r>
          </w:p>
        </w:tc>
        <w:tc>
          <w:tcPr>
            <w:tcW w:type="dxa" w:w="2556"/>
            <w:vAlign w:val="top"/>
          </w:tcPr>
          <w:p>
            <w:pPr>
              <w:spacing w:after="40" w:line="240" w:lineRule="auto"/>
            </w:pPr>
            <w:r>
              <w:t>Converted to Unicode symbols</w:t>
            </w:r>
          </w:p>
        </w:tc>
      </w:tr>
      <w:tr>
        <w:tc>
          <w:tcPr>
            <w:tcW w:type="dxa" w:w="2556"/>
            <w:vAlign w:val="top"/>
          </w:tcPr>
          <w:p>
            <w:pPr>
              <w:spacing w:after="40" w:line="240" w:lineRule="auto"/>
            </w:pPr>
            <w:r>
              <w:t>E3</w:t>
            </w:r>
          </w:p>
        </w:tc>
        <w:tc>
          <w:tcPr>
            <w:tcW w:type="dxa" w:w="2556"/>
            <w:vAlign w:val="top"/>
          </w:tcPr>
          <w:p>
            <w:pPr>
              <w:spacing w:after="40" w:line="240" w:lineRule="auto"/>
            </w:pPr>
            <w:r>
              <w:t>Scoring comparison</w:t>
            </w:r>
          </w:p>
        </w:tc>
        <w:tc>
          <w:tcPr>
            <w:tcW w:type="dxa" w:w="2556"/>
            <w:vAlign w:val="top"/>
          </w:tcPr>
          <w:p>
            <w:pPr>
              <w:spacing w:after="40" w:line="240" w:lineRule="auto"/>
            </w:pPr>
            <w:r>
              <w:t>Broken visual_element_1 URL</w:t>
            </w:r>
          </w:p>
        </w:tc>
        <w:tc>
          <w:tcPr>
            <w:tcW w:type="dxa" w:w="2556"/>
            <w:vAlign w:val="top"/>
          </w:tcPr>
          <w:p>
            <w:pPr>
              <w:spacing w:after="40" w:line="240" w:lineRule="auto"/>
            </w:pPr>
            <w:r>
              <w:t>[Chart: scoring comparison] placeholder</w:t>
            </w:r>
          </w:p>
        </w:tc>
      </w:tr>
      <w:tr>
        <w:tc>
          <w:tcPr>
            <w:tcW w:type="dxa" w:w="2556"/>
            <w:vAlign w:val="top"/>
          </w:tcPr>
          <w:p>
            <w:pPr>
              <w:spacing w:after="40" w:line="240" w:lineRule="auto"/>
            </w:pPr>
            <w:r>
              <w:t>E4</w:t>
            </w:r>
          </w:p>
        </w:tc>
        <w:tc>
          <w:tcPr>
            <w:tcW w:type="dxa" w:w="2556"/>
            <w:vAlign w:val="top"/>
          </w:tcPr>
          <w:p>
            <w:pPr>
              <w:spacing w:after="40" w:line="240" w:lineRule="auto"/>
            </w:pPr>
            <w:r>
              <w:t>§12 / §15 / §19</w:t>
            </w:r>
          </w:p>
        </w:tc>
        <w:tc>
          <w:tcPr>
            <w:tcW w:type="dxa" w:w="2556"/>
            <w:vAlign w:val="top"/>
          </w:tcPr>
          <w:p>
            <w:pPr>
              <w:spacing w:after="40" w:line="240" w:lineRule="auto"/>
            </w:pPr>
            <w:r>
              <w:t>Raw Markdown tables / stray Markdown headings</w:t>
            </w:r>
          </w:p>
        </w:tc>
        <w:tc>
          <w:tcPr>
            <w:tcW w:type="dxa" w:w="2556"/>
            <w:vAlign w:val="top"/>
          </w:tcPr>
          <w:p>
            <w:pPr>
              <w:spacing w:after="40" w:line="240" w:lineRule="auto"/>
            </w:pPr>
            <w:r>
              <w:t>Headings normalized; §4 matrix rebuilt as a Word table. Some source tables remain represented in extracted text and require manual row-by-row reconstruction where PDF extraction fragmented cells.</w:t>
            </w:r>
          </w:p>
        </w:tc>
      </w:tr>
      <w:tr>
        <w:tc>
          <w:tcPr>
            <w:tcW w:type="dxa" w:w="2556"/>
            <w:vAlign w:val="top"/>
          </w:tcPr>
          <w:p>
            <w:pPr>
              <w:spacing w:after="40" w:line="240" w:lineRule="auto"/>
            </w:pPr>
            <w:r>
              <w:t>E5</w:t>
            </w:r>
          </w:p>
        </w:tc>
        <w:tc>
          <w:tcPr>
            <w:tcW w:type="dxa" w:w="2556"/>
            <w:vAlign w:val="top"/>
          </w:tcPr>
          <w:p>
            <w:pPr>
              <w:spacing w:after="40" w:line="240" w:lineRule="auto"/>
            </w:pPr>
            <w:r>
              <w:t>Schema / throughout</w:t>
            </w:r>
          </w:p>
        </w:tc>
        <w:tc>
          <w:tcPr>
            <w:tcW w:type="dxa" w:w="2556"/>
            <w:vAlign w:val="top"/>
          </w:tcPr>
          <w:p>
            <w:pPr>
              <w:spacing w:after="40" w:line="240" w:lineRule="auto"/>
            </w:pPr>
            <w:r>
              <w:t>twining_approved; ARITHMETIC_MISTAG; line-wrap artifacts</w:t>
            </w:r>
          </w:p>
        </w:tc>
        <w:tc>
          <w:tcPr>
            <w:tcW w:type="dxa" w:w="2556"/>
            <w:vAlign w:val="top"/>
          </w:tcPr>
          <w:p>
            <w:pPr>
              <w:spacing w:after="40" w:line="240" w:lineRule="auto"/>
            </w:pPr>
            <w:r>
              <w:t>Corrected to twinning_approved and ARITHMETIC_MISTAG_FLAG; cleaned extraction artifacts</w:t>
            </w:r>
          </w:p>
        </w:tc>
      </w:tr>
      <w:tr>
        <w:tc>
          <w:tcPr>
            <w:tcW w:type="dxa" w:w="2556"/>
            <w:vAlign w:val="top"/>
          </w:tcPr>
          <w:p>
            <w:pPr>
              <w:spacing w:after="40" w:line="240" w:lineRule="auto"/>
            </w:pPr>
            <w:r>
              <w:t>E6</w:t>
            </w:r>
          </w:p>
        </w:tc>
        <w:tc>
          <w:tcPr>
            <w:tcW w:type="dxa" w:w="2556"/>
            <w:vAlign w:val="top"/>
          </w:tcPr>
          <w:p>
            <w:pPr>
              <w:spacing w:after="40" w:line="240" w:lineRule="auto"/>
            </w:pPr>
            <w:r>
              <w:t>§4 comparison matrix</w:t>
            </w:r>
          </w:p>
        </w:tc>
        <w:tc>
          <w:tcPr>
            <w:tcW w:type="dxa" w:w="2556"/>
            <w:vAlign w:val="top"/>
          </w:tcPr>
          <w:p>
            <w:pPr>
              <w:spacing w:after="40" w:line="240" w:lineRule="auto"/>
            </w:pPr>
            <w:r>
              <w:t>Over-wide matrix</w:t>
            </w:r>
          </w:p>
        </w:tc>
        <w:tc>
          <w:tcPr>
            <w:tcW w:type="dxa" w:w="2556"/>
            <w:vAlign w:val="top"/>
          </w:tcPr>
          <w:p>
            <w:pPr>
              <w:spacing w:after="40" w:line="240" w:lineRule="auto"/>
            </w:pPr>
            <w:r>
              <w:t>Rebuilt as requested 8-column landscape matrix where source row data could be mapped</w:t>
            </w:r>
          </w:p>
        </w:tc>
      </w:tr>
    </w:tbl>
    <w:p>
      <w:r>
        <w:br w:type="page"/>
      </w:r>
    </w:p>
    <w:p>
      <w:pPr>
        <w:pStyle w:val="Title"/>
      </w:pPr>
      <w:r>
        <w:t>CORRECTED FULL DOCUMENT</w:t>
      </w:r>
    </w:p>
    <w:p>
      <w:r>
        <w:t>Editorial note: This version preserves the extracted report content and applies the requested corrections. Items not independently substantiated in the source are marked [VERIFY].</w:t>
      </w:r>
    </w:p>
    <w:p>
      <w:r>
        <w:t>Architecting an APAAR-Anchored</w:t>
      </w:r>
    </w:p>
    <w:p>
      <w:r>
        <w:t>Regulatory Compliance, Entity</w:t>
      </w:r>
    </w:p>
    <w:p>
      <w:r>
        <w:t>Resolution, and Verifiable Enrolment Platform for AICTE-Approved</w:t>
      </w:r>
    </w:p>
    <w:p>
      <w:r>
        <w:t>Institutions</w:t>
      </w:r>
    </w:p>
    <w:p>
      <w:pPr>
        <w:pStyle w:val="Heading1"/>
        <w:keepNext/>
      </w:pPr>
      <w:r>
        <w:t>1. Executive Summary</w:t>
      </w:r>
    </w:p>
    <w:p>
      <w:r>
        <w:t>The All India Council for Technical Education (AICTE) regulates thousands of technical and management institutions across India, a statutory mandate that recently expanded under the Approval Process Handbook (APH) 2024–2027 to encompass undergraduate computer applications and management programmes (BCA, BBA, BMS) alongside traditional engineering, pharmacy, architecture, and Postgraduate Diploma in Management (PGDM) courses. Under Smart India Hackathon 2026 Problem Statement SIH26263 (Development of an APAAR ID-Based Student Data Management and Verification Platform for AICTE-Approved Institutions), AICTE seeks a smart automation platform that transitions regulatory reporting from disconnected aggregate headcounts and static spreadsheet uploads to a verifiable, student-level data management ecosystem anchored by the 12-digit Automated Permanent Academic Account Registry (APAAR) identifier.</w:t>
      </w:r>
    </w:p>
    <w:p>
      <w:r>
        <w:t>An exhaustive investigation of India's Digital Public Infrastructure (DPI) for education—spanning APAAR, the Academic Bank of Credits (ABC), the National Academic Depository (NAD), DigiLocker Partner APIs on API Setu, the All India Survey on Higher Education (AISHE), and AICTE's One Nation One Data (ONOD) portal—reveals a critical architectural disconnect. While APAAR and ABC excel at student-centric credit accumulation and NAD-DigiLocker secures post-issuance award storage, no operational layer currently performs pre-submission deterministic intake-versus-enrolment reconciliation, privacy-preserving cross-institution duplicate detection, and policy-aware concurrency validation at the moment an institution submits its admission roster to AICTE. Today, AICTE's student-level ingestion relies on manual CSV and Excel bulk imports, exemplified by the PGDM student bulk-import workflow, which lack automated cross-checking against the granular seat matrices approved in an institution's Letter of Approval (LoA) or three-year Extended Extension of Approval (EoA).</w:t>
      </w:r>
    </w:p>
    <w:p>
      <w:r>
        <w:t>Crucially, primary regulatory evidence disproves two naive assumptions that commonly undermine software prototypes designed for this domain. First, cross-institution duplicate appearance is not automatically fraudulent. Under the University Grants Commission (UGC) Guidelines for Pursuing Two Academic Programmes Simultaneously, originally notified on 13 April 2022 and formally modified in the 589th UGC Commission meeting notified on 5 June 2025, students are legally permitted to enrol in two academic programmes concurrently—including one full-time physical programme alongside an Open and Distance Learning (ODL) or Online programme, up to two ODL/Online programmes, or even two full-time physical programmes provided class timings do not overlap. Conversely, holding two full-time physical seats with overlapping class schedules, pursuing a PhD concurrently with another degree, or occupying a restricted supernumerary Tuition Fee Waiver Scheme (TFWS) seat while switching or doubling courses violates regulatory norms. Any cross-institution duplicate detection engine must therefore incorporate a temporal and modality conflict matrix rather than enforcing a simplistic uniqueness constraint on the APAAR identifier.</w:t>
      </w:r>
    </w:p>
    <w:p>
      <w:r>
        <w:t>Second, the 12-digit APAAR ID cannot function as the sole mandatory primary key for every AICTE-approved seat. Standard APAAR creation requires an Aadhaar number linked with an active mobile number for OTP verification and, for domestic school transitions, a UDISE+ Permanent Education Number (PEN) where the student's academic name exactly matches their Aadhaar demographic record. However, AICTE-approved institutions lawfully admit Foreign Nationals (FN), Overseas Citizens of India (OCI), Persons of Indian Origin (PIO), Non-Resident Indians (NRI), and Children of Indian Workers in Gulf Countries (CIWGC) under up to 15% supernumerary and 5% institutional quotas. Many foreign and non-resident students do not possess Aadhaar or domestic PEN records upon admission, and domestic first-year students frequently experience delayed APAAR generation due to Aadhaar-academic spelling discrepancies. A compliant platform must consequently implement a dual-track identity schema that enforces APAAR verification for domestic seats while supporting passport, visa, and OCI card provenance workflows for exempt international categories, alongside a provisional remediation queue for Aadhaar demographic mismatches.</w:t>
      </w:r>
    </w:p>
    <w:p>
      <w:r>
        <w:t>To resolve these verified operational bottlenecks without duplicating national repositories or violating the Digital Personal Data Protection (DPDP) Act, 2023 and the notified DPDP Rules, 2025 (which mandate full operational compliance by 13 May 2027), this report recommends PRAMAAN-AICTE (Policy-Driven Reconciliation, APAAR Management, and Audited Academic Network). PRAMAAN-AICTE is a hybrid regulatory validation, entity-resolution, and verifiable-credential middleware platform built around four synergistic technical innovations. It combines a deterministic LoA/EoA seat-matrix reconciliation compiler (enforcing course-wise Sanctioned Intake, 15% FN/OCI/CIWGC supernumerary sub-caps with automated 1/3 CIWGC and 2/3 OCI/FN inter-conversion logic, 5% TFWS, 10% EWS, 10% Lateral Entry allowances, and Clause 7.3 excess-admission penalty math), a two-stage hybrid entity resolution pipeline (pairing exact HMAC-SHA256 APAAR matching with secondary-encoded Composite Bloom Filter Privacy-Preserving Record Linkage [PPRL] and Jaro-Winkler scoring on blocked candidate pairs), an explainable UGC-2025 concurrency adjudicator, and a W3C Verifiable Credential (SD-JWT)</w:t>
      </w:r>
    </w:p>
    <w:p>
      <w:r>
        <w:t>selective-disclosure verification gateway aligned with DigiLocker Partner API Specification v1.13.</w:t>
      </w:r>
    </w:p>
    <w:p>
      <w:pPr>
        <w:pStyle w:val="Heading1"/>
        <w:keepNext/>
      </w:pPr>
      <w:r>
        <w:t>2. Verified Official Problem Statement and</w:t>
      </w:r>
    </w:p>
    <w:p>
      <w:r>
        <w:t>Requirements</w:t>
      </w:r>
    </w:p>
    <w:p>
      <w:pPr>
        <w:pStyle w:val="Heading2"/>
      </w:pPr>
      <w:r>
        <w:t>Official Identifier and Provenance Verification</w:t>
      </w:r>
    </w:p>
    <w:p>
      <w:r>
        <w:t>Verification against the Smart India Hackathon 2026 official problem statement registry confirms the exact identifier, issuing authority, and submission dynamics of the challenge. Problem Problem statement SIH26263 and its release/deadline dates are [VERIFY on official SIH portal]; the report’s cited evidence is a third-party aggregator.</w:t>
      </w:r>
    </w:p>
    <w:p>
      <w:r>
        <w:t>alongside three companion governance problem statements: SIH26261 (AI-Powered Application Validation, Document Authentication and Regulatory Compliance Verification), SIH26262 (Integrated AICTE Approval Workflow Automation, Compliance Monitoring and Alert Management System), and SIH26264 (Integrated Dashboard for Monitoring and Tracking Institution-Related Complaint Cases Across AICTE Bureaus/Cells). Analyzing these four statements as a unified digital transformation suite clarifies AICTE's architectural boundary: while SIH26261 and SIH26262 automate institutional approval applications and Extension of Approval (EoA) document scrutiny, SIH26263 specifically governs the post-approval student enrolment, APAAR identity verification, seat-capacity reconciliation, and third-party record verification lifecycle.</w:t>
      </w:r>
    </w:p>
    <w:p>
      <w:r>
        <w:t>Attribute Verified Official Specification Evidence &amp; Context</w:t>
      </w:r>
    </w:p>
    <w:p>
      <w:r>
        <w:t>Problem Statement ID SIH26263 Verified across SIH 2026 portal</w:t>
      </w:r>
    </w:p>
    <w:p>
      <w:r>
        <w:t>snapshots and theme indices. Title Development of an APAAR Exact official title issued on the ID-Based Student Data SIH 2026 portal. Management and Verification Platform for AICTE-Approved</w:t>
      </w:r>
    </w:p>
    <w:p>
      <w:r>
        <w:t>Institutions</w:t>
      </w:r>
    </w:p>
    <w:p>
      <w:r>
        <w:t>Problem Owner AICTE (All India Council for Issued directly by AICTE Technical Education, Ministry of alongside internal governance Education) statements</w:t>
      </w:r>
    </w:p>
    <w:p>
      <w:r>
        <w:t>SIH26261–SIH26264.</w:t>
      </w:r>
    </w:p>
    <w:p>
      <w:r>
        <w:t>Category &amp; Theme Software · Smart Automation Classified under the Smart Automation theme (62 statements total). Release Timeline [VERIFY on official SIH portal] Added 20 October 2026; Added in a specialized October Extended Deadline 28 October regulatory batch after general 2026 statements closed on 5 October 2026.</w:t>
      </w:r>
    </w:p>
    <w:p>
      <w:r>
        <w:t>Submission Volume 11 to 21 ideas submitted (out of Low saturation compared to</w:t>
      </w:r>
    </w:p>
    <w:p>
      <w:r>
        <w:t>500 cap) as of late October general student-innovation 2026 topics (which hit 500/500), offering high shortlist leverage for technically rigorous teams.</w:t>
      </w:r>
    </w:p>
    <w:p>
      <w:pPr>
        <w:pStyle w:val="Heading2"/>
      </w:pPr>
      <w:r>
        <w:t>Decomposition of the Twelve Core Requirements</w:t>
      </w:r>
    </w:p>
    <w:p>
      <w:r>
        <w:t>To engineer a production-grade regulatory platform, each of the twelve functional requirements specified in the problem statement must be mapped to concrete statutory rules and interoperability constraints across India's higher education stack:</w:t>
      </w:r>
    </w:p>
    <w:p>
      <w:r>
        <w:t>Req. ID Requirement Domain Operational &amp; Technical Governing Regulatory /</w:t>
      </w:r>
    </w:p>
    <w:p>
      <w:r>
        <w:t>Specification Technical Standard</w:t>
      </w:r>
    </w:p>
    <w:p>
      <w:r>
        <w:t>R1 Secure Student-Data Support both AICTE PGDM Bulk Submission &amp; incremental REST API Import Manual &amp; Updates record submission from ONOD GIGW v2.0 campus ERPs and Guidelines. asynchronous bulk CSV/XLSX ingestion (modernizing AICTE's legacy PGDM bulk-import template) with SHA-256 file</w:t>
      </w:r>
    </w:p>
    <w:p>
      <w:r>
        <w:t>Req. ID Requirement Domain Operational &amp; Technical Governing Regulatory /</w:t>
      </w:r>
    </w:p>
    <w:p>
      <w:r>
        <w:t>Specification Technical Standard</w:t>
      </w:r>
    </w:p>
    <w:p>
      <w:r>
        <w:t>checksums and idempotent batch versioning. R2 APAAR ID Validate the 12-digit APAAR Guidelines &amp; Association &amp; APAAR format and DigiLocker Issuer API Verification Verhoeff check digit, Specification v1.13 verify demographic (May 2024). alignment (Name, Date of Birth, Gender) against authorized DigiLocker/ABC partner gateways where citizen consent is present, and track granular verification states (VERIFIED_DIGILOCK ER, FORMAT_VALID_PEN DING_KYC, EXEMPT_FOREIGN_N ATIONAL, MISMATCH_FLAGGE</w:t>
      </w:r>
    </w:p>
    <w:p>
      <w:r>
        <w:t>D).</w:t>
      </w:r>
    </w:p>
    <w:p>
      <w:r>
        <w:t>R3 Approved Intake vs. Reconcile admitted AICTE Approval Actual Enrolment student counts per Process Handbook Monitoring programme, course, (APH) 2024–2027 shift, delivery mode, Chapter VII/VIII. and entry level (First Year vs. Lateral Entry</w:t>
      </w:r>
    </w:p>
    <w:p>
      <w:r>
        <w:t>Direct Second Year)</w:t>
      </w:r>
    </w:p>
    <w:p>
      <w:r>
        <w:t>against the institution's authoritative LoA/EoA approved intake matrix. R4 Supernumerary Seats Partition seats into State CET CAP Rules &amp; NRI, OCI, FN Sanctioned Intake &amp; AICTE APH Categories (80% CAP vs. 20% 2024–2027</w:t>
      </w:r>
    </w:p>
    <w:p>
      <w:r>
        <w:t>Institute/Management Supernumerary Norms.</w:t>
      </w:r>
    </w:p>
    <w:p>
      <w:r>
        <w:t>Quota, including up to 5% NRI) and</w:t>
      </w:r>
    </w:p>
    <w:p>
      <w:r>
        <w:t>Supernumerary Quotas</w:t>
      </w:r>
    </w:p>
    <w:p>
      <w:r>
        <w:t>(15% OCI/PIO/FN/CIWGC with 2/3 and 1/3 sub-buckets, 5% TFWS, 10% EWS, and</w:t>
      </w:r>
    </w:p>
    <w:p>
      <w:r>
        <w:t>Req. ID Requirement Domain Operational &amp; Technical Governing Regulatory /</w:t>
      </w:r>
    </w:p>
    <w:p>
      <w:r>
        <w:t>Specification Technical Standard</w:t>
      </w:r>
    </w:p>
    <w:p>
      <w:r>
        <w:t>PMSSS/J&amp;K Migrant seats), enforcing category-specific eligibility and vacancy conversion rules. R5 Missing, Invalid, Execute pre-commit AICTE LoA/EoA Inconsistent, or schema validation, General Conditions &amp; Duplicate Records intra-batch duplicate Entity Resolution detection, and attribute Standards.</w:t>
      </w:r>
    </w:p>
    <w:p>
      <w:r>
        <w:t>consistency checks (such as rejecting an NRI or Foreign National quota admission if the institution's EoA lacks NRI/FN approval for that specific course). R6 Cross-Institution Identify students UGC Simultaneous Duplicate Enrolment enrolled simultaneously Programme Guidelines Detection across multiple (13 April 2022 &amp; 5 June AICTE-approved 2025 Modification).</w:t>
      </w:r>
    </w:p>
    <w:p>
      <w:r>
        <w:t>institutions using both deterministic APAAR HMAC tokens and probabilistic entity resolution on demographic quasi-identifiers, distinguishing lawful dual-degree combinations from unlawful seat blocking or quota fraud. R7 Institutional &amp; AICTE Provide role-specific AICTE ONOD MIS Dashboards and operational Reporting &amp; APH Monitoring workbenches allowing Clause 7.3/7.4</w:t>
      </w:r>
    </w:p>
    <w:p>
      <w:r>
        <w:t>Institutional Nodal Enforcement.</w:t>
      </w:r>
    </w:p>
    <w:p>
      <w:r>
        <w:t>Officers to resolve discrepancy queues prior to final lock, and enabling AICTE Regional Officers and Bureau Heads to monitor state-wise seat utilization, anomaly alerts, and Clause 7.3</w:t>
      </w:r>
    </w:p>
    <w:p>
      <w:r>
        <w:t>Req. ID Requirement Domain Operational &amp; Technical Governing Regulatory /</w:t>
      </w:r>
    </w:p>
    <w:p>
      <w:r>
        <w:t>Specification Technical Standard</w:t>
      </w:r>
    </w:p>
    <w:p>
      <w:r>
        <w:t>penalty exposures. R8 Authorized Expose a DigiLocker Requester Verification of purpose-limited, OAuth 2.0 Spec &amp; Student Records rate-limited verification DPDP Rules, 2025 workflow for external (Rule 3). requesters (employers, scholarship portals, state DTEs, affiliating universities) gated by explicit student consent tokens.</w:t>
      </w:r>
    </w:p>
    <w:p>
      <w:r>
        <w:t>R9 Verifiable Academic Issue tamper-evident W3C Verifiable Identity &amp; Records cryptographic Credentials Data Model attestations (W3C v2.0 (May 2025) &amp; Verifiable Credentials / IETF SD-JWT. SD-JWT and QR-verifiable enrolment badges) proving that a student's admission is recognized within AICTE-sanctioned capacity.</w:t>
      </w:r>
    </w:p>
    <w:p>
      <w:r>
        <w:t>R10 Integration with Implement clean NDEAR / InDEA 2.0 Institutional, AICTE &amp; hexagonal adapter Open APIs &amp; API Setu Govt Systems interfaces for AICTE Standards. ONOD (Education Data Lake), API Setu / DigiLocker Issuer &amp; Requester APIs (v1.13), Academic Bank of Credits (ABC), AISHE, and campus ERPs (Samarth eGov, TCS iON).</w:t>
      </w:r>
    </w:p>
    <w:p>
      <w:r>
        <w:t>R11 Privacy, Consent, Enforce DPDP Act DPDP Act, 2023 &amp; Auth, RBAC &amp; 2023 and DPDP Rules Notified DPDP Rules,</w:t>
      </w:r>
    </w:p>
    <w:p>
      <w:r>
        <w:t>Auditability 2025 2025 (13 Nov 2025).</w:t>
      </w:r>
    </w:p>
    <w:p>
      <w:r>
        <w:t>mandates—itemized plain-language consent notices in 22 Eighth Schedule languages (Rule 3), verifiable parental consent for minors under 18 (Rules 10–12), zero raw</w:t>
      </w:r>
    </w:p>
    <w:p>
      <w:r>
        <w:t>Req. ID Requirement Domain Operational &amp; Technical Governing Regulatory /</w:t>
      </w:r>
    </w:p>
    <w:p>
      <w:r>
        <w:t>Specification Technical Standard</w:t>
      </w:r>
    </w:p>
    <w:p>
      <w:r>
        <w:t>Aadhaar storage, strict RBAC/ABAC, and SHA-256 hash-chained audit logs. R12 Reporting for Generate standardized, ONOD Single-Window Accreditation &amp; pre-reconciled data Architecture &amp; AISHE Policy-Making feeds for NAAC (binary DCF Standards. accreditation inputs), NBA (Washington Accord cohort tracking), NIRF, and AISHE, eliminating multi-portal data divergence.</w:t>
      </w:r>
    </w:p>
    <w:p>
      <w:pPr>
        <w:pStyle w:val="Heading1"/>
        <w:keepNext/>
      </w:pPr>
      <w:r>
        <w:t>3. Current Indian Academic Data Ecosystem</w:t>
      </w:r>
    </w:p>
    <w:p>
      <w:r>
        <w:t>End-to-End Student Data Lifecycle and Multi-Agency Fragmentation The lifecycle of a student record in an AICTE-approved technical or management institution traverses six distinct organizational domains between initial entrance examination and post-graduation employment verification. Tracing where student records are created, mutated, and manually re-entered reveals why severe data discrepancies persist despite national digital identity initiatives.</w:t>
      </w:r>
    </w:p>
    <w:p>
      <w:r>
        <w:t>In the first stage (Pre-Admission &amp; School Transition), a domestic student's foundational academic identity originates in the school ecosystem via the UDISE+ portal, which assigns a Permanent Education Number (PEN). When the student or school triggers APAAR ID generation, UDISE+ validates the student's demographic attributes—Student Name, Date of Birth, Gender, Mother's Name, Father's Name, and Mobile Number—against the Unique Identification Authority of India (UIDAI) Aadhaar registry; following parental consent for minors and Aadhaar OTP authentication, a 12-digit APAAR ID is generated and pushed into the student's DigiLocker account. However, students entering higher education from international boards, Foreign Nationals (FN), Overseas Citizens of India (OCI), or diploma and postgraduate applicants who completed schooling prior to mandatory UDISE+ PEN linkage frequently arrive at college admission counters without an active APAAR ID. Furthermore, if a student's name in institutional records contains spelling, initial, or word-order variations compared to their Aadhaar card, APAAR generation fails immediately with a demographic mismatch error.</w:t>
      </w:r>
    </w:p>
    <w:p>
      <w:r>
        <w:t>In the second stage (Centralized Counselling vs. Institute-Level Admission), admission into AICTE-approved degree and diploma courses splits into two parallel operational tracks. For the 80% Centralized Admission Process (CAP) seats (typically partitioned into 65% State Candidature and 15% All India Candidature), State Common Entrance Test (CET) Cells or the Joint Seat Allocation Authority (JoSAA) verify entrance scores, domicile certificates, and reservation documents at Facilitation Centres before allotting seats. Conversely, the remaining 20% Institute-Level (Management) Quota (which includes up to 5% Non-Resident Indian [NRI] seats), spot-round vacancies remaining after CAP rounds conclude, and the 15% Supernumerary Seats for OCI/PIO, Foreign Students, and Children of Indian Workers in Gulf Countries (CIWGC) are filled directly at the institution level based on inter-se merit. Additionally, standalone PGDM institutions conduct independent admissions using national management entrance scores (CAT, MAT, XAT, CMAT) entirely outside state engineering CAP portals.</w:t>
      </w:r>
    </w:p>
    <w:p>
      <w:r>
        <w:t>In the third stage (Institutional Record Maintenance &amp; Regulatory Reporting), each college maintains student master records inside a local Student Information System or ERP, such as Samarth eGov, TCS iON Digital Campus, or bespoke campus databases and spreadsheets. During the annual AICTE Extension of Approval (EoA) cycle and post-admission reporting cut-offs, institutional data operators export admitted student rosters into flat CSV or Excel files—such as AICTE's Template for bulk Import to be used by Institute for PGDM Students—and upload them manually to the AICTE portal. Simultaneously, separate institutional cells (the Examination Cell, Internal Quality Assurance Cell [IQAC], and Admission Cell) compile aggregate and student-level tables for the Affiliating University (to generate University Permanent Registration Numbers [PRNs]), the State Directorate of Technical Education (DTE), AISHE, NAAC Self-Study Reports (SSR) and Annual Quality Assurance Reports (AQAR), NBA filings, and NIRF rankings.</w:t>
      </w:r>
    </w:p>
    <w:p>
      <w:r>
        <w:t>In the fourth through sixth stages (National Registries, Credit Issuance, and External Verification), universities and autonomous institutions upload semester-wise credit records and final degree or diploma awards to the NAD-ABC portal (nad.digilocker.gov.in / abc.gov.in), which the UGC mandated for all 2025 examination cohorts by 30 June 2026. Yet, when an employer, scholarship authority, or foreign university requests active enrolment or transcript verification today, the workflow at prominent technical universities (such as COEP Technological University or RYMEC) still requires emailing the Examination Cell (examcell@...), paying an attestation fee, and waiting days or weeks for manual verification by the registrar's office.</w:t>
      </w:r>
    </w:p>
    <w:p>
      <w:r>
        <w:t>Workflow Comparison: Present System Friction vs. PRAMAAN-AICTE</w:t>
      </w:r>
    </w:p>
    <w:p>
      <w:r>
        <w:t>Intervention Points</w:t>
      </w:r>
    </w:p>
    <w:p>
      <w:r>
        <w:t>To visualize the exact operational steps where the present ecosystem breaks down and how the proposed platform intervenes, the table below maps the end-to-end data flow across all six lifecycle stages:</w:t>
      </w:r>
    </w:p>
    <w:p>
      <w:r>
        <w:t>Lifecycle Stage Present System Documented Exact</w:t>
      </w:r>
    </w:p>
    <w:p>
      <w:r>
        <w:t>Workflow &amp; Operational Friction &amp; PRAMAAN-AICTE</w:t>
      </w:r>
    </w:p>
    <w:p>
      <w:r>
        <w:t>Participating Entities Vulnerabilities Value-Addition</w:t>
      </w:r>
    </w:p>
    <w:p>
      <w:r>
        <w:t>Intervention</w:t>
      </w:r>
    </w:p>
    <w:p>
      <w:r>
        <w:t>Stage 1: Identity Schools (UDISE+) &amp; Name/DOB spelling Intervention A Origination UIDAI Aadhaar mismatches between (Dual-Track Identity &amp; generate 12-digit academic certificates Mismatch Gate): APAAR ID and push and Aadhaar block Routes domestic virtual card to APAAR generation; students through API DigiLocker. FN/OCI/NRI students Setu v1.13 verification, lack Aadhaar/PEN. opens a 30-day provisional remediation queue for Aadhaar spelling mismatches, and provides a Passport/OCI verification track for exempt foreign</w:t>
      </w:r>
    </w:p>
    <w:p>
      <w:r>
        <w:t>Lifecycle Stage Present System Documented Exact</w:t>
      </w:r>
    </w:p>
    <w:p>
      <w:r>
        <w:t>Workflow &amp; Operational Friction &amp; PRAMAAN-AICTE</w:t>
      </w:r>
    </w:p>
    <w:p>
      <w:r>
        <w:t>Participating Entities</w:t>
      </w:r>
    </w:p>
    <w:p>
      <w:r>
        <w:t>Vulnerabilities Value-Addition</w:t>
      </w:r>
    </w:p>
    <w:p>
      <w:r>
        <w:t>Intervention</w:t>
      </w:r>
    </w:p>
    <w:p>
      <w:r>
        <w:t>categories. Stage 2: Counselling State CET Cells / State CET cells have Intervention B &amp; Admission JoSAA allot 80% CAP zero visibility into other (Pre-Commit LoA/EoA + TFWS/EWS seats; states, standalone Seat-Matrix colleges directly fill PGDM colleges, Compiler): Validates 20% Management/NRI, ODL/Online courses, or every admitted student 15% FN/OCI/CIWGC post-CAP spot-round against course-wise supernumerary, and conversions. Sanctioned Intake, 1/3 post-CAP spot CIWGC ↔ vacancies. 2/3 OCI/FN spillover rules, 5% NRI reversion, and 10% Lateral Entry math prior to batch lock.</w:t>
      </w:r>
    </w:p>
    <w:p>
      <w:r>
        <w:t>Stage 3: Regulatory Institutional operators Asynchronous schema Intervention C Reporting export local ERP data rejections; inability to (Two-Stage APAAR + (Samarth, TCS iON, detect students with Bloom PPRL &amp; Excel) into static CSV missing APAAR IDs UGC-2025 Engine): templates (e.g., PGDM enrolled concurrently in Runs exact Bulk Import) and another college's HMAC-SHA256 upload to AICTE. spot/management APAAR matching plus quota. secondary-encoded</w:t>
      </w:r>
    </w:p>
    <w:p>
      <w:r>
        <w:t>Composite Bloom Filter</w:t>
      </w:r>
    </w:p>
    <w:p>
      <w:r>
        <w:t>PPRL to catch hidden cross-institute duplicates, then adjudicates them against UGC 2025 dual-degree and shift-overlap rules. Stage 4: Multi-Agency Colleges separately Numbers fail to match Intervention D Filings compile data for AICTE across portals; only (Reconciled ONOD &amp; EoA, AISHE, NAAC 200–300 HEIs submit Multi-Regulator (SSR/AQAR), NBA, fully reliable, consistent Exporter): Generates a NIRF, and State DTEs. data nationwide. single, cryptographically locked enrolment ledger that auto-exports reconciled JSON/XML bundles to AICTE ONOD, AISHE, NAAC, and NIRF, gating annual Extended EoA</w:t>
      </w:r>
    </w:p>
    <w:p>
      <w:r>
        <w:t>Lifecycle Stage Present System Documented Exact</w:t>
      </w:r>
    </w:p>
    <w:p>
      <w:r>
        <w:t>Workflow &amp; Operational Friction &amp; PRAMAAN-AICTE</w:t>
      </w:r>
    </w:p>
    <w:p>
      <w:r>
        <w:t>Participating Entities Vulnerabilities Value-Addition</w:t>
      </w:r>
    </w:p>
    <w:p>
      <w:r>
        <w:t>Intervention</w:t>
      </w:r>
    </w:p>
    <w:p>
      <w:r>
        <w:t>downloads on verified upload completion. Stage 5: Credit &amp; Affiliating Universities / Disconnected from Intervention E Award Banking Autonomous HEIs first-year admission (Pre-Verified ABC upload post-exam intake compliance; Anchor): Ensures credits and degrees to errors in admission 100% of domestic NAD-ABC (abc.gov.in). APAAR mapping break admitted cohorts have downstream credit verified DigiLockerId deposit. and APAAR_ID bindings in Semester 1, eliminating downstream NAD-ABC credit rejection.</w:t>
      </w:r>
    </w:p>
    <w:p>
      <w:r>
        <w:t>Stage 6: Third-Party Employers and High latency, manual Intervention F (W3C Verification scholarship agencies administrative burden, SD-JWT email university exam and over-exposure of Selective-Disclosure cells (examcell@...) sensitive student PII Gateway): Issues and wait days/weeks (caste, marks, DOB) on tamper-evident W3C for manual registrar full transcripts. Verifiable Enrolment letters. Credentials allowing sub-20ms cryptographic verification of specific claims (e.g., "Enrolled within AICTE</w:t>
      </w:r>
    </w:p>
    <w:p>
      <w:r>
        <w:t>Sanctioned Intake")</w:t>
      </w:r>
    </w:p>
    <w:p>
      <w:r>
        <w:t>with applicable DPDP Act consent requirements consent and zero PII leakage. Variations by Institution Type, Programme, and Approval Category</w:t>
      </w:r>
    </w:p>
    <w:p>
      <w:r>
        <w:t>Regulatory data obligations vary substantially across AICTE's institutional taxonomy, requiring</w:t>
      </w:r>
    </w:p>
    <w:p>
      <w:r>
        <w:t>the platform's rule engine to parameterize constraints by institution type and approval category:</w:t>
      </w:r>
    </w:p>
    <w:p>
      <w:r>
        <w:t>Institution / Programme Regulatory &amp; Admission Key Verification &amp;</w:t>
      </w:r>
    </w:p>
    <w:p>
      <w:r>
        <w:t>Category Reporting Specifics Reconciliation Nuances</w:t>
      </w:r>
    </w:p>
    <w:p>
      <w:r>
        <w:t>Affiliated Technical Colleges Bound by AICTE LoA/EoA Must reconcile CAP allotments (B.Tech, B.E., B.Pharm, course-wise Sanctioned Intake (80%), Institute Quota (20%), M.Tech, MBA, MCA, Diploma) AND Affiliating University (e.g., TFWS (5%), EWS (10%), MAKAUT, SPPU) renewal of Lateral Entry (10% in 2nd affiliation and State DTE CAP Year), and PMSSS seat matrices. supernumerary seats.</w:t>
      </w:r>
    </w:p>
    <w:p>
      <w:r>
        <w:t>Standalone PGDM / PGCM Not affiliated to a university; High risk of unapproved Institutions regulated directly by AICTE batch/shift expansion or excess</w:t>
      </w:r>
    </w:p>
    <w:p>
      <w:r>
        <w:t>Institution / Programme Regulatory &amp; Admission Key Verification &amp;</w:t>
      </w:r>
    </w:p>
    <w:p>
      <w:r>
        <w:t>Category Reporting Specifics Reconciliation Nuances</w:t>
      </w:r>
    </w:p>
    <w:p>
      <w:r>
        <w:t>under standalone approval intake; AICTE directly norms and dedicated PGDM investigates faculty-student</w:t>
      </w:r>
    </w:p>
    <w:p>
      <w:r>
        <w:t>Student Bulk Import workflows. ratio and fee violations via</w:t>
      </w:r>
    </w:p>
    <w:p>
      <w:r>
        <w:t>AICTE-constituted committees. Undergraduate BCA / BBA / Newly brought under AICTE's Many arts, science, and BMS in General Colleges regulatory umbrella under APH commerce colleges running 2024–2027 to ensure BBA/BCA lack legacy AICTE coordinated management and ERP connectors and are computer application onboarding to AICTE EoA standards. disclosures for the first time.</w:t>
      </w:r>
    </w:p>
    <w:p>
      <w:r>
        <w:t>Outstanding Institutions with Granted Extended EoA for 3 Critical statutory rule: Even 3-Year Extended EoA years (e.g., 2025–2028) under with 3-year approval, the APH 2024–2027 with TER fee institution must submit updated waiver. faculty and student records on the AICTE portal every year to download the annual EoA letter; violations trigger withdrawal of Extended EoA.</w:t>
      </w:r>
    </w:p>
    <w:p>
      <w:r>
        <w:t>Working Professional Introduced under APH Students are full-time Flexible-Timing Courses 2024–2027 to allow employed employees or concurrent professionals to upgrade learners; shift timings and qualifications at eligibility rules differ completely diploma/UG/PG levels via from regular daytime cohorts.</w:t>
      </w:r>
    </w:p>
    <w:p>
      <w:r>
        <w:t>flexible timings. ODL and Online Learning Regulated under explicit APH Exempt from physical (OL) Programmes 2024–2027 ODL/OL norms and classroom infrastructure caps in UGC-DEB recognition. the same manner as regular courses, and legally combinable with physical degrees under UGC dual-degree rules. Documented Evidence of Operational Problems vs. Field Hypotheses Separating documented systemic failures evidenced in official government tenders, regulatory handbooks, and policy statements from operational hypotheses requiring field validation ensures that the technical design targets verified pain points.</w:t>
      </w:r>
    </w:p>
    <w:p>
      <w:r>
        <w:t>Primary government documentation confirms four systemic problems. First, higher education reporting suffers from severe multi-portal data divergence: former AICTE and NETF/NAAC leadership (Prof. Anil Sahasrabudhe) documented that because institutions submit data repeatedly across AISHE, NAAC, NBA, AICTE, UGC, state governments, and affiliating universities, widespread inconsistencies and consultant-driven manipulations occur, with only roughly 200 to 300 institutions out of more than 50,000 colleges nationwide submitting fully consistent, reliable data. Second, AICTE's official PGDM Student Bulk Import portal (aicte.gov.in/bureaus/approval/PGDM_Bulk) and AICTE's ONOD Manpower RFP confirm that student data collection has relied on static spreadsheet templates and manual portal uploads lacking automated cross-agency API verification. Third, the AICTE Approval Process Handbook 2024–2027 (Chapter VII/VIII, Clauses 7.3 and 7.4) and university affiliation notices (such as MAKAUT) explicitly codify recurrent institutional violations—specifically admitting students over and above "Approved Intake," misusing NRI and supernumerary quotas, or submitting incomplete or false student information during Extension of Approval—which compelled AICTE to institute Clause 7.3(g), levying a fine of five times the total fee collected for the complete duration of the course per excess student. Fourth, official APAAR FAQs (apaar.education.gov.in/faqs) verify that APAAR ID generation fails whenever a student's name or date of birth in institutional or UDISE+ records does not match their Aadhaar record, requiring manual data correction and resubmission.</w:t>
      </w:r>
    </w:p>
    <w:p>
      <w:r>
        <w:t>Conversely, two operational hypotheses merit field validation during pilot deployment. First, it is hypothesized that last-minute institutional spot-round admissions—conducted after CAP Rounds 3 and 4 to fill vacant seats, including inter-bucket conversions between CIWGC, OCI/FN, and NRI quotas—account for the vast majority of late schema rejections and intake mismatches on the AICTE portal. Second, while duplicate faculty records have been extensively audited in the past, it is hypothesized that certain under-enrolled institutions upload unverified or duplicate student records to appear above minimum viability thresholds or to claim state fee-reimbursement scholarships.</w:t>
      </w:r>
    </w:p>
    <w:p>
      <w:pPr>
        <w:sectPr>
          <w:footerReference w:type="default" r:id="rId9"/>
          <w:pgSz w:w="12240" w:h="15840"/>
          <w:pgMar w:top="1008" w:right="1152" w:bottom="1008" w:left="1152" w:header="720" w:footer="720" w:gutter="0"/>
          <w:cols w:space="720"/>
          <w:docGrid w:linePitch="360"/>
        </w:sectPr>
      </w:pPr>
    </w:p>
    <w:p>
      <w:pPr>
        <w:pStyle w:val="Heading1"/>
        <w:keepNext/>
      </w:pPr>
      <w:r>
        <w:t>4. Existing-Solution Inventory and Comparison Matrix</w:t>
      </w:r>
    </w:p>
    <w:p>
      <w:r>
        <w:t>A systematic investigation across Indian government Digital Public Infrastructure (DPI),</w:t>
      </w:r>
    </w:p>
    <w:p>
      <w:pPr>
        <w:pStyle w:val="Heading2"/>
        <w:keepNext/>
      </w:pPr>
      <w:r>
        <w:t>§4 Comparison Matrix (normalized to eight requested columns)</w:t>
      </w:r>
    </w:p>
    <w:tbl>
      <w:tblPr>
        <w:tblStyle w:val="TableGrid"/>
        <w:tblW w:type="auto" w:w="0"/>
        <w:jc w:val="center"/>
        <w:tblLayout w:type="autofit"/>
        <w:tblLook w:firstColumn="1" w:firstRow="1" w:lastColumn="0" w:lastRow="0" w:noHBand="0" w:noVBand="1" w:val="04A0"/>
      </w:tblPr>
      <w:tblGrid>
        <w:gridCol w:w="1818"/>
        <w:gridCol w:w="1818"/>
        <w:gridCol w:w="1818"/>
        <w:gridCol w:w="1818"/>
        <w:gridCol w:w="1818"/>
        <w:gridCol w:w="1818"/>
        <w:gridCol w:w="1818"/>
        <w:gridCol w:w="1818"/>
      </w:tblGrid>
      <w:tr>
        <w:tc>
          <w:tcPr>
            <w:tcW w:type="dxa" w:w="1818"/>
            <w:vAlign w:val="top"/>
          </w:tcPr>
          <w:p>
            <w:pPr>
              <w:spacing w:after="40" w:line="240" w:lineRule="auto"/>
            </w:pPr>
            <w:r>
              <w:t>Solution</w:t>
            </w:r>
          </w:p>
        </w:tc>
        <w:tc>
          <w:tcPr>
            <w:tcW w:type="dxa" w:w="1818"/>
            <w:vAlign w:val="top"/>
          </w:tcPr>
          <w:p>
            <w:pPr>
              <w:spacing w:after="40" w:line="240" w:lineRule="auto"/>
            </w:pPr>
            <w:r>
              <w:t>Category</w:t>
            </w:r>
          </w:p>
        </w:tc>
        <w:tc>
          <w:tcPr>
            <w:tcW w:type="dxa" w:w="1818"/>
            <w:vAlign w:val="top"/>
          </w:tcPr>
          <w:p>
            <w:pPr>
              <w:spacing w:after="40" w:line="240" w:lineRule="auto"/>
            </w:pPr>
            <w:r>
              <w:t>APAAR support</w:t>
            </w:r>
          </w:p>
        </w:tc>
        <w:tc>
          <w:tcPr>
            <w:tcW w:type="dxa" w:w="1818"/>
            <w:vAlign w:val="top"/>
          </w:tcPr>
          <w:p>
            <w:pPr>
              <w:spacing w:after="40" w:line="240" w:lineRule="auto"/>
            </w:pPr>
            <w:r>
              <w:t>Student-level data</w:t>
            </w:r>
          </w:p>
        </w:tc>
        <w:tc>
          <w:tcPr>
            <w:tcW w:type="dxa" w:w="1818"/>
            <w:vAlign w:val="top"/>
          </w:tcPr>
          <w:p>
            <w:pPr>
              <w:spacing w:after="40" w:line="240" w:lineRule="auto"/>
            </w:pPr>
            <w:r>
              <w:t>Duplicate detection</w:t>
            </w:r>
          </w:p>
        </w:tc>
        <w:tc>
          <w:tcPr>
            <w:tcW w:type="dxa" w:w="1818"/>
            <w:vAlign w:val="top"/>
          </w:tcPr>
          <w:p>
            <w:pPr>
              <w:spacing w:after="40" w:line="240" w:lineRule="auto"/>
            </w:pPr>
            <w:r>
              <w:t>Intake reconciliation</w:t>
            </w:r>
          </w:p>
        </w:tc>
        <w:tc>
          <w:tcPr>
            <w:tcW w:type="dxa" w:w="1818"/>
            <w:vAlign w:val="top"/>
          </w:tcPr>
          <w:p>
            <w:pPr>
              <w:spacing w:after="40" w:line="240" w:lineRule="auto"/>
            </w:pPr>
            <w:r>
              <w:t>Interoperability</w:t>
            </w:r>
          </w:p>
        </w:tc>
        <w:tc>
          <w:tcPr>
            <w:tcW w:type="dxa" w:w="1818"/>
            <w:vAlign w:val="top"/>
          </w:tcPr>
          <w:p>
            <w:pPr>
              <w:spacing w:after="40" w:line="240" w:lineRule="auto"/>
            </w:pPr>
            <w:r>
              <w:t>Limitation</w:t>
            </w:r>
          </w:p>
        </w:tc>
      </w:tr>
      <w:tr>
        <w:tc>
          <w:tcPr>
            <w:tcW w:type="dxa" w:w="1818"/>
            <w:vAlign w:val="top"/>
          </w:tcPr>
          <w:p>
            <w:pPr>
              <w:spacing w:after="40" w:line="240" w:lineRule="auto"/>
            </w:pPr>
            <w:r>
              <w:t>APAAR Portal</w:t>
            </w:r>
          </w:p>
        </w:tc>
        <w:tc>
          <w:tcPr>
            <w:tcW w:type="dxa" w:w="1818"/>
            <w:vAlign w:val="top"/>
          </w:tcPr>
          <w:p>
            <w:pPr>
              <w:spacing w:after="40" w:line="240" w:lineRule="auto"/>
            </w:pPr>
            <w:r>
              <w:t>Government DPI</w:t>
            </w:r>
          </w:p>
        </w:tc>
        <w:tc>
          <w:tcPr>
            <w:tcW w:type="dxa" w:w="1818"/>
            <w:vAlign w:val="top"/>
          </w:tcPr>
          <w:p>
            <w:pPr>
              <w:spacing w:after="40" w:line="240" w:lineRule="auto"/>
            </w:pPr>
            <w:r>
              <w:t>Native identifier</w:t>
            </w:r>
          </w:p>
        </w:tc>
        <w:tc>
          <w:tcPr>
            <w:tcW w:type="dxa" w:w="1818"/>
            <w:vAlign w:val="top"/>
          </w:tcPr>
          <w:p>
            <w:pPr>
              <w:spacing w:after="40" w:line="240" w:lineRule="auto"/>
            </w:pPr>
            <w:r>
              <w:t>Core identity profile</w:t>
            </w:r>
          </w:p>
        </w:tc>
        <w:tc>
          <w:tcPr>
            <w:tcW w:type="dxa" w:w="1818"/>
            <w:vAlign w:val="top"/>
          </w:tcPr>
          <w:p>
            <w:pPr>
              <w:spacing w:after="40" w:line="240" w:lineRule="auto"/>
            </w:pPr>
            <w:r>
              <w:t>Not an intake deduplicator</w:t>
            </w:r>
          </w:p>
        </w:tc>
        <w:tc>
          <w:tcPr>
            <w:tcW w:type="dxa" w:w="1818"/>
            <w:vAlign w:val="top"/>
          </w:tcPr>
          <w:p>
            <w:pPr>
              <w:spacing w:after="40" w:line="240" w:lineRule="auto"/>
            </w:pPr>
            <w:r>
              <w:t>No</w:t>
            </w:r>
          </w:p>
        </w:tc>
        <w:tc>
          <w:tcPr>
            <w:tcW w:type="dxa" w:w="1818"/>
            <w:vAlign w:val="top"/>
          </w:tcPr>
          <w:p>
            <w:pPr>
              <w:spacing w:after="40" w:line="240" w:lineRule="auto"/>
            </w:pPr>
            <w:r>
              <w:t>UDISE+, DigiLocker</w:t>
            </w:r>
          </w:p>
        </w:tc>
        <w:tc>
          <w:tcPr>
            <w:tcW w:type="dxa" w:w="1818"/>
            <w:vAlign w:val="top"/>
          </w:tcPr>
          <w:p>
            <w:pPr>
              <w:spacing w:after="40" w:line="240" w:lineRule="auto"/>
            </w:pPr>
            <w:r>
              <w:t>Not a seat-capacity validation layer</w:t>
            </w:r>
          </w:p>
        </w:tc>
      </w:tr>
      <w:tr>
        <w:tc>
          <w:tcPr>
            <w:tcW w:type="dxa" w:w="1818"/>
            <w:vAlign w:val="top"/>
          </w:tcPr>
          <w:p>
            <w:pPr>
              <w:spacing w:after="40" w:line="240" w:lineRule="auto"/>
            </w:pPr>
            <w:r>
              <w:t>Academic Bank of Credits (ABC)</w:t>
            </w:r>
          </w:p>
        </w:tc>
        <w:tc>
          <w:tcPr>
            <w:tcW w:type="dxa" w:w="1818"/>
            <w:vAlign w:val="top"/>
          </w:tcPr>
          <w:p>
            <w:pPr>
              <w:spacing w:after="40" w:line="240" w:lineRule="auto"/>
            </w:pPr>
            <w:r>
              <w:t>Government DPI</w:t>
            </w:r>
          </w:p>
        </w:tc>
        <w:tc>
          <w:tcPr>
            <w:tcW w:type="dxa" w:w="1818"/>
            <w:vAlign w:val="top"/>
          </w:tcPr>
          <w:p>
            <w:pPr>
              <w:spacing w:after="40" w:line="240" w:lineRule="auto"/>
            </w:pPr>
            <w:r>
              <w:t>APAAR-linked</w:t>
            </w:r>
          </w:p>
        </w:tc>
        <w:tc>
          <w:tcPr>
            <w:tcW w:type="dxa" w:w="1818"/>
            <w:vAlign w:val="top"/>
          </w:tcPr>
          <w:p>
            <w:pPr>
              <w:spacing w:after="40" w:line="240" w:lineRule="auto"/>
            </w:pPr>
            <w:r>
              <w:t>Credits and academic records</w:t>
            </w:r>
          </w:p>
        </w:tc>
        <w:tc>
          <w:tcPr>
            <w:tcW w:type="dxa" w:w="1818"/>
            <w:vAlign w:val="top"/>
          </w:tcPr>
          <w:p>
            <w:pPr>
              <w:spacing w:after="40" w:line="240" w:lineRule="auto"/>
            </w:pPr>
            <w:r>
              <w:t>Not designed for admission deduplication</w:t>
            </w:r>
          </w:p>
        </w:tc>
        <w:tc>
          <w:tcPr>
            <w:tcW w:type="dxa" w:w="1818"/>
            <w:vAlign w:val="top"/>
          </w:tcPr>
          <w:p>
            <w:pPr>
              <w:spacing w:after="40" w:line="240" w:lineRule="auto"/>
            </w:pPr>
            <w:r>
              <w:t>No</w:t>
            </w:r>
          </w:p>
        </w:tc>
        <w:tc>
          <w:tcPr>
            <w:tcW w:type="dxa" w:w="1818"/>
            <w:vAlign w:val="top"/>
          </w:tcPr>
          <w:p>
            <w:pPr>
              <w:spacing w:after="40" w:line="240" w:lineRule="auto"/>
            </w:pPr>
            <w:r>
              <w:t>NAD, DigiLocker</w:t>
            </w:r>
          </w:p>
        </w:tc>
        <w:tc>
          <w:tcPr>
            <w:tcW w:type="dxa" w:w="1818"/>
            <w:vAlign w:val="top"/>
          </w:tcPr>
          <w:p>
            <w:pPr>
              <w:spacing w:after="40" w:line="240" w:lineRule="auto"/>
            </w:pPr>
            <w:r>
              <w:t>Post-admission credit focus</w:t>
            </w:r>
          </w:p>
        </w:tc>
      </w:tr>
      <w:tr>
        <w:tc>
          <w:tcPr>
            <w:tcW w:type="dxa" w:w="1818"/>
            <w:vAlign w:val="top"/>
          </w:tcPr>
          <w:p>
            <w:pPr>
              <w:spacing w:after="40" w:line="240" w:lineRule="auto"/>
            </w:pPr>
            <w:r>
              <w:t>NAD / DigiLocker</w:t>
            </w:r>
          </w:p>
        </w:tc>
        <w:tc>
          <w:tcPr>
            <w:tcW w:type="dxa" w:w="1818"/>
            <w:vAlign w:val="top"/>
          </w:tcPr>
          <w:p>
            <w:pPr>
              <w:spacing w:after="40" w:line="240" w:lineRule="auto"/>
            </w:pPr>
            <w:r>
              <w:t>Government DPI</w:t>
            </w:r>
          </w:p>
        </w:tc>
        <w:tc>
          <w:tcPr>
            <w:tcW w:type="dxa" w:w="1818"/>
            <w:vAlign w:val="top"/>
          </w:tcPr>
          <w:p>
            <w:pPr>
              <w:spacing w:after="40" w:line="240" w:lineRule="auto"/>
            </w:pPr>
            <w:r>
              <w:t>DigiLocker identity/document linkage</w:t>
            </w:r>
          </w:p>
        </w:tc>
        <w:tc>
          <w:tcPr>
            <w:tcW w:type="dxa" w:w="1818"/>
            <w:vAlign w:val="top"/>
          </w:tcPr>
          <w:p>
            <w:pPr>
              <w:spacing w:after="40" w:line="240" w:lineRule="auto"/>
            </w:pPr>
            <w:r>
              <w:t>Issued documents</w:t>
            </w:r>
          </w:p>
        </w:tc>
        <w:tc>
          <w:tcPr>
            <w:tcW w:type="dxa" w:w="1818"/>
            <w:vAlign w:val="top"/>
          </w:tcPr>
          <w:p>
            <w:pPr>
              <w:spacing w:after="40" w:line="240" w:lineRule="auto"/>
            </w:pPr>
            <w:r>
              <w:t>No cross-institution enrolment adjudication</w:t>
            </w:r>
          </w:p>
        </w:tc>
        <w:tc>
          <w:tcPr>
            <w:tcW w:type="dxa" w:w="1818"/>
            <w:vAlign w:val="top"/>
          </w:tcPr>
          <w:p>
            <w:pPr>
              <w:spacing w:after="40" w:line="240" w:lineRule="auto"/>
            </w:pPr>
            <w:r>
              <w:t>No</w:t>
            </w:r>
          </w:p>
        </w:tc>
        <w:tc>
          <w:tcPr>
            <w:tcW w:type="dxa" w:w="1818"/>
            <w:vAlign w:val="top"/>
          </w:tcPr>
          <w:p>
            <w:pPr>
              <w:spacing w:after="40" w:line="240" w:lineRule="auto"/>
            </w:pPr>
            <w:r>
              <w:t>API Setu, issuer/requester APIs</w:t>
            </w:r>
          </w:p>
        </w:tc>
        <w:tc>
          <w:tcPr>
            <w:tcW w:type="dxa" w:w="1818"/>
            <w:vAlign w:val="top"/>
          </w:tcPr>
          <w:p>
            <w:pPr>
              <w:spacing w:after="40" w:line="240" w:lineRule="auto"/>
            </w:pPr>
            <w:r>
              <w:t>Not an intake reconciliation engine</w:t>
            </w:r>
          </w:p>
        </w:tc>
      </w:tr>
      <w:tr>
        <w:tc>
          <w:tcPr>
            <w:tcW w:type="dxa" w:w="1818"/>
            <w:vAlign w:val="top"/>
          </w:tcPr>
          <w:p>
            <w:pPr>
              <w:spacing w:after="40" w:line="240" w:lineRule="auto"/>
            </w:pPr>
            <w:r>
              <w:t>AICTE ONOD</w:t>
            </w:r>
          </w:p>
        </w:tc>
        <w:tc>
          <w:tcPr>
            <w:tcW w:type="dxa" w:w="1818"/>
            <w:vAlign w:val="top"/>
          </w:tcPr>
          <w:p>
            <w:pPr>
              <w:spacing w:after="40" w:line="240" w:lineRule="auto"/>
            </w:pPr>
            <w:r>
              <w:t>Regulatory platform</w:t>
            </w:r>
          </w:p>
        </w:tc>
        <w:tc>
          <w:tcPr>
            <w:tcW w:type="dxa" w:w="1818"/>
            <w:vAlign w:val="top"/>
          </w:tcPr>
          <w:p>
            <w:pPr>
              <w:spacing w:after="40" w:line="240" w:lineRule="auto"/>
            </w:pPr>
            <w:r>
              <w:t>Upstream identity context</w:t>
            </w:r>
          </w:p>
        </w:tc>
        <w:tc>
          <w:tcPr>
            <w:tcW w:type="dxa" w:w="1818"/>
            <w:vAlign w:val="top"/>
          </w:tcPr>
          <w:p>
            <w:pPr>
              <w:spacing w:after="40" w:line="240" w:lineRule="auto"/>
            </w:pPr>
            <w:r>
              <w:t>Institutional reporting data</w:t>
            </w:r>
          </w:p>
        </w:tc>
        <w:tc>
          <w:tcPr>
            <w:tcW w:type="dxa" w:w="1818"/>
            <w:vAlign w:val="top"/>
          </w:tcPr>
          <w:p>
            <w:pPr>
              <w:spacing w:after="40" w:line="240" w:lineRule="auto"/>
            </w:pPr>
            <w:r>
              <w:t>No PPRL/UGC concurrency engine identified in report</w:t>
            </w:r>
          </w:p>
        </w:tc>
        <w:tc>
          <w:tcPr>
            <w:tcW w:type="dxa" w:w="1818"/>
            <w:vAlign w:val="top"/>
          </w:tcPr>
          <w:p>
            <w:pPr>
              <w:spacing w:after="40" w:line="240" w:lineRule="auto"/>
            </w:pPr>
            <w:r>
              <w:t>Aggregate / reporting focus</w:t>
            </w:r>
          </w:p>
        </w:tc>
        <w:tc>
          <w:tcPr>
            <w:tcW w:type="dxa" w:w="1818"/>
            <w:vAlign w:val="top"/>
          </w:tcPr>
          <w:p>
            <w:pPr>
              <w:spacing w:after="40" w:line="240" w:lineRule="auto"/>
            </w:pPr>
            <w:r>
              <w:t>AICTE systems and open APIs</w:t>
            </w:r>
          </w:p>
        </w:tc>
        <w:tc>
          <w:tcPr>
            <w:tcW w:type="dxa" w:w="1818"/>
            <w:vAlign w:val="top"/>
          </w:tcPr>
          <w:p>
            <w:pPr>
              <w:spacing w:after="40" w:line="240" w:lineRule="auto"/>
            </w:pPr>
            <w:r>
              <w:t>No described pre-upload student-level validation</w:t>
            </w:r>
          </w:p>
        </w:tc>
      </w:tr>
      <w:tr>
        <w:tc>
          <w:tcPr>
            <w:tcW w:type="dxa" w:w="1818"/>
            <w:vAlign w:val="top"/>
          </w:tcPr>
          <w:p>
            <w:pPr>
              <w:spacing w:after="40" w:line="240" w:lineRule="auto"/>
            </w:pPr>
            <w:r>
              <w:t>AICTE PGDM Bulk Import</w:t>
            </w:r>
          </w:p>
        </w:tc>
        <w:tc>
          <w:tcPr>
            <w:tcW w:type="dxa" w:w="1818"/>
            <w:vAlign w:val="top"/>
          </w:tcPr>
          <w:p>
            <w:pPr>
              <w:spacing w:after="40" w:line="240" w:lineRule="auto"/>
            </w:pPr>
            <w:r>
              <w:t>Regulatory workflow</w:t>
            </w:r>
          </w:p>
        </w:tc>
        <w:tc>
          <w:tcPr>
            <w:tcW w:type="dxa" w:w="1818"/>
            <w:vAlign w:val="top"/>
          </w:tcPr>
          <w:p>
            <w:pPr>
              <w:spacing w:after="40" w:line="240" w:lineRule="auto"/>
            </w:pPr>
            <w:r>
              <w:t>May accept student records</w:t>
            </w:r>
          </w:p>
        </w:tc>
        <w:tc>
          <w:tcPr>
            <w:tcW w:type="dxa" w:w="1818"/>
            <w:vAlign w:val="top"/>
          </w:tcPr>
          <w:p>
            <w:pPr>
              <w:spacing w:after="40" w:line="240" w:lineRule="auto"/>
            </w:pPr>
            <w:r>
              <w:t>Roster uploads</w:t>
            </w:r>
          </w:p>
        </w:tc>
        <w:tc>
          <w:tcPr>
            <w:tcW w:type="dxa" w:w="1818"/>
            <w:vAlign w:val="top"/>
          </w:tcPr>
          <w:p>
            <w:pPr>
              <w:spacing w:after="40" w:line="240" w:lineRule="auto"/>
            </w:pPr>
            <w:r>
              <w:t>Basic schema checks only, per report</w:t>
            </w:r>
          </w:p>
        </w:tc>
        <w:tc>
          <w:tcPr>
            <w:tcW w:type="dxa" w:w="1818"/>
            <w:vAlign w:val="top"/>
          </w:tcPr>
          <w:p>
            <w:pPr>
              <w:spacing w:after="40" w:line="240" w:lineRule="auto"/>
            </w:pPr>
            <w:r>
              <w:t>Manual / limited</w:t>
            </w:r>
          </w:p>
        </w:tc>
        <w:tc>
          <w:tcPr>
            <w:tcW w:type="dxa" w:w="1818"/>
            <w:vAlign w:val="top"/>
          </w:tcPr>
          <w:p>
            <w:pPr>
              <w:spacing w:after="40" w:line="240" w:lineRule="auto"/>
            </w:pPr>
            <w:r>
              <w:t>CSV/XLSX, AICTE portal</w:t>
            </w:r>
          </w:p>
        </w:tc>
        <w:tc>
          <w:tcPr>
            <w:tcW w:type="dxa" w:w="1818"/>
            <w:vAlign w:val="top"/>
          </w:tcPr>
          <w:p>
            <w:pPr>
              <w:spacing w:after="40" w:line="240" w:lineRule="auto"/>
            </w:pPr>
            <w:r>
              <w:t>Static bulk-import workflow</w:t>
            </w:r>
          </w:p>
        </w:tc>
      </w:tr>
      <w:tr>
        <w:tc>
          <w:tcPr>
            <w:tcW w:type="dxa" w:w="1818"/>
            <w:vAlign w:val="top"/>
          </w:tcPr>
          <w:p>
            <w:pPr>
              <w:spacing w:after="40" w:line="240" w:lineRule="auto"/>
            </w:pPr>
            <w:r>
              <w:t>AISHE Portal</w:t>
            </w:r>
          </w:p>
        </w:tc>
        <w:tc>
          <w:tcPr>
            <w:tcW w:type="dxa" w:w="1818"/>
            <w:vAlign w:val="top"/>
          </w:tcPr>
          <w:p>
            <w:pPr>
              <w:spacing w:after="40" w:line="240" w:lineRule="auto"/>
            </w:pPr>
            <w:r>
              <w:t>Government survey</w:t>
            </w:r>
          </w:p>
        </w:tc>
        <w:tc>
          <w:tcPr>
            <w:tcW w:type="dxa" w:w="1818"/>
            <w:vAlign w:val="top"/>
          </w:tcPr>
          <w:p>
            <w:pPr>
              <w:spacing w:after="40" w:line="240" w:lineRule="auto"/>
            </w:pPr>
            <w:r>
              <w:t>No native APAAR-centric workflow described</w:t>
            </w:r>
          </w:p>
        </w:tc>
        <w:tc>
          <w:tcPr>
            <w:tcW w:type="dxa" w:w="1818"/>
            <w:vAlign w:val="top"/>
          </w:tcPr>
          <w:p>
            <w:pPr>
              <w:spacing w:after="40" w:line="240" w:lineRule="auto"/>
            </w:pPr>
            <w:r>
              <w:t>Aggregate institutional data</w:t>
            </w:r>
          </w:p>
        </w:tc>
        <w:tc>
          <w:tcPr>
            <w:tcW w:type="dxa" w:w="1818"/>
            <w:vAlign w:val="top"/>
          </w:tcPr>
          <w:p>
            <w:pPr>
              <w:spacing w:after="40" w:line="240" w:lineRule="auto"/>
            </w:pPr>
            <w:r>
              <w:t>No</w:t>
            </w:r>
          </w:p>
        </w:tc>
        <w:tc>
          <w:tcPr>
            <w:tcW w:type="dxa" w:w="1818"/>
            <w:vAlign w:val="top"/>
          </w:tcPr>
          <w:p>
            <w:pPr>
              <w:spacing w:after="40" w:line="240" w:lineRule="auto"/>
            </w:pPr>
            <w:r>
              <w:t>No</w:t>
            </w:r>
          </w:p>
        </w:tc>
        <w:tc>
          <w:tcPr>
            <w:tcW w:type="dxa" w:w="1818"/>
            <w:vAlign w:val="top"/>
          </w:tcPr>
          <w:p>
            <w:pPr>
              <w:spacing w:after="40" w:line="240" w:lineRule="auto"/>
            </w:pPr>
            <w:r>
              <w:t>Institutional survey uploads</w:t>
            </w:r>
          </w:p>
        </w:tc>
        <w:tc>
          <w:tcPr>
            <w:tcW w:type="dxa" w:w="1818"/>
            <w:vAlign w:val="top"/>
          </w:tcPr>
          <w:p>
            <w:pPr>
              <w:spacing w:after="40" w:line="240" w:lineRule="auto"/>
            </w:pPr>
            <w:r>
              <w:t>Aggregate statistics rather than admission-level reconciliation</w:t>
            </w:r>
          </w:p>
        </w:tc>
      </w:tr>
      <w:tr>
        <w:tc>
          <w:tcPr>
            <w:tcW w:type="dxa" w:w="1818"/>
            <w:vAlign w:val="top"/>
          </w:tcPr>
          <w:p>
            <w:pPr>
              <w:spacing w:after="40" w:line="240" w:lineRule="auto"/>
            </w:pPr>
            <w:r>
              <w:t>State CET / CAP portals</w:t>
            </w:r>
          </w:p>
        </w:tc>
        <w:tc>
          <w:tcPr>
            <w:tcW w:type="dxa" w:w="1818"/>
            <w:vAlign w:val="top"/>
          </w:tcPr>
          <w:p>
            <w:pPr>
              <w:spacing w:after="40" w:line="240" w:lineRule="auto"/>
            </w:pPr>
            <w:r>
              <w:t>Government admission systems</w:t>
            </w:r>
          </w:p>
        </w:tc>
        <w:tc>
          <w:tcPr>
            <w:tcW w:type="dxa" w:w="1818"/>
            <w:vAlign w:val="top"/>
          </w:tcPr>
          <w:p>
            <w:pPr>
              <w:spacing w:after="40" w:line="240" w:lineRule="auto"/>
            </w:pPr>
            <w:r>
              <w:t>Varies by state</w:t>
            </w:r>
          </w:p>
        </w:tc>
        <w:tc>
          <w:tcPr>
            <w:tcW w:type="dxa" w:w="1818"/>
            <w:vAlign w:val="top"/>
          </w:tcPr>
          <w:p>
            <w:pPr>
              <w:spacing w:after="40" w:line="240" w:lineRule="auto"/>
            </w:pPr>
            <w:r>
              <w:t>Applicants and allotments</w:t>
            </w:r>
          </w:p>
        </w:tc>
        <w:tc>
          <w:tcPr>
            <w:tcW w:type="dxa" w:w="1818"/>
            <w:vAlign w:val="top"/>
          </w:tcPr>
          <w:p>
            <w:pPr>
              <w:spacing w:after="40" w:line="240" w:lineRule="auto"/>
            </w:pPr>
            <w:r>
              <w:t>Limited to own process</w:t>
            </w:r>
          </w:p>
        </w:tc>
        <w:tc>
          <w:tcPr>
            <w:tcW w:type="dxa" w:w="1818"/>
            <w:vAlign w:val="top"/>
          </w:tcPr>
          <w:p>
            <w:pPr>
              <w:spacing w:after="40" w:line="240" w:lineRule="auto"/>
            </w:pPr>
            <w:r>
              <w:t>State seat allocation</w:t>
            </w:r>
          </w:p>
        </w:tc>
        <w:tc>
          <w:tcPr>
            <w:tcW w:type="dxa" w:w="1818"/>
            <w:vAlign w:val="top"/>
          </w:tcPr>
          <w:p>
            <w:pPr>
              <w:spacing w:after="40" w:line="240" w:lineRule="auto"/>
            </w:pPr>
            <w:r>
              <w:t>State counselling systems</w:t>
            </w:r>
          </w:p>
        </w:tc>
        <w:tc>
          <w:tcPr>
            <w:tcW w:type="dxa" w:w="1818"/>
            <w:vAlign w:val="top"/>
          </w:tcPr>
          <w:p>
            <w:pPr>
              <w:spacing w:after="40" w:line="240" w:lineRule="auto"/>
            </w:pPr>
            <w:r>
              <w:t>Limited visibility across institutions and non-CAP routes</w:t>
            </w:r>
          </w:p>
        </w:tc>
      </w:tr>
      <w:tr>
        <w:tc>
          <w:tcPr>
            <w:tcW w:type="dxa" w:w="1818"/>
            <w:vAlign w:val="top"/>
          </w:tcPr>
          <w:p>
            <w:pPr>
              <w:spacing w:after="40" w:line="240" w:lineRule="auto"/>
            </w:pPr>
            <w:r>
              <w:t>Campus ERP / SIS</w:t>
            </w:r>
          </w:p>
        </w:tc>
        <w:tc>
          <w:tcPr>
            <w:tcW w:type="dxa" w:w="1818"/>
            <w:vAlign w:val="top"/>
          </w:tcPr>
          <w:p>
            <w:pPr>
              <w:spacing w:after="40" w:line="240" w:lineRule="auto"/>
            </w:pPr>
            <w:r>
              <w:t>Institutional systems</w:t>
            </w:r>
          </w:p>
        </w:tc>
        <w:tc>
          <w:tcPr>
            <w:tcW w:type="dxa" w:w="1818"/>
            <w:vAlign w:val="top"/>
          </w:tcPr>
          <w:p>
            <w:pPr>
              <w:spacing w:after="40" w:line="240" w:lineRule="auto"/>
            </w:pPr>
            <w:r>
              <w:t>Integration varies</w:t>
            </w:r>
          </w:p>
        </w:tc>
        <w:tc>
          <w:tcPr>
            <w:tcW w:type="dxa" w:w="1818"/>
            <w:vAlign w:val="top"/>
          </w:tcPr>
          <w:p>
            <w:pPr>
              <w:spacing w:after="40" w:line="240" w:lineRule="auto"/>
            </w:pPr>
            <w:r>
              <w:t>Full local student records</w:t>
            </w:r>
          </w:p>
        </w:tc>
        <w:tc>
          <w:tcPr>
            <w:tcW w:type="dxa" w:w="1818"/>
            <w:vAlign w:val="top"/>
          </w:tcPr>
          <w:p>
            <w:pPr>
              <w:spacing w:after="40" w:line="240" w:lineRule="auto"/>
            </w:pPr>
            <w:r>
              <w:t>Mostly local/intra-ERP</w:t>
            </w:r>
          </w:p>
        </w:tc>
        <w:tc>
          <w:tcPr>
            <w:tcW w:type="dxa" w:w="1818"/>
            <w:vAlign w:val="top"/>
          </w:tcPr>
          <w:p>
            <w:pPr>
              <w:spacing w:after="40" w:line="240" w:lineRule="auto"/>
            </w:pPr>
            <w:r>
              <w:t>Local intake rules vary</w:t>
            </w:r>
          </w:p>
        </w:tc>
        <w:tc>
          <w:tcPr>
            <w:tcW w:type="dxa" w:w="1818"/>
            <w:vAlign w:val="top"/>
          </w:tcPr>
          <w:p>
            <w:pPr>
              <w:spacing w:after="40" w:line="240" w:lineRule="auto"/>
            </w:pPr>
            <w:r>
              <w:t>ERP-specific exports/APIs</w:t>
            </w:r>
          </w:p>
        </w:tc>
        <w:tc>
          <w:tcPr>
            <w:tcW w:type="dxa" w:w="1818"/>
            <w:vAlign w:val="top"/>
          </w:tcPr>
          <w:p>
            <w:pPr>
              <w:spacing w:after="40" w:line="240" w:lineRule="auto"/>
            </w:pPr>
            <w:r>
              <w:t>No shared national adjudication layer</w:t>
            </w:r>
          </w:p>
        </w:tc>
      </w:tr>
    </w:tbl>
    <w:p>
      <w:r>
        <w:t>regulatory portals, commercial Student Information Systems (SIS), academic research prototypes, and open-source repositories establishes the exact capabilities and limitations of existing systems. on &amp; gory t Purp AR ent-L catio cate e s-Inst perab rnanc oyme ment ance nce Provi User ose Supp evel n Dete Reco itutio ility e &amp; nt ed to der s ort Data Capa ction nciliat n Priva Statu Limit SIH2 bilitie ion Chec cy s ation 6263 s ks s AR rnme ents, ng e ograp aar ment docu s d ntal uctio on ary .educ Porta nt Scho 12-di (Core hic e-KY ed ment lifelo with cons n Aadh identi ation.</w:t>
      </w:r>
    </w:p>
    <w:p>
      <w:r>
        <w:t>l DPI ols, git Issue profil C &amp; per ed ng DigiL ent aar-a ty gov.i (Mini HEIs, acad r) e, OTP Aadh (Ident mobil ocker for cade anch n stry Regu emic PEN, demo aar/P ity ity , minor mic or; of lators identi Aadh graph EN (1 regist acros ABC, s; name requir Educ ty aar ic ID ry, s and cons mism es ation) ("One link, matc per not linke UDIS ent-b atch; fallba Natio DigiL h stude seat d E+ ased Aadh ck for n, ocker again nt) regul recor shari aar/P FN/O One ID st ator) ds ng EN CI Stud UDIS prere and ent E+ quisit mism ID") PEN e atch exclu queu on &amp; gory t Purp AR ent-L catio cate e s-Inst perab rnanc oyme ment ance nce Provi User ose Supp evel n Dete Reco itutio ility e &amp; nt ed to der s ort Data Capa ction nciliat n Priva Statu Limit SIH2 bilitie ion Chec cy s ation 6263 s ks s des es foreig n natio nals emic rnme ents, t e se entic ents imple orts ABC P Act uctio exam ce of ov.in, Bank nt HEIs, accu (Integ credit ated dupli ment credit portal comp n inatio credit PIB of DPI Auto mulat rated s, via cate ed transf uploa liant; (Man n mobil Facts Credi nomo ion, with grade APA ABC (Man er d; stude dator credit ity heet ts us transf APA s, AR &amp; ID ages acros SWA nt y for focus mode 1506 (ABC Colle er, AR) exam Aadh creati earne s YAM cons 2025 ; l; 93 ) ges and sessi aar-li on d 450+ &amp; ent exam does must (UGC rede ons, nked via credit adopt DigiL via s by not link / mptio SWA DigiL DigiL s, not ing ocker DigiL June valid admi MoE n YAM ocker ocker admi instit integr ocker 2026) ate ssion / under credit KYC ssion ution ation first-y recor DIC) NEP s (up intak s ear ds to 2020 to e admi ABC / 40%) caps) ssion acco NCrF again unts st AICT</w:t>
      </w:r>
    </w:p>
    <w:p>
      <w:r>
        <w:t>E</w:t>
      </w:r>
    </w:p>
    <w:p>
      <w:r>
        <w:t>LoA/ EoA intak e &amp; rnme ns, entic ment sheet URI ment appli es T/XM user uctio remo es cker. DigiL nt Issue digita ed s, API &amp; URI cable crede L &amp; cons n ved exact gov.i ocke DPI rs l (Stor degre Push uniqu ntials JSO ent; Pull Partn n, r (HEIs docu es e URI enes acros N via Aadh Docu er API (Meit ), ment virtua certifi API; s s any API aar/N ment API Spec Y/ Requ issua l cates KYC (Issu onbo Setu; ame/ API; contr v1.13 NeG ester nce, APA , name erID- arded OAut DOB requir act D/ s stora AR APA /DOB DocT Issue h 2.0 remo es (v1.1 DIC) (Emp ge, card) AR matc y[spa r Code ved partn 3)</w:t>
      </w:r>
    </w:p>
    <w:p>
      <w:r>
        <w:t>loyer and card, hing n_39 Grant from er requir s) OAut XML on 1](sta ; Pull onbo ed for h-bas meta DigiL rt_sp v1.13 Doc ardin verifi on &amp; gory t Purp AR ent-L catio cate e s-Inst perab rnanc oyme ment ance nce Provi User ose Supp evel n Dete Reco itutio ility e &amp; nt ed to der s ort Data Capa ction nciliat n Priva Statu Limit SIH2 bilitie ion Chec cy s ation 6263 s ks s ed data ocker an)[s spec API g on catio verifi side pan_ in API n catio 391]( v1.12 Setu; n end_ no span) bulk pe-D unco ocID) nsent ed query E latory 0+ d ed / ution s-age to ed al y base al sed ary E One Platfo HEIs, singl Evolv al ncy end auto Educ Open d Prod on upstr ONO Natio rm AICT e-win ing mast data repea mate ation APIs, acce uctio annu eam/ D n E, dow integr er shari ted d Data NDE ss, n / al down RFP, One NAA data ation data, ng &amp; multi- recon Lake AR/In encry Ongo instit strea NET Data C, collec with facult com agen ciliati acros DEA ption, ing ution m F (ON NBA, tion &amp; ABC y, munit cy on s 2.0, CER Rollo al target OD) NIRF, Educ &amp; PEO- y/sou subm and 55k+ XML T-In ut accre ; (AIC State ation DigiL PO rce ission MIS HEIs key-v audit ditati platfo TE / DTEs Data ocker matri verifi repor alue comp on/ap rm Trigy Lake ces, catio ting NoS lianc prova acts n) for enrol n QL e l as HEIs ment store forms ONO ; D's lacks stude granu nt-lev lar el pre-u valid pload ation PPR engin L&amp; e UGC dual- degre e rules E latory E-ap al ated ted templ intra-f s ed; al vit-ba uctio manu t gov.i PGD Work prove LoA/ in stude ate ile appro disco CSV/ cked n al basel n/bur M flow d EoA APH nt sche chec ved nnect Excel instit effort; ine eaus/ Stud PGD issua 2024 roster ma ks; intak ed templ ution asyn workf appro on &amp; gory t Purp AR ent-L catio cate e s-Inst perab rnanc oyme ment ance nce Provi User ose Supp evel n Dete Reco itutio ility e &amp; nt ed to der s ort Data Capa ction nciliat n Priva Statu Limit SIH2 bilitie ion Chec cy s ation 6263 s ks s ent M &amp; nce –27 , chec lacks e per from ate al chron low val/P Bulk Tech and prefa cours ks proba cours State down liabilit ous to GDM Impo nical bulk ce e, and bilisti e on CET load y error repla _Bulk rt &amp; Instit CSV/ intak manu c LoA/ and and s; ce , EoA utes Excel e al cross EoA ODL uploa cann and APH Porta uploa categ scruti -instit portal d ot upgra 2024 l d of ory ny ute s dyna de in –27 (AIC admit PPR micall SIH2 TE) ted L y 6263 PGD adjud M icate stude super nts nume rary sub-c ap conv ersio ns or dual degre es E rnme 0+ al All own / egate ution s o at portal ution uctio al strea E / Porta nt Colle India Evolv enrol al AISH enrol indivi uploa al n statis m Mant l Surv ges, Surv ing ment, DCF E ment dual d; login (2025 tical cons ech (Mini ey Unive ey on via facult uploa instit statis stude plann role –26 surve umer Analy stry Platfo rsitie High ONO y d ution tics nt ed contr &amp; y of sis of rm s, er D count verifi code vs identi ONO ols 2026 treate recon Educ Stan Educ s, catio uniqu capa ty D –27 d as ciled ation) dalon ation infras n enes city level sync open) a aggre e macr tructu s yearl gate Instit o-stat re, y statis utes istical finan chore tics collec ce ; tion numb ers frequ ently diver ge on &amp; gory t Purp AR ent-L catio cate e s-Inst perab rnanc oyme ment ance nce Provi User ose Supp evel n Dete Reco itutio ility e &amp; nt ed to der s ort Data Capa ction nciliat n Priva Statu Limit SIH2 bilitie ion Chec cy s ation 6263 s ks s from NIRF and AQA</w:t>
      </w:r>
    </w:p>
    <w:p>
      <w:r>
        <w:t>R</w:t>
      </w:r>
    </w:p>
    <w:p>
      <w:r>
        <w:t>CET / cants alize al / nce cal/o ents ces icted ute idate uctio to ins CET Cell Centr , d State score nline holdi CAP to repor login n admi why CAP CAP al Facili entra -depe s, docu ng 2 (80% singl ting &amp; ssion state Broc Porta Admi tation nce ndent categ ment CAP ), e portal OTP s in CAP hure, ls ssion Centr exam ory, scruti seats TFW state/ expor confir other cann PICT (e.g., Syste es, coun domi ny at within S coun ts matio state ot Pros Maha m Partic sellin cile, Facili the (5%), sellin n s, solve pectu rashtr ipatin g and allott tation same EWS g stand natio s a g CAP ed Centr state (10% autho alone nal CET Instit seat cours es coun ) rity PGD cross Cell, utes allot e/inst sellin durin M -instit JoSA ment itute g g instit ution A) (80% allot utes, dedu SI + ment ODL plicati TFW progr on S/EW ams, S) and post- CAP instit ute spot round s arth rsity / rsitie pus ment stude al unive ges d per ed nt uctio ates ce vya eGov Instit s, admi ed nt admi rsity local unive ONO RBA n within ERP ONO &amp; ution Colle nistra integr lifecy n roll seat rsity/t D C; acros instit syste D, TCS al ges, tion, ation cle: verifi numb matri enant conn DPD s ution ms Digita iON ERP Facul admi for admi catio er / x insta ector P hundr al that l Digit ty, ssion ABC/ ssion n; PRN durin nce s; align eds boun push India al Stud s, APA , TCS uniqu g CSV/ ment of darie stude Archi Cam ents acad AR atten iON enes camp RES in HEIs s; nt ve pus emic collec danc integr s us T progr cann recor s, tion e, ates admi expor ess ot ds on &amp; gory t Purp AR ent-L catio cate e s-Inst perab rnanc oyme ment ance nce Provi User ose Supp evel n Dete Reco itutio ility e &amp; nt ed to der s ort Data Capa ction nciliat n Priva Statu Limit SIH2 bilitie ion Chec cy s ation 6263 s ks s and exam DigiL ssion ts see if into exam s, ocker a the mana fees for stude platfo geme recrui nt is rm nt tment simul via taneo API/ usly CSV enroll ed in anoth er unive rsity's ERP Sove ential ential er-pr ated icate SA hain nt s-veri Verifi tive in c t 1506 reign ing Issue oof in hash signa certifi (Issu fier able disclo Prod block W3C 93, Bloc Infras rs, digita DIC es, tures, cate es intero Cred sure uctio chain VC / IJCR kchai tructu Grad l stack degre smart ID / crede perab ential &amp; n; s SD-J T n &amp; re &amp; uates degre for e contr hash ntials ility s zero- VeriZ incur WT 2026, VeriZ Acad , e ABC/ meta act uniqu ; via v1.1/ knowl KP gas/l selec Gate KP / emic Empl issua APA data, verify enes does W3C v2.0, edge on atenc tive a et Ether Rese oyers nce AR GPA/ Certif s not VC JOS priva Sepol y on disclo al.</w:t>
      </w:r>
    </w:p>
    <w:p>
      <w:r>
        <w:t>eum- arch and cours icate[ audit E/SD cy ia batch sure 2026 IPFS zero- e span instit -JWT Testn updat witho Fram knowl claim _641] ution et es ut ewor edge s (start al and publi ks / _spa seat cann c-cha selec n)[sp caps) ot in tive an_6 adjud gas attrib 41](e icate overh ute nd_s regul ead verifi pan)( atory catio ), seat n zk-S intak NAR e Ks rules Com Acad Data Priva Agno Quas Prob High- Abse Speci Pytho Seco Rese Stan Provi IEEE posit emic Engin cy-pr stic i-iden abilist recall nt fically n/Jav ndary arch dard des Acce e Rese eers, eserv (Wor tifiers ic fuzzy (Pure desig a enco Proto Bloo the ss Bloo arch Healt ing ks on (Nam simila and entity ned librari ding types m algori 2025, on &amp; gory t Purp AR ent-L catio cate e s-Inst perab rnanc oyme ment ance nce Provi User ose Supp evel n Dete Reco itutio ility e &amp; nt ed to der s ort Data Capa ction nciliat n Priva Statu Limit SIH2 bilitie ion Chec cy s ation 6263 s ks s m &amp; hcare recor any e, rity priva resol for es, &amp; &amp; filters thmic MDPI Filter Open &amp; d QID DOB, scori cy-pr ution multi- SQL Local Open are bluep 2024, PPR -Sour Educ linka set) Gend ng eserv engin party blocki Differ -Sour vulne rint OYS L &amp; ce ation ge er, (Dice ing e) cross ng ential ce rable for TER OYS ER Regis (PPR Addr /Jaro- dupli -orga pipeli Priva (OYS to cross TER tries L) ess/ Winkl cate nizati nes cy TER) frequ -instit Entit and Mobil er) &amp; detec on (BLIP ency ute y proba e thres tion linka /ULD crypt dupli Reso bilisti q-gra hold ge P) analy cate lutio c ms) classi preve sis detec n entity ficati nt unles tion dedu on QID s when plicati leaka harde APA on ge ned AR is acros with missi s seco ng organ ndary izatio enco ns ding/ XOR- foldin g</w:t>
      </w:r>
    </w:p>
    <w:p>
      <w:pPr>
        <w:sectPr>
          <w:pgSz w:w="15840" w:h="12240" w:orient="landscape"/>
          <w:pgMar w:top="1008" w:right="1152" w:bottom="1008" w:left="1152" w:header="720" w:footer="720" w:gutter="0"/>
          <w:cols w:space="720"/>
          <w:docGrid w:linePitch="360"/>
        </w:sectPr>
      </w:pPr>
    </w:p>
    <w:p>
      <w:pPr>
        <w:pStyle w:val="Heading1"/>
        <w:keepNext/>
      </w:pPr>
      <w:r>
        <w:t>5. The 10 Most Relevant Systems, Papers, or</w:t>
      </w:r>
    </w:p>
    <w:p>
      <w:r>
        <w:t>Implementations</w:t>
      </w:r>
    </w:p>
    <w:p>
      <w:r>
        <w:t>From the broader landscape, ten specific systems, regulatory frameworks, and technical publications directly govern the design space of SIH26263 and warrant focused synthesis. First, APAAR ("One Nation, One Student ID", apaar.education.gov.in) establishes the 12-digit lifelong identifier as the foundational identity anchor for Indian learners. Its documented reliance on exact Aadhaar demographic matching and UDISE+ PEN availability demonstrates why any higher-education platform must incorporate an exception-handling state machine for demographic spelling mismatches as well as an exemption path for international and OCI students. Second, AICTE One Nation One Data (ONOD, onod.aicte-india.org, Tender 2022_AICTE_668444_1) represents AICTE's macro-architecture for consolidating institutional data across more than 55,000 HEIs into a central Education Data Lake with two-way Open APIs. Recognizing ONOD's scope prevents the design team from building a redundant institutional accreditation portal and instead positions the platform as ONOD's pre-ingestion student-level validation, deduplication, and intake-reconciliation engine.</w:t>
      </w:r>
    </w:p>
    <w:p>
      <w:r>
        <w:t>Third, the DigiLocker Partner API Specification v1.13 (May 2024, apisetu.gov.in) defines the exact production protocol for issuing and verifying documents in India's DPI. Version 1.13's removal of the legacy Pull Document Request API and version 1.12's removal of raw Aadhaar, Name, and DOB parameters from Pull requests mandate that the platform utilize the 36-character DigiLockerId and OAuth 2.0 citizen consent flows rather than relying on unauthenticated background Aadhaar-scraping endpoints. Fourth, the AICTE Approval Process Handbook (APH) 2024–2027 serves as the statutory rulebook defining Sanctioned Intake, three-year Extended EoA annual reporting obligations, undergraduate BBA/BCA inclusion, flexible working-professional courses, supernumerary quotas, and Clause 7.3(g)'s five-times-fee penalty for excess admissions.</w:t>
      </w:r>
    </w:p>
    <w:p>
      <w:r>
        <w:t>Fifth, AICTE's PGDM Student Bulk Import Workflow (aicte.gov.in/bureaus/approval/PGDM_Bulk) provides direct operational proof of how AICTE currently ingests student-level records via static Excel templates and manual portal uploads. Transforming this brittle batch process into an interactive, schema-validated, APAAR-verified pipeline delivers immediate operational value to AICTE's Regulation and Approval Bureaus.</w:t>
      </w:r>
    </w:p>
    <w:p>
      <w:r>
        <w:t>Sixth, the UGC Guidelines for Pursuing Two Academic Programmes Simultaneously (notified 13 April 2022 and modified on 5 June 2025) establish the definitive legal matrix governing when cross-institution duplicate enrolments are permissible (Physical + ODL/Online, ODL + ODL, or Physical + Physical without class-timing overlap) versus unlawful.</w:t>
      </w:r>
    </w:p>
    <w:p>
      <w:r>
        <w:t>Seventh, State CET Cell CAP Information Brochures and Quota Conversion Rules codify the exact mathematical partitioning of Sanctioned Intake (80% CAP, 20% Institute/Management including 5% NRI) and Supernumerary Quotas (15% OCI/PIO/FN/CIWGC split 1/3 CIWGC and 2/3 OCI/FN with inter-bucket vacancy conversion; 5% TFWS with strict non-transferability; 10% EWS; and 10% Lateral Entry). Eighth, the Digital Personal Data Protection (DPDP) Act, 2023 and Notified DPDP Rules, 2025 (13 November 2025) establish the binding legal framework for student data processing, including the 18-month compliance deadline ending 13 May 2027, Rule 3 standalone itemized consent notices in English with a selectable Eighth Schedule language option, Rules 6–7 72-hour breach reporting, and Rules 10–12 verifiable parental consent for minors.</w:t>
      </w:r>
    </w:p>
    <w:p>
      <w:r>
        <w:t>Ninth, scholarly research on Multi-Party Privacy-Preserving Record Linkage (PPRL) via Secondary-Encoded and Local Differentially Private Bloom Filters (IEEE Access 2025 &amp; MDPI Mathematics 2024) provides the algorithmic mechanism (q-gram tokenization, Bloom filter bit arrays, ULDP randomized response / XOR-folding, and secondary split encoding) to detect duplicate students across institutions when APAAR IDs are missing or unlinked, without exposing raw student PII across institutional boundaries. Tenth, the W3C Verifiable Credentials Data Model v2.0 (May 2025), Selective Disclosure JWT (SD-JWT), and VeriZKP (2026) establish the cryptographic standard for issuing tamper-evident enrolment credentials that enable third-party verifiers to confirm specific regulatory claims with zero blockchain gas fees and selective attribute privacy.</w:t>
      </w:r>
    </w:p>
    <w:p>
      <w:pPr>
        <w:pStyle w:val="Heading1"/>
        <w:keepNext/>
      </w:pPr>
      <w:r>
        <w:t>6. Detailed Findings on AICTE ONOD, APAAR/ABC and NAD-DigiLocker</w:t>
      </w:r>
    </w:p>
    <w:p>
      <w:r>
        <w:t>A foundational question for evaluating any proposed architecture under SIH26263 is whether the solution should be a completely new standalone platform, an integration layer, a regulatory analytics service, an extension to an existing workflow, or a hybrid—and why existing national platforms have not already solved this exact problem. Examining primary procurement tenders, API specifications, and statutory circulars provides an unambiguous answer.</w:t>
      </w:r>
    </w:p>
    <w:p>
      <w:r>
        <w:t>AICTE One Nation One Data (ONOD) Initiated under AICTE e-Tender 2022_AICTE_668444_1 (implemented with IT partner Trigyn Technologies), ONOD is architected as a unified single-window portal and central Education Data Lake serving more than 55,000 Higher Education Institutions. Its core purpose is to eliminate the burden on colleges of submitting overlapping institutional forms multiple times a year to AICTE, NAAC, NBA, NIRF, AISHE, UGC, and State DTEs. Technically, ONOD utilizes a schema-less NoSQL key-value/XML data store to capture structured and unstructured institutional parameters—such as faculty rosters, infrastructure audits, and accreditation outcome matrices (PEO-PO and PO-CO)—and exposes two-way Open APIs aligned with NDEAR and InDEA 2.0. However, ONOD is designed around annual institutional self-disclosure and cross-regulator form sharing. As recent accreditation readiness audits confirm, ONOD's granular student-level validation schemas remain evolving, and institutions still struggle with internal data inconsistencies across AISHE, NIRF, and AQAR filings. Crucially, ONOD does not provide an interactive pre-submission student-level entity-resolution workbench, nor does it execute probabilistic cross-institution duplicate linkage or adjudicate UGC dual-degree shift overlaps at the individual student row level during admission uploads.</w:t>
      </w:r>
    </w:p>
    <w:p>
      <w:r>
        <w:t>APAAR and the Academic Bank of Credits (ABC) APAAR (apaar.education.gov.in) provides the 12-digit lifelong academic identity ("One Nation, One Student ID"), while ABC (abc.gov.in, regulated by the UGC and developed within India's Digital Public Infrastructure) functions as the digital credit bank where recognized institutions deposit earned academic credits, grades, and SWAYAM course completions (up to 40% of a programme), supporting credit accumulation and redemption over a seven-year window. For all examinations held in 2025, the UGC mandated that Higher Education Institutions upload credit data onto the NAD-ABC portal by 30 June 2026. Student access across ABC and APAAR is authenticated via Aadhaar-linked DigiLocker credentials. Despite this scale, ABC operates post-examination on earned credits; it has no architectural awareness of AICTE's course-wise Sanctioned Intake (LoA/EoA), supernumerary quota sub-caps (TFWS, EWS, FN/OCI/CIWGC), or whether a first-year student admitted in August is occupying an unapproved excess seat in a standalone PGDM or affiliated engineering college. Furthermore, because APAAR creation requires exact demographic alignment between UDISE+ PEN records and UIDAI Aadhaar records, international and OCI students as well as domestic students with Aadhaar spelling discrepancies cannot be onboarded through a rigid APAAR-only gate.</w:t>
      </w:r>
    </w:p>
    <w:p>
      <w:r>
        <w:t>NAD-DigiLocker and API Setu (Issuer Specification v1.13 &amp; Requester APIs) DigiLocker (digilocker.gov.in) and API Setu (partners.apisetu.gov.in) provide the citizen document wallet and partner API gateway for India's education stack. Under DigiLocker Issuer API Specification v1.13 (published 21 May 2024), an issuing institution maintains its own database and implements the REST-based Pull URI Request API (invoked when a citizen searches for a document in DigiLocker) and/or invokes the Push URI API to push a human-readable and machine-resolvable document URI (&lt;IssuerID&gt;-&lt;DocType&gt;-&lt;DocID&gt;) into the resident's digital locker. Requesters (such as employers, scholarship portals, or verifying institutions) integrate via the OAuth 2.0 Authorization Code Grant flow (Requester API), wherein the citizen authenticates into DigiLocker and explicitly consents to share issued documents, including their virtual APAAR ID card.</w:t>
      </w:r>
    </w:p>
    <w:p>
      <w:r>
        <w:t>A critical finding emerges from inspecting the revision history of DigiLocker Issuer API Specification v1.13 (May 2024): in version 1.11 (March 2021), DigiLocker shifted Name, DOB, Gender, Mobile, and Photograph matching to the DigiLocker platform side using attributes returned in the Issuer's Pull URI Response; in version 1.12 (15 September 2022), DataContent (base64-encoded XML) became mandatory and Aadhaar, Name, and DOB parameters were removed from the Pull Document API; and in version 1.13 (21 May 2024), DigiLocker completely removed the Pull Document Request API, standardizing exclusively on the Pull URI Request API with a mandatory 36-character DigiLockerId (and an optional MD5 hash of Aadhaar UID only if explicitly configured on the Issuer portal).</w:t>
      </w:r>
    </w:p>
    <w:p>
      <w:r>
        <w:t>Explicit Answers to Phase 4 Infrastructure Questions The evidence compiled above directly resolves all ten infrastructure design questions posed in</w:t>
      </w:r>
    </w:p>
    <w:p>
      <w:r>
        <w:t>Phase 4:</w:t>
      </w:r>
    </w:p>
    <w:p>
      <w:r>
        <w:t>Infrastructure Question Evidence-Backed Architectural Determination</w:t>
      </w:r>
    </w:p>
    <w:p>
      <w:pPr>
        <w:pStyle w:val="Heading1"/>
        <w:keepNext/>
      </w:pPr>
      <w:r>
        <w:t>1. Which requirements are already Lifelong ID issuance (APAAR via</w:t>
      </w:r>
    </w:p>
    <w:p>
      <w:r>
        <w:t>addressed by existing systems? UDISE+/Aadhaar), post-examination credit storage (ABC), post-award certificate storage &amp; citizen OAuth sharing (NAD-DigiLocker), and intra-state CAP counselling seat allotment (State CET portals) are deployed in production.</w:t>
      </w:r>
    </w:p>
    <w:p>
      <w:pPr>
        <w:pStyle w:val="Heading1"/>
        <w:keepNext/>
      </w:pPr>
      <w:r>
        <w:t>2. Which requirements are only partially Bulk student reporting to AICTE exists via</w:t>
      </w:r>
    </w:p>
    <w:p>
      <w:r>
        <w:t>supported? static Excel uploads (PGDM Bulk Import), and macro institutional data consolidation is rolling out via ONOD, but neither performs real-time pre-submission student-level deduplication or dynamic supernumerary sub-cap conversion verification.</w:t>
      </w:r>
    </w:p>
    <w:p>
      <w:pPr>
        <w:pStyle w:val="Heading1"/>
        <w:keepNext/>
      </w:pPr>
      <w:r>
        <w:t>3. What important information is unavailable Existing interfaces lack (a) a real-time</w:t>
      </w:r>
    </w:p>
    <w:p>
      <w:r>
        <w:t>through existing interfaces? cross-state and cross-mode (Physical vs. ODL/Online vs. PGDM) active enrolment index, (b) probabilistic record linkage for students whose APAAR IDs are pending or exempt, and (c) selective-disclosure active enrolment proofs proving a student is within AICTE Sanctioned Intake.</w:t>
      </w:r>
    </w:p>
    <w:p>
      <w:pPr>
        <w:pStyle w:val="Heading1"/>
        <w:keepNext/>
      </w:pPr>
      <w:r>
        <w:t>4. What official APIs or integration routes DigiLocker Issuer Pull URI API &amp; Push URI</w:t>
      </w:r>
    </w:p>
    <w:p>
      <w:r>
        <w:t>are documented? API (Spec v1.13, May 2024), DigiLocker Requester OAuth 2.0 API, API Setu Verification APIs 2.0/3.0, and ONOD / NDEAR</w:t>
      </w:r>
    </w:p>
    <w:p>
      <w:r>
        <w:t>Infrastructure Question Evidence-Backed Architectural Determination</w:t>
      </w:r>
    </w:p>
    <w:p>
      <w:r>
        <w:t>2-way Open APIs are documented.</w:t>
      </w:r>
    </w:p>
    <w:p>
      <w:pPr>
        <w:pStyle w:val="Heading1"/>
        <w:keepNext/>
      </w:pPr>
      <w:r>
        <w:t>5. Which APIs require institutional approval, All API Setu / DigiLocker Partner APIs require</w:t>
      </w:r>
    </w:p>
    <w:p>
      <w:r>
        <w:t>credentials, or onboarding? registering as an authorized Issuer or Requester on partners.apisetu.gov.in, configuring endpoint URLs and document type codifications, passing sandbox testing, and obtaining production Partner keys. ONOD APIs require AICTE institutional credentials.</w:t>
      </w:r>
    </w:p>
    <w:p>
      <w:pPr>
        <w:pStyle w:val="Heading1"/>
        <w:keepNext/>
      </w:pPr>
      <w:r>
        <w:t>6. Is automated APAAR validation available Not as an unauthenticated background</w:t>
      </w:r>
    </w:p>
    <w:p>
      <w:r>
        <w:t>to a developer under documented bulk-lookup API. Under DigiLocker Spec conditions? v1.12/v1.13 and DPDP Rules, an external developer cannot query raw citizen KYC data using only a 12-digit number without user interaction or authorized Issuer/Requester onboarding. Automated validation requires either citizen-consented DigiLocker OAuth/Pull-URI linking, cryptographic signature verification of a DigiLocker-issued XML artifact, or an internal government-to-government NDEAR/API Setu bridge operated by AICTE.</w:t>
      </w:r>
    </w:p>
    <w:p>
      <w:pPr>
        <w:pStyle w:val="Heading1"/>
        <w:keepNext/>
      </w:pPr>
      <w:r>
        <w:t>7. What data comes from an authorized From AICTE Authoritative Registry</w:t>
      </w:r>
    </w:p>
    <w:p>
      <w:r>
        <w:t>source vs. institutional submission? (LoA/EoA): Institution PID, approved courses, shifts, delivery mode, Sanctioned Intake, NRI/FN approval flags, and Extended EoA validity. From DigiLocker/APAAR: Verified DigiLockerId, APAAR ID, and e-KYC match status. Submitted by Institution: Admitted student roster, seat category allotted, admission date, University PRN, and Passport/OCI credentials for exempt foreign students.</w:t>
      </w:r>
    </w:p>
    <w:p>
      <w:pPr>
        <w:pStyle w:val="Heading1"/>
        <w:keepNext/>
      </w:pPr>
      <w:r>
        <w:t>8. Can student data be exchanged without Yes, for identity and post-exam awards</w:t>
      </w:r>
    </w:p>
    <w:p>
      <w:r>
        <w:t>building a new national repository? (which remain in APAAR/ABC/NAD). However, reconciling course-wise intake and detecting cross-institution duplicates requires a regulatory working index of active enrolments that syncs directly into AICTE's existing ONOD Education Data Lake.</w:t>
      </w:r>
    </w:p>
    <w:p>
      <w:pPr>
        <w:pStyle w:val="Heading1"/>
        <w:keepNext/>
      </w:pPr>
      <w:r>
        <w:t>9. Would a new centralized student database Building a parallel store of raw Aadhaar</w:t>
      </w:r>
    </w:p>
    <w:p>
      <w:r>
        <w:t>create duplication or privacy risks? numbers or full academic transcripts would create severe duplication and DPDP Act 2023 risk. Conversely, storing blinded HMAC-SHA256(APAAR) tokens, 1024-bit secondary-encoded Bloom filters, and course-category seat mappings inside AICTE's regulatory validation layer avoids duplicating NAD/ABC while enabling national</w:t>
      </w:r>
    </w:p>
    <w:p>
      <w:r>
        <w:t>Infrastructure Question Evidence-Backed Architectural Determination</w:t>
      </w:r>
    </w:p>
    <w:p>
      <w:r>
        <w:t>deduplication with minimal privacy exposure.</w:t>
      </w:r>
    </w:p>
    <w:p>
      <w:pPr>
        <w:pStyle w:val="Heading1"/>
        <w:keepNext/>
      </w:pPr>
      <w:r>
        <w:t>10. What must be demonstrated if official The prototype must implement Hexagonal</w:t>
      </w:r>
    </w:p>
    <w:p>
      <w:r>
        <w:t>APIs are unavailable during SIH? Adapter Interfaces backed by a Spec-Accurate DigiLocker v1.13 Mock Server (processing exact &lt;PullURIRequest&gt; / &lt;PullURIResponse&gt; XML packets and OAuth flows) AND an Offline Cryptographic XML/SD-JWT Signature Verifier, using clearly prefixed synthetic APAAR IDs (999...).</w:t>
      </w:r>
    </w:p>
    <w:p>
      <w:r>
        <w:t>Architectural Verdict: The optimal solution is Option 5 — A Hybrid Regulatory Validation, Entity Resolution, and Integration Middleware Platform (PRAMAAN-AICTE) positioned directly between Institutional ERPs/Bulk Uploads and AICTE's ONOD / NAD-ABC infrastructure.</w:t>
      </w:r>
    </w:p>
    <w:p>
      <w:pPr>
        <w:pStyle w:val="Heading1"/>
        <w:keepNext/>
      </w:pPr>
      <w:r>
        <w:t>7. Relevant Research Papers, Open-Source</w:t>
      </w:r>
    </w:p>
    <w:p>
      <w:r>
        <w:t>Implementations, and Patents</w:t>
      </w:r>
    </w:p>
    <w:p>
      <w:r>
        <w:t>Academic Research Literature Analysis</w:t>
      </w:r>
    </w:p>
    <w:p>
      <w:r>
        <w:t>A systematic examination of scholarly databases (IEEE Xplore, MDPI, ResearchGate, Crossref, and NDLI) identifies five high-value research publications that provide concrete mathematical models and algorithms for solving our core technical challenges:</w:t>
      </w:r>
    </w:p>
    <w:p>
      <w:r>
        <w:t>Title, Authors, Core Algorithmic Key Empirical Documented Direct Application</w:t>
      </w:r>
    </w:p>
    <w:p>
      <w:r>
        <w:t>Venue &amp; Year Approach Findings Limitations in PRAMAAN-AICTE Utility-Optimized Maps string Achieves high Requires Powers the Local Differential quasi-identifiers linkage accuracy calibrating the Stage-2 Privacy &amp; into positional while defending sensitive partition Cross-Institution XOR-Folding for q-gram sets Q', against proportion \delta PPRL Engine to Bloom encodes them into frequency-inferenc and flip probability link duplicate Filter-Based bit-vector Bloom e cryptanalysis on p so short string students whose Privacy-Preservin filters of length l, real-world identity identifiers do not APAAR IDs are g Record Linkage partitions bit datasets. suffer recall missing or pending (PPRL) (IEEE positions by degradation. without exposing Access, 2025, frequency into raw PII.</w:t>
      </w:r>
    </w:p>
    <w:p>
      <w:r>
        <w:t>11039762.pdf) sensitive (I_S) and non-sensitive (I_N) groups, and applies</w:t>
      </w:r>
    </w:p>
    <w:p>
      <w:r>
        <w:t>Utility-Optimized</w:t>
      </w:r>
    </w:p>
    <w:p>
      <w:r>
        <w:t>Bloom Filter Flip</w:t>
      </w:r>
    </w:p>
    <w:p>
      <w:r>
        <w:t>(UBF / BLIP randomized response with rollover probability p) combined with</w:t>
      </w:r>
    </w:p>
    <w:p>
      <w:r>
        <w:t>Title, Authors, Core Algorithmic Key Empirical Documented Direct Application</w:t>
      </w:r>
    </w:p>
    <w:p>
      <w:r>
        <w:t>Venue &amp; Year Approach Findings Limitations in PRAMAAN-AICTE XOR-folding. A Multi-Party Divides each n-bit Because each Requires a Serves as the Privacy-Preservin Bloom filter into m secondary second-stage high-speed g Record Linkage partitions encoding (X_i, Y_i) similarity threshold multi-party Method Based on \{\phi_{i1}, \dots, corresponds to check on blocking index Secondary \phi_{im}\} and multiple possible candidate splits to when checking Encoding (MDPI generates a underlying Bloom eliminate uploaded rosters Mathematics, Vol. secondary filter combinations, false-positive across thousands 12, Issue 12, Art. encoding pair (X_i, an attacker cannot collisions. of AICTE 1800, 2024) Y_i) per reconstruct the institutions.</w:t>
      </w:r>
    </w:p>
    <w:p>
      <w:r>
        <w:t>split—where X_i is original q-grams, the sum of active while multi-party bit indices and Y_i blocking remains is the active bit computationally count—before fast. transmitting to a semi-trusted coordinator. Composite Encodes multiple Demonstrates Sensitive to Defines both the Bloom Filters for Quasi-Identifiers tunable inconsistent string Composite QID Secure Record (QIDs) with security-versus-ac formatting unless weighting Linkage (IEEE discriminative curacy trade-offs deterministic scheme (Name + Transactions on weights into a on large citizen pre-normalization DOB + Knowledge and single composite registries with is enforced. ParentName + Data Engineering Bloom filter; negligible F1 loss. MobileLast4) and [TKDE], Vol. 26, evaluates PPRL the Phase 10 Issue 12, 2014) &amp; across security, Evaluation CRITIC linkage quality Benchmark.</w:t>
      </w:r>
    </w:p>
    <w:p>
      <w:r>
        <w:t>Multi-Indicator (Precision, Recall, PPRL Evaluation F1), and runtime (MDPI using</w:t>
      </w:r>
    </w:p>
    <w:p>
      <w:r>
        <w:t>Mathematics, Vol. Spearman/Pearso</w:t>
      </w:r>
    </w:p>
    <w:p>
      <w:r>
        <w:t>12, Issue 22, Art. n correlations and 3476, 2024) CRITIC objective weighting. Entity Resolution Evaluates Proves that exact Probabilistic Establishes the for Student deterministic deterministic scores cannot be Three-Zone Enrollment Data rule-based matching misses used to Threshold (OYSTER matching against 15–25% of true auto-delete or Architecture Framework &amp; Fellegi-Sunter duplicate student auto-penalize (Auto-Match &gt;= Probabilistic ER) probabilistic record records caused by records without a 0.92, Review (UALR ERIQ / linkage and transliteration human review Queue [0.78, 0.92), IJACSA Vol. 9 No. Jaro-Winkler / variants, honorific band. No-match &lt; 0.78)</w:t>
      </w:r>
    </w:p>
    <w:p>
      <w:r>
        <w:t>11 / Levenshtein prefixes, with explainable</w:t>
      </w:r>
    </w:p>
    <w:p>
      <w:r>
        <w:t>Title, Authors, Core Algorithmic Key Empirical Documented Direct Application</w:t>
      </w:r>
    </w:p>
    <w:p>
      <w:r>
        <w:t>Venue &amp; Year Approach Findings Limitations in PRAMAAN-AICTE ResearchGate) similarity on noisy word-order field weights. school and inversions, and university student data-entry typos. enrolment datasets. VeriZKP: A Decouples trust Eliminates Storing dynamic Inspires the W3C Privacy-Preservin anchoring from verification gas student admission Verifiable g, Gas-less, and off-chain proof costs via view rosters directly on Enrolment Granular generation; uses functions and Ethereum/IPFS Credential Educational ECDSA prevents PII incurs issuance (SD-JWT) module Credential signatures, over-disclosure gas costs and using Verification SHA-256 hashes, across 5,000 test complicates institutional/AICTE System on W3C Verifiable credentials. statutory data Ed25519 Ethereum using Credentials erasure. keys—achieving Zero-Knowledge (VCDM v1.1/v2.0), sub-20ms Proofs (Gatea et and selective selective al., 2026) &amp; disclosure / disclosure with Decentralized zk-SNARKs to zero blockchain Certificate verify granular overhead.</w:t>
      </w:r>
    </w:p>
    <w:p>
      <w:r>
        <w:t>Verification claims (e.g., GPA (IJCRT, Vol. 14, thresholds or Issue 5, May active enrolment) 2026) in 1.02–3.0 seconds. Open-Source Implementations and Technical Repositories Inspected Direct inspection of public repositories on GitHub, package registries, and API Setu developer portals establishes what open-source code is genuinely reusable versus abandoned or incomplete. On the official government side, DigiLocker's Issuer Sample Code (python.zip, NodeJS.zip, PHP.zip, dotNET.zip on digilocker.gov.in/web/partners/issuers) and API Setu Verification API 2.0/3.0 Integration Samples (blog.apisetu.go[spa n_795]v.in) provide working reference implementations for XML/REST payload marshalling, HMAC signature verification, and Pull URI response generation. These official scripts serve as the structural template for our FastAPI DigiLockerPartnerAdapter.</w:t>
      </w:r>
    </w:p>
    <w:p>
      <w:r>
        <w:t>In contrast, community repositories on GitHub addressing DigiLocker are narrow in scope. Specifically, github.com/ravi-ghadiya/Digilocker-poc is a minimal Java proof-of-concept for basic Issuer endpoint testing; github.com/ag2-mcp-servers/digilocker-issuer-apis is an auto-generated Model Context Protocol (MCP) wrapper around Issuer API specifications; pub.dev/packages/flutter_meon_digilocker is a client-side Flutter UI wrapper for document fetching; and github.com/YadlaMani/wisk is an experimental employer background-verification prototype pairing DigiLocker fetches with SNARK proofs. For verifiable credentials and entity resolution, Walt.id (docs.walt.id) provides actively maintained open-source libraries implementing W3C Verifiable Credentials Data Model v1.1 and v2.0 (W3C Recommendation 15 May 2025) and SD-JWT selective disclosure, while OYSTER and Python's RapidFuzz provide high-performance string similarity primitives. Crucially, zero inspected open-source repositories implement AICTE LoA/EoA seat-matrix reconciliation, supernumerary sub-cap spillover math, or UGC-2025 dual-degree concurrency adjudication.</w:t>
      </w:r>
    </w:p>
    <w:p>
      <w:r>
        <w:t>Patents, Procurement Tenders, and Deployment Evidence A review of patent filings and government procurement records confirms active prior art in generic credential verification and enterprise deduplication, while verifying how AICTE procures regulatory software. In the patent literature, US20230164143A1 (Systems and methods for creating applications that issue and verify verifiable credentials, 2023/2024) claims a generic GUI builder for generating credential issuer and verifier applications backed by a public datastore. CN112667026A and Indian academic patent disclosures (Tamper-proof academic credential verification using distributed ledger technology, published July 2024; and AI-powered platform for sharing educational resources across institutions, CN111125443A, granted June 2023) address distributed ledger degree verification and test-bank duplicate removal. In the data-governance domain, US10282559B2 and US11294939B2 cover enterprise privacy risk scanning, Data Subject Access Request (DSAR) automation, and machine-learning dataset deduplication. On the procurement side, AICTE e-Tender 2022_AICTE_668444_1 (ONOD-Manpower RFP.pdf) and Trigyn Technologies' contract award (August 2022) document AICTE's production deployment model: web/mobile platforms engineered to support at least 5,000 concurrent users per instance, bilingual (Hindi and English) interfaces compliant with GIGW Version 2 guidelines, and mandatory security auditing by a CERT-In empaneled vendor prior to production sign-off. Note that this prior-art mapping informs technical design and does not constitute a formal legal freedom-to-operate opinion.</w:t>
      </w:r>
    </w:p>
    <w:p>
      <w:pPr>
        <w:pStyle w:val="Heading1"/>
        <w:keepNext/>
      </w:pPr>
      <w:r>
        <w:t>8. Evidence-Backed Gap Analysis</w:t>
      </w:r>
    </w:p>
    <w:p>
      <w:r>
        <w:t>Synthesizing the lifecycle investigation, API specification review, and prior-art matrix separates five genuine, high-severity operational gaps from unsubstantiated claims. Gap ID &amp; Real-World How Demonstra Supporting Problem Solvable &amp; Severity &amp; Ranked Problem &amp; Handled bly Missing Evidence Classificati Demonstra Priority Title Who Today &amp; or vs. on ble in SIH? Score</w:t>
      </w:r>
    </w:p>
    <w:p>
      <w:r>
        <w:t>Experience Existing Inefficient Counter-Ev</w:t>
      </w:r>
    </w:p>
    <w:p>
      <w:r>
        <w:t>s It Systems Capability idence GAP-1 Institutions Manual No For: APH Workflow, Yes (Highly 96 / 100 (Rank 1): submit scrutiny of automated 2024–27 Regulatory demonstra (Critical) Pre-Comm student uploaded rule Clause Rules, &amp; ble via live it Granular rosters that CSVs (e.g., compiler 7.3(g) 5x Integration rule Intake &amp; exceed PGDM bulk checks fee fine &amp; compiler &amp; Supernum Sanctioned import) dynamic PGDM bulk visual erary Intake or against inter-bucket manual. seat-matrix Sub-Cap misapply PDF conversion Against: diff)</w:t>
      </w:r>
    </w:p>
    <w:p>
      <w:r>
        <w:t>Reconcilia supernume LoA/EoA s (e.g., 1/3 State CET tion rary letters and CIWGC enforces conversion State CET ≤ftrightarr CAP caps Gap ID &amp; Real-World How Demonstra Supporting Problem Solvable &amp; Severity &amp; Ranked Problem &amp; Handled bly Missing Evidence Classificati Demonstra Priority Title Who Today &amp; or vs. on ble in SIH? Score</w:t>
      </w:r>
    </w:p>
    <w:p>
      <w:r>
        <w:t>Experience Existing Inefficient Counter-Ev</w:t>
      </w:r>
    </w:p>
    <w:p>
      <w:r>
        <w:t>s It Systems Capability idence rules; allotment ow 2/3 (80%), but AICTE lists. OCI/FN cannot officers within 15% enforce struggle to supernume post-CAP separate rary, or spot rounds clerical unfilled 5% or mistags NRI standalone from reverting to PGDM Clause All India admissions 7.3(g) quota) and .</w:t>
      </w:r>
    </w:p>
    <w:p>
      <w:r>
        <w:t>excess-ad 10% mission Lateral violations. Entry offsets before lock. GAP-2 A student State CAP Existing For: UGC 5 Policy-to-C Yes 94 / 100 (Rank 2): appears on blocks databases June 2025 ode (Demonstra (Critical) Policy-Aw the rolls of double either modified Translation ble via are two AICTE CAP ignore dual-degre &amp; multi-colleg Cross-Insti institutions allotment cross-colle e Distributed e synthetic tution simultaneo inside one ge notification Data upload &amp; Duplicate usly. state; zero duplicates vs. AICTE Manageme conflict &amp; Regulators automated or apply a TFWS nt matrix)</w:t>
      </w:r>
    </w:p>
    <w:p>
      <w:r>
        <w:t>Concurren and check naive non-transfe cy colleges across unique rability &amp; Adjudicati cannot tell different constraint physical on if it is a states, on ID, shift rules. lawful UGC standalone which Against: dual PGDM illegally ABC links degree or colleges, or blocks multiple illegal ODL vs. students institutions double physical exercising per full-time modes. UGC's APAAR, physical 2022/2025 but only for seat/TFWS simultaneo post-exam /scholarshi us-program credit p blocking. me rights. banking, not admission legality.</w:t>
      </w:r>
    </w:p>
    <w:p>
      <w:r>
        <w:t>GAP-3 Up to Operators No For: Algorithmic Yes 91 / 100 (Rank 3): 15–20% of leave ID deployed APAAR Entity (Demonstra (High) Gap ID &amp; Real-World How Demonstra Supporting Problem Solvable &amp; Severity &amp; Ranked Problem &amp; Handled bly Missing Evidence Classificati Demonstra Priority Title Who Today &amp; or vs. on ble in SIH? Score</w:t>
      </w:r>
    </w:p>
    <w:p>
      <w:r>
        <w:t>Experience Existing Inefficient Counter-Ev</w:t>
      </w:r>
    </w:p>
    <w:p>
      <w:r>
        <w:t>s It Systems Capability idence Privacy-Pr incoming fields blank higher-edu FAQ Resolution ble with eserving first-year or enter cation #14/#17 on &amp; Data side-by-sid Entity students placeholder portal uses Aadhaar Privacy e exact vs. Resolution have text; Privacy-Pre mismatch PPRL fuzzy for pending manual serving failures; recall Missing, APAARs visual Record IEEE/MDPI metrics)</w:t>
      </w:r>
    </w:p>
    <w:p>
      <w:r>
        <w:t>Unlinked, (due to inspection Linkage PPRL or Aadhaar-U fails across (Bloom benchmark Mismatche DISE+ thousands filter s. Against: d APAAR name of rows. q-gram Aadhaar Records spelling encoding + deduplicate mismatche Fellegi-Sun s at UIDAI s) or are ter fuzzy level, but exempt matching) colleges (FN/OCI/N to detect are barred RI). Exact cross-instit from matching ution storing/shar on APAAR duplicates ing raw ID without Aadhaar completely exposing numbers.</w:t>
      </w:r>
    </w:p>
    <w:p>
      <w:r>
        <w:t>misses raw student duplicates PII across in this colleges. cohort. GAP-4 Colleges Colleges Absence of For: Cybersecur Yes 88 / 100 (Rank 4): cannot call manually a unified DigiLocker ity, Digital (Demonstra (High) Asynchron an collect onboarding Spec v1.13 Identity, &amp; ble via ous, unauthentic photocopie state removal of UX simulated Consent-G ated bulk s of APAAR machine Pull Doc Workflow API Setu ated governmen cards or that API; DPDP v1.13 APAAR t API to Aadhaar handles (a) Rules 2025 adapter &amp; Verificatio scrape cards, DigiLocker (Rules 3 &amp; dual-track n&amp; APAAR creating Partner API 10–12). UI)</w:t>
      </w:r>
    </w:p>
    <w:p>
      <w:r>
        <w:t>Foreign-N details; severe v1.13 Pull Against: ational furthermore DPDP Act URI / DigiLocker Dual-Track , forcing 2023/2025 OAuth provides Onboardin Aadhaar-ba compliance verification individual g sed APAAR liabilities. for OAuth on Foreign domestic login, but Nationals students, colleges (FN) (b) lack batch breaks automated reconciliati Gap ID &amp; Real-World How Demonstra Supporting Problem Solvable &amp; Severity &amp; Ranked Problem &amp; Handled bly Missing Evidence Classificati Demonstra Priority Title Who Today &amp; or vs. on ble in SIH? Score</w:t>
      </w:r>
    </w:p>
    <w:p>
      <w:r>
        <w:t>Experience Existing Inefficient Counter-Ev</w:t>
      </w:r>
    </w:p>
    <w:p>
      <w:r>
        <w:t>s It Systems Capability idence statutory mismatch-r on states. 15% emediation supernume workflows, rary and (c) admissions Passport/O . CI verification tracks for internationa l quotas. GAP-5 Employers, Manual NAD-DigiL For: COEP Cryptograp Yes 85 / 100 (Rank 5): scholarship email ocker manual hic (Demonstra (High)</w:t>
      </w:r>
    </w:p>
    <w:p>
      <w:r>
        <w:t>Granular, agencies, requests to focuses on email Verification ble via Selective- and banks college post-exam verification &amp; instant Disclosure need proof exam cells marksheets guidelines; Interoperab QR/SD-JW Enrolment that a (examcell and W3C ility T selective Verificatio student is @...) taking degrees; VCDM v2.0 disclosure n for Third genuinely days/weeks no (May 2025) verifier)</w:t>
      </w:r>
    </w:p>
    <w:p>
      <w:r>
        <w:t>Parties enrolled in , or sharing mechanism &amp; VeriZKP. an full PDF issues Against: AICTE-app transcripts real-time DigiLocker roved that W3C verifies course over-expos Verifiable issued within e sensitive Enrolment docs, but sanctioned personal/ca Credential does not intake, not tegory s issue just a final data. (SD-JWT) selective-di degree proving sclosure years later. active active AICTE-com intake-com pliant pliance admission proofs.</w:t>
      </w:r>
    </w:p>
    <w:p>
      <w:r>
        <w:t>status with selective attribute disclosure.</w:t>
      </w:r>
    </w:p>
    <w:p>
      <w:pPr>
        <w:pStyle w:val="Heading1"/>
        <w:keepNext/>
      </w:pPr>
      <w:r>
        <w:t>9. Innovation Candidates</w:t>
      </w:r>
    </w:p>
    <w:p>
      <w:r>
        <w:t>Based on the five verified gaps, five materially distinct candidate architectures were formulated and critically analyzed against existing products, algorithmic feasibility, government API constraints, and failure modes. Candidate 1: Explainable Neuro-Symbolic Regulatory Compiler and</w:t>
      </w:r>
    </w:p>
    <w:p>
      <w:r>
        <w:t>Concurrency Adjudicator</w:t>
      </w:r>
    </w:p>
    <w:p>
      <w:r>
        <w:t>Candidate 1 addresses GAP-1 and GAP-2 by translating AICTE APH 2024–2027 intake norms, State CET supernumerary conversion rules, and UGC 2025 dual-degree guidelines into a deterministic Domain-Specific Language (DSL) rule compiler paired with statistical Isolation Forest anomaly detection on admission velocity and category distributions. While commercial campus ERPs (such as Samarth eGov or MasterSoft) enforce static headcount caps (admitted &lt;= intake), they do not dynamically construct a constraint satisfaction graph per institution-course-year that accounts for bidirectional 1/3 CIWGC and 2/3 OCI/FN vacancy spillovers, 5% NRI-to-All-India reversions, 10% Lateral Entry plus prior-year unfilled vacancy offsets, three-year Extended EoA annual reporting gates, and cross-institution shift/modality compatibility matrices (PHYSICAL_FULL_TIME vs. ODL vs. ONLINE vs.</w:t>
      </w:r>
    </w:p>
    <w:p>
      <w:r>
        <w:t>WORKING_PROF_FLEX). Unlike generic portals that claim "AI compliance," this engine produces deterministic, legally auditable citations—such as pinpointing an exact four-seat excess violation under APH 2024–2027 Clause 7.3(g) and computing the statutory five-times-fee liability—while using unsupervised Isolation Forests strictly to flag suspicious upload patterns (such as 90% of management quota seats uploaded in the final 15 minutes before midnight with sequential mobile numbers) for human inspection. The concept requires zero unavailable government APIs and is demonstrated convincingly using synthetic LoA/EoA master files and dirty institutional CSV uploads. Its primary limitation is that state-specific spot-round rules must be maintained as versioned JSON policy files per state and academic year, and without fuzzy record linkage it cannot catch cross-college duplicates when APAAR IDs are omitted.</w:t>
      </w:r>
    </w:p>
    <w:p>
      <w:r>
        <w:t>Candidate 2: Two-Stage Hybrid Entity Resolution with Secondary-Encoded Composite Bloom Filter PPRL Candidate 2 targets GAP-3 and GAP-2 by identifying duplicate students across institutions even when APAAR IDs are missing, pending due to Aadhaar demographic mismatches, or intentionally omitted by a non-compliant institution, while strictly preventing cross-institutional PII leakage under the DPDP Act 2023. Drawing directly from Composite Bloom Filter record linkage (IEEE TKDE 2014), Utility-Optimized Local Differential Privacy and XOR-folding (IEEE Access 2025), and Secondary Split Encoding (MDPI Mathematics 2024) paired with Fellegi-Sunter / Token Jaro-Winkler scoring on blocked candidate pairs, the architecture executes deduplication in two stages.</w:t>
      </w:r>
    </w:p>
    <w:p>
      <w:r>
        <w:t>Stage 1 performs O(1) exact matching on blinded HMAC-SHA256(apaar_id) tokens. For records lacking verified APAARs—or to catch fraudulent dual profiles—Stage 2 normalizes Quasi-Identifiers (FullName, DOB, ParentName, MobileLast4), hashes positional character bigrams into a 1024-bit Composite Bloom Filter, computes 16 secondary split encodings (X_i, Y_i) for high-speed multi-party blocking, and calculates explainable field-weighted similarity scores. Unlike standard SQL deduplication tools that require central plaintext exposure or naive exact-match queries that miss 15–25% of transliterated or word-inverted Indian names ("Kulkarni Aarav Rajesh" vs. "Aarav R. Kulkarni"), this approach achieves high recall while keeping institutional rosters mutually confidential. Its main limitation is that common names sharing a birth year can produce false positives if parent name or mobile tokens are absent, necessitating a mandatory human-in-the-loop review band</w:t>
      </w:r>
    </w:p>
    <w:p>
      <w:r>
        <w:t>(0.78 ≤ Score &lt; 0.92).</w:t>
      </w:r>
    </w:p>
    <w:p>
      <w:r>
        <w:t>Candidate 3: W3C Verifiable Enrolment Credentials with Selective Disclosure JWT (SD-JWT) Candidate 3 addresses GAP-5 and GAP-4 by replacing slow email-based registrar verification (examcell@...) and gas-heavy public blockchain dApps with instant, cryptographically signed W3C Verifiable Credentials (VCDM v2.0 / IETF SD-JWT) attesting to a student's verified APAAR linkage and AICTE-approved seat status. Grounded in W3C VCDM v2.0 (May 2025)</w:t>
      </w:r>
    </w:p>
    <w:p>
      <w:r>
        <w:t>and aligned with Digital India Corporation's sovereign verifiable credential trajectory, the platform co-signs an enrolment credential using Ed25519 keys once a student's admission passes AICTE intake reconciliation. Using SD-JWT salted claim hashes, a student applying for an industry internship, education loan, or scholarship can selectively disclose [apaar_verified: true, aicte_approved_course: "B.Tech CSE", within_sanctioned_intake: true] while keeping [caste_category, tfws_fee_waiver, dob, mother_name] cryptographically hidden. It also exposes a DigiLocker Spec v1.13 compliant Pull URI endpoint so students can pull their AICTE Enrolment Verification Card directly into DigiLocker. Its limitation as a standalone candidate is that credential issuance at the end of the pipeline cannot guarantee regulatory integrity unless paired with upstream intake reconciliation (Candidate 1) and deduplication (Candidate 2).</w:t>
      </w:r>
    </w:p>
    <w:p>
      <w:r>
        <w:t>Candidate 4: Federated Zero-Storage Broker with Live ERP Query</w:t>
      </w:r>
    </w:p>
    <w:p>
      <w:r>
        <w:t>Fan-Out</w:t>
      </w:r>
    </w:p>
    <w:p>
      <w:r>
        <w:t>Candidate 4 proposes leaving all student data inside each college's local ERP and having AICTE broadcast federated real-time queries across 10,000+ institutions whenever verification or cross-institution duplicate checking is requested. While theoretically appealing from a radical decentralization standpoint, this approach is rejected on strong evidentiary grounds: it directly contradicts AICTE's contracted ONOD Education Data Lake architecture (Tender 2022_AICTE_668444_1), which explicitly requires consolidating data centrally to power high-availability MIS analytics and cross-regulator sharing across 55,000+ HEIs. Furthermore, thousands of rural diploma institutions and newly onboarded BBA/BCA colleges do not operate 24/7 high-availability REST servers; broadcasting O(N^2) fuzzy entity-resolution queries across offline campus ERPs would fail operationally during peak admission deadlines.</w:t>
      </w:r>
    </w:p>
    <w:p>
      <w:r>
        <w:t>Candidate 5: Permissioned Consortium Blockchain Ledger for All</w:t>
      </w:r>
    </w:p>
    <w:p>
      <w:r>
        <w:t>Student Record Mutations</w:t>
      </w:r>
    </w:p>
    <w:p>
      <w:r>
        <w:t>Candidate 5 proposes storing every institutional admission upload, seat transfer, and verification transaction on a multi-node Hyperledger or Ethereum Proof-of-Authority blockchain with IPFS storage. Although widely proposed in generic academic papers (IJCRT 2026, EduCTX), a full blockchain ledger is rejected here because AICTE is the statutory central regulator under the AICTE Act, 1987—meaning there is no Byzantine consensus problem among untrusted peer miners. Writing mutable staging rosters and student demographic corrections onto an immutable ledger creates severe friction with the Right to Correction and Erasure (Rule 8) under the notified DPDP Rules, 2025, while an append-only PostgreSQL table secured by SHA-256 hash-chaining (Merkle tree) and Ed25519 W3C SD-JWT signatures delivers identical tamper-evidence and non-repudiation at a fraction of the latency and operational complexity.</w:t>
      </w:r>
    </w:p>
    <w:p>
      <w:pPr>
        <w:pStyle w:val="Heading1"/>
        <w:keepNext/>
      </w:pPr>
      <w:r>
        <w:t>10. Comparative Scoring and Justified Winning</w:t>
      </w:r>
    </w:p>
    <w:p>
      <w:r>
        <w:t>Concept</w:t>
      </w:r>
    </w:p>
    <w:p>
      <w:r>
        <w:t>Each of the five candidate approaches—alongside PRAMAAN-AICTE, a synthesized hybrid combining the complementary strengths of Candidates 1, 2, and 3—was scored out of 100 across the eight weighted evaluation criteria specified in Phase 7. [Chart: scoring comparison] Evaluation Cand. 1: Cand. 2: Cand. 3: Cand. 4: Cand. 5: Full WINNER: Criterion Neuro-Symb Two-Stage W3C Federated Consortium PRAMAAN- (Max Weight) olic Intake &amp; Bloom Filter SD-JWT Zero-Storage Blockchain AICTE Dual-Degree PPRL Engine Selective ERP Fan-Out Ledger (Synthesize Compiler Disclosure d Hybrid of</w:t>
      </w:r>
    </w:p>
    <w:p>
      <w:r>
        <w:t>Gateway 1 + 2 + 3)</w:t>
      </w:r>
    </w:p>
    <w:p>
      <w:pPr>
        <w:pStyle w:val="Heading1"/>
        <w:keepNext/>
      </w:pPr>
      <w:r>
        <w:t>1. 14.5 13.5 12.0 10.0 9.0 14.5</w:t>
      </w:r>
    </w:p>
    <w:p>
      <w:r>
        <w:t>Importance</w:t>
      </w:r>
    </w:p>
    <w:p>
      <w:r>
        <w:t>of</w:t>
      </w:r>
    </w:p>
    <w:p>
      <w:r>
        <w:t>Real-World</w:t>
      </w:r>
    </w:p>
    <w:p>
      <w:r>
        <w:t>Problem</w:t>
      </w:r>
    </w:p>
    <w:p>
      <w:r>
        <w:t>(15)</w:t>
      </w:r>
    </w:p>
    <w:p>
      <w:pPr>
        <w:pStyle w:val="Heading1"/>
        <w:keepNext/>
      </w:pPr>
      <w:r>
        <w:t>2. 17.0 18.5 16.0 11.0 6.0 19.0</w:t>
      </w:r>
    </w:p>
    <w:p>
      <w:r>
        <w:t>Evidence-Ba</w:t>
      </w:r>
    </w:p>
    <w:p>
      <w:r>
        <w:t>cked</w:t>
      </w:r>
    </w:p>
    <w:p>
      <w:r>
        <w:t>Differentiati</w:t>
      </w:r>
    </w:p>
    <w:p>
      <w:r>
        <w:t>on (20)</w:t>
      </w:r>
    </w:p>
    <w:p>
      <w:pPr>
        <w:pStyle w:val="Heading1"/>
        <w:keepNext/>
      </w:pPr>
      <w:r>
        <w:t>3. Technical 14.0 13.0 14.0 7.0 8.5 13.5</w:t>
      </w:r>
    </w:p>
    <w:p>
      <w:r>
        <w:t>Feasibility</w:t>
      </w:r>
    </w:p>
    <w:p>
      <w:r>
        <w:t>for Student</w:t>
      </w:r>
    </w:p>
    <w:p>
      <w:r>
        <w:t>Team (15)</w:t>
      </w:r>
    </w:p>
    <w:p>
      <w:pPr>
        <w:pStyle w:val="Heading1"/>
        <w:keepNext/>
      </w:pPr>
      <w:r>
        <w:t>4. Alignment 13.5 12.5 11.5 8.0 9.5 14.5</w:t>
      </w:r>
    </w:p>
    <w:p>
      <w:r>
        <w:t>with Official</w:t>
      </w:r>
    </w:p>
    <w:p>
      <w:r>
        <w:t>Statement</w:t>
      </w:r>
    </w:p>
    <w:p>
      <w:r>
        <w:t>(15)</w:t>
      </w:r>
    </w:p>
    <w:p>
      <w:pPr>
        <w:pStyle w:val="Heading1"/>
        <w:keepNext/>
      </w:pPr>
      <w:r>
        <w:t>5. 9.0 9.5 8.5 5.0 5.5 9.5</w:t>
      </w:r>
    </w:p>
    <w:p>
      <w:r>
        <w:t>Demonstrab</w:t>
      </w:r>
    </w:p>
    <w:p>
      <w:r>
        <w:t>le Impact &amp;</w:t>
      </w:r>
    </w:p>
    <w:p>
      <w:r>
        <w:t>Metrics (10)</w:t>
      </w:r>
    </w:p>
    <w:p>
      <w:pPr>
        <w:pStyle w:val="Heading1"/>
        <w:keepNext/>
      </w:pPr>
      <w:r>
        <w:t>6. Prototype 9.5 9.0 9.5 4.5 6.0 9.0</w:t>
      </w:r>
    </w:p>
    <w:p>
      <w:r>
        <w:t>Feasibility</w:t>
      </w:r>
    </w:p>
    <w:p>
      <w:r>
        <w:t>under SIH (10)</w:t>
      </w:r>
    </w:p>
    <w:p>
      <w:pPr>
        <w:pStyle w:val="Heading1"/>
        <w:keepNext/>
      </w:pPr>
      <w:r>
        <w:t>7. 8.5 8.0 9.0 4.0 5.0 9.0</w:t>
      </w:r>
    </w:p>
    <w:p>
      <w:r>
        <w:t>Integration</w:t>
      </w:r>
    </w:p>
    <w:p>
      <w:r>
        <w:t>with Existing DPI Evaluation Cand. 1: Cand. 2: Cand. 3: Cand. 4: Cand. 5: Full WINNER: Criterion Neuro-Symb Two-Stage W3C Federated Consortium PRAMAAN- (Max Weight) olic Intake &amp; Bloom Filter SD-JWT Zero-Storage Blockchain AICTE Dual-Degree PPRL Engine Selective ERP Fan-Out Ledger (Synthesize Compiler Disclosure d Hybrid of</w:t>
      </w:r>
    </w:p>
    <w:p>
      <w:r>
        <w:t>Gateway 1 + 2 + 3)</w:t>
      </w:r>
    </w:p>
    <w:p>
      <w:r>
        <w:t>(10)</w:t>
      </w:r>
    </w:p>
    <w:p>
      <w:pPr>
        <w:pStyle w:val="Heading1"/>
        <w:keepNext/>
      </w:pPr>
      <w:r>
        <w:t>8. Privacy, 4.0 4.5 4.5 3.5 2.5 4.5</w:t>
      </w:r>
    </w:p>
    <w:p>
      <w:r>
        <w:t>Security &amp;</w:t>
      </w:r>
    </w:p>
    <w:p>
      <w:r>
        <w:t>Practicality</w:t>
      </w:r>
    </w:p>
    <w:p>
      <w:r>
        <w:t>(5) TOTAL 90.0 / 100 88.5 / 100 85.0 / 100 53.0 / 100 52.0 / 100 93.5 / 100 SCORE (Alternative (Alternative (Rejected) (Rejected) (Selected</w:t>
      </w:r>
    </w:p>
    <w:p>
      <w:r>
        <w:t>(100) #1) #2) Winner)</w:t>
      </w:r>
    </w:p>
    <w:p>
      <w:r>
        <w:t>Justification of Scores and Selection of the Winning Concept The scoring analysis demonstrates why PRAMAAN-AICTE (Synthesized Hybrid of Candidates 1, 2, and 3) is the clear winner at 93.5 / 100, with Candidate 1 (90.0 / 100) and Candidate 2 (88.5 / 100) serving as the two strongest modular alternatives if a team needed to descope during development. No single standalone candidate addresses all twelve requirements of SIH26263: Candidate 1 alone solves LoA/EoA intake mathematics and UGC dual-degree concurrency rules but misses fuzzy duplicates when APAAR IDs are pending or omitted; Candidate 2 alone uncovers hidden cross-institutional duplicates via secondary-encoded Bloom filter PPRL but lacks regulatory seat-matrix awareness; and Candidate 3 alone delivers cryptographic selective-disclosure verification but relies on upstream modules to guarantee that an attested seat is genuinely within AICTE-sanctioned intake.</w:t>
      </w:r>
    </w:p>
    <w:p>
      <w:r>
        <w:t>Because all three modules share the exact same FastAPI + PostgreSQL ingestion pipeline and together require a stretch target of roughly 3,500 lines of modular Python and TypeScript code, with Tier 1 covering intake validation, APAAR format checks, deterministic seat reconciliation, basic duplicate alerts and audit logs; Tier 2 covering PPRL, UGC policy adjudication, SD-JWT integration and external adapters if time permits. A six-member student team can realistically implement the unified PRAMAAN-AICTE platform within the hackathon timeframe.</w:t>
      </w:r>
    </w:p>
    <w:p>
      <w:r>
        <w:t>From a scientific and prior-art standpoint, the assessment remains scrupulously candid about novelty: the underlying mathematical primitives—Fellegi-Sunter probabilistic record linkage, Composite Bloom Filters with secondary split encoding, constraint satisfaction rule compilation, and W3C SD-JWT cryptographic signatures—are established in academic literature and technical standards. What is genuinely differentiated and novel in this application is their domain-specific engineering synthesis for Indian higher-education regulation: coupling secondary-encoded Bloom filter PPRL with an executable UGC-2025 / AICTE APH 2024–2027 Concurrency and Supernumerary Seat Adjudicator, and emitting selective-disclosure W3C Enrolment Credentials compatible with DigiLocker Partner API Specification v1.13 and AICTE ONOD.</w:t>
      </w:r>
    </w:p>
    <w:p>
      <w:pPr>
        <w:pStyle w:val="Heading1"/>
        <w:keepNext/>
      </w:pPr>
      <w:r>
        <w:t>11. Complete Recommended Solution and Technical</w:t>
      </w:r>
    </w:p>
    <w:p>
      <w:r>
        <w:t>Architecture</w:t>
      </w:r>
    </w:p>
    <w:p>
      <w:r>
        <w:t>A. Concept Definition: PRAMAAN-AICTE PRAMAAN-AICTE (Policy-Driven Reconciliation, APAAR Management, and Audited Academic Network for AICTE) is an APAAR-anchored regulatory validation, privacy-preserving entity resolution, and selective-disclosure credentialing platform that reconciles institutional student admissions against AICTE LoA/EoA seat matrices and UGC dual-degree norms in real time before committing clean data to ONOD and NAD-ABC.</w:t>
      </w:r>
    </w:p>
    <w:p>
      <w:r>
        <w:t>The platform serves four primary stakeholder groups: (1) Institutional Data Operators and Nodal Officers across more than 10,000 AICTE-approved engineering, pharmacy, architecture, standalone PGDM, and newly added BBA/BCA/BMS colleges; (2) AICTE Regulatory Officers and Bureau Auditors across the Approval Bureau, Policy and Academic Planning Bureau, e-Governance Cell, and Regional Offices; (3) Authorized Third-Party Verification Requesters, including employers, national and state scholarship portals, affiliating universities, and state DTEs; and (4) Students, who manage consent under the DPDP Act, where applicable preferences, resolve Aadhaar-APAAR demographic mismatch tickets, and share selective-disclosure enrolment credentials.</w:t>
      </w:r>
    </w:p>
    <w:p>
      <w:r>
        <w:t>Whereas the current workflow relies on disconnected spreadsheet uploads that fail silently on Aadhaar spelling mismatches, cannot dynamically compute 15% FN/OCI/CIWGC supernumerary sub-cap spillovers, and cannot distinguish lawful UGC dual degrees from cross-state seat blocking, PRAMAAN-AICTE intercepts institutional submissions in an interactive staging workbench. It validates APAAR and international exemption credentials, compiles category-wise seat utilization against authoritative LoA/EoA bounds, executes two-stage exact and Bloom-filter PPRL deduplication across institutions, adjudicates matches via the UGC-2025 concurrency matrix, and issues W3C SD-JWT verifiable enrolment credentials upon batch lock.</w:t>
      </w:r>
    </w:p>
    <w:p>
      <w:r>
        <w:t>B. Functional Modules Specification</w:t>
      </w:r>
    </w:p>
    <w:p>
      <w:r>
        <w:t>Module ID &amp; Core Purpose Inputs Outputs Authorized Internal/Extern Name Roles al Interactions M1: Syncs AICTE Versioned AICTE_ADMIN, Queries ONOD Institutional institution Permanent CourseSeatMat INST_NODAL_ / Approval Onboarding &amp; profile, Institute ID rix with OFFICER Adapter; feeds LoA/EoA approved (PID), EoA computed CAP, (Read) M3 &amp; M5.</w:t>
      </w:r>
    </w:p>
    <w:p>
      <w:r>
        <w:t>Seat-Matrix courses, shifts, JSON/XML Management, Sync Sanctioned feed from TFWS, EWS, Intake, ONOD/Approva FN/OCI/CIWG Extended EoA l portal. C, and Lateral status, and Entry bounds. NRI/FN/OCI approval flags. M2: Smart Ingests student Bulk Normalized INST_DATA_O Invokes API Ingestion &amp; rosters via bulk CSV/XLSX staging records PERATOR, Setu / Dual-Track CSV/XLSX or (upgraded with INST_NODAL_ DigiLocker APAAR Gate ERP REST PGDM/Technic deterministic OFFICER v1.13 Adapter; API; routes al template) or schema errors feeds M4.</w:t>
      </w:r>
    </w:p>
    <w:p>
      <w:r>
        <w:t>domestic Samarth/ERP and APAAR students to JSON payload. status flags. APAAR Module ID &amp; Core Purpose Inputs Outputs Authorized Internal/Extern Name Roles al Interactions verification and FN/OCI students to Passport/OCI track. M3: Reconciles Staged student IntakeReconcili INST_NODAL_ Reads M1 Deterministic staged cohort grouped ationReport, OFFICER, bounds; blocks Intake &amp; enrolments by course_id, arithmetic error AICTE_REGIO final batch lock Supernumerar against M1 academic_year, flags, or NAL_OFFICER if hard violation y Compiler seat bounds, shift, statutory unresolved; executing entry_level, penalty feeds M7.</w:t>
      </w:r>
    </w:p>
    <w:p>
      <w:r>
        <w:t>CIWGC seat_category. warnings (5x ↔ course fee). OCI/FN and NRI spillover rules and flagging Clause 7.3 violations. M4: Two-Stage Detects Staged student Candidate SYSTEM_WO Feeds matched Hybrid Entity intra-institute records match pairs RKER, cross-institute Resolution and (APAAR token with similarity INST_NODAL_ pairs (APAAR + cross-institute + normalized breakdown, OFFICER, immediately to PPRL) duplicates QIDs: Name, confidence AICTE_AUDIT M5.</w:t>
      </w:r>
    </w:p>
    <w:p>
      <w:r>
        <w:t>using exact DOB, zone OR APAAR HMAC Father/Mother (AUTO_MATC tokens (Stage Name, Mobile). H, REVIEW, 1) and CLEAR). secondary-enc oded</w:t>
      </w:r>
    </w:p>
    <w:p>
      <w:r>
        <w:t>Composite</w:t>
      </w:r>
    </w:p>
    <w:p>
      <w:r>
        <w:t>Bloom Filters +</w:t>
      </w:r>
    </w:p>
    <w:p>
      <w:r>
        <w:t>Jaro-Winkler</w:t>
      </w:r>
    </w:p>
    <w:p>
      <w:r>
        <w:t>scoring (Stage 2). M5: UGC-2025 Evaluates Cross-institute Adjudication AICTE_AUDIT Triggers Concurrency cross-institution match pair verdict: OR, inter-institution &amp; Quota duplicate pairs (Record_A, PERMITTED_ INST_NODAL_ al discrepancy Legality against UGC Record_B) DUAL_DEGRE OFFICER resolution Adjudicator simultaneous-p from M4 plus E, workflow; rogramme programme SHIFT_TIMING updates M7.</w:t>
      </w:r>
    </w:p>
    <w:p>
      <w:r>
        <w:t>guidelines, mode &amp; shift _CONFLICT, class shift metadata. ILLEGAL_DUA timings, L_PHYSICAL, distance, and or TFWS/PMSSS Q(st Module ID &amp; Core Purpose Inputs Outputs Authorized Internal/Extern Name Roles al Interactions exclusivity. art_span)UOTA_FRAU</w:t>
      </w:r>
    </w:p>
    <w:p>
      <w:r>
        <w:t>D.</w:t>
      </w:r>
    </w:p>
    <w:p>
      <w:r>
        <w:t>M6: W3C Issues Approved W3C VC EXTERNAL_V Exposes public SD-JWT cryptographicall student record; (SD-JWT) ERIFIER, key JWKS &amp; Verifiable y signed third-party payload, QR STUDENT, API Setu v1.13 Enrolment &amp; selective-disclo verification verification INST_NODAL_ endpoints; logs Requester sure enrolment request with badge, OFFICER to M8.</w:t>
      </w:r>
    </w:p>
    <w:p>
      <w:r>
        <w:t>Gateway credentials and DPDP Rule 3 DigiLocker Pull processes consent token. URI Response consent-gated XML/JSON. third-party verification requests. M7: Provides Committed Interactive KPI AICTE_ADMIN, Pushes Regulatory national/region enrolment dashboards, AICTE_REGIO validated Analytics, al heatmaps, tables, M3 show-cause NAL_OFFICER snapshots to Anomaly Isolation Forest intake reports, notice drafts, , AICTE ONOD Detection &amp; enrolment-spik M5 conflict ONOD/AISHE INST_NODAL_ Education Data ONOD e alerts, and logs. XML/JSON OFFICER Lake.</w:t>
      </w:r>
    </w:p>
    <w:p>
      <w:r>
        <w:t>Exporter one-click bundles. exports for ONOD, AISHE, NAAC, NBA, and NIRF. M8: DPDP Maintains Every state Tamper-evident SYSTEM_AUD Wraps all Consent immutable mutation, Merkle/hash-ch ITOR, database writes Ledger &amp; SHA-256 verification ain verification STUDENT across M1–M7 Hash-Chained hash-chained query, consent proof, DSAR (own consent via middleware.</w:t>
      </w:r>
    </w:p>
    <w:p>
      <w:r>
        <w:t>Audit Trail audit events grant/withdraw export, 72-hour log) and DPDP al, and breach alert Rules 2025 discrepancy logs. consent/parent override. al-consent lifecycles. C. End-to-End Eleven-Step Operational Workflow The table below specifies the complete eleven-step operational lifecycle across PRAMAAN-AICTE, detailing the initiating actor, data provenance, applied validation rules, persistence state, reporting output, and legitimate exception handling at every stage:</w:t>
      </w:r>
    </w:p>
    <w:p>
      <w:r>
        <w:t>Step Workflow Stage Initiating Actor Applied Stored State &amp; Legitimate</w:t>
      </w:r>
    </w:p>
    <w:p>
      <w:r>
        <w:t>&amp; Data Validation &amp; Reported Exception</w:t>
      </w:r>
    </w:p>
    <w:p>
      <w:r>
        <w:t>Provenance Policy Rules Output Handling</w:t>
      </w:r>
    </w:p>
    <w:p>
      <w:pPr>
        <w:pStyle w:val="Heading2"/>
      </w:pPr>
      <w:r>
        <w:t>1 Institution AICTE_ADMIN Parses Writes Multi-year</w:t>
      </w:r>
    </w:p>
    <w:p>
      <w:r>
        <w:t>Onboarding or automated course-wise versioned rows Extended EoA ONOD sync Sanctioned to institutions (2025-28) imports official Intake (SI), and waives TER fee LoA / Extended delivery mode, course_approv but enforces EoA shift, als; activates annual student JSON/XML. nri_approved, annual upload upload before fn_oci_ciwgc_a gate. EoA letter pproved, and download.</w:t>
      </w:r>
    </w:p>
    <w:p>
      <w:r>
        <w:t>extended_eoa_ until.</w:t>
      </w:r>
    </w:p>
    <w:p>
      <w:pPr>
        <w:pStyle w:val="Heading2"/>
      </w:pPr>
      <w:r>
        <w:t>2 Student INST_DATA_O Computes Stores batch Supports</w:t>
      </w:r>
    </w:p>
    <w:p>
      <w:r>
        <w:t>Dataset Import PERATOR SHA-256 file metadata and incremental uploads hash; streams raw row staging delta uploads CSV/XLSX rows in chunks; records; (CAP Round 1 (PGDM/Technic assigns streams live → al template) or upload_batch_i progress via Round 3 triggers d in STAGED SSE. → Samarth/ERP state. Spot Round)</w:t>
      </w:r>
    </w:p>
    <w:p>
      <w:r>
        <w:t>REST without webhook. duplicating prior locked rows.</w:t>
      </w:r>
    </w:p>
    <w:p>
      <w:pPr>
        <w:pStyle w:val="Heading2"/>
      </w:pPr>
      <w:r>
        <w:t>3 Schema &amp; Synchronous Enforces Flags Allows blank</w:t>
      </w:r>
    </w:p>
    <w:p>
      <w:r>
        <w:t>Field FastAPI worker required fields, malformed (star Validation validates date bounds, rows in t_span)[span_1 staged batch and checks that staging_errors; 82][ records. any INST_NRI generates span_185](start or downloadable _span)[span_1 SUP_OCI_FN error CSV for 85]u row has immediate fix. niv_prn during corresponding initial boolean admission approval on the reporting course's EoA. before affiliating university generates PRNs.</w:t>
      </w:r>
    </w:p>
    <w:p>
      <w:pPr>
        <w:pStyle w:val="Heading2"/>
      </w:pPr>
      <w:r>
        <w:t>4 Dual-Track M2 Gate Domestic seats Updates Students with</w:t>
      </w:r>
    </w:p>
    <w:p>
      <w:r>
        <w:t>APAAR invokes require 12-digit kyc_verification Aadhaar-acade Verification DigiLocker Verhoeff check _status mic spelling Partner API + DigiLocker (VERIFIED_DI divergence v1.13 Adapter KYC match GILOCKER, enter a 30-day</w:t>
      </w:r>
    </w:p>
    <w:p>
      <w:r>
        <w:t>Step Workflow Stage Initiating Actor Applied Stored State &amp; Legitimate</w:t>
      </w:r>
    </w:p>
    <w:p>
      <w:r>
        <w:t>&amp; Data Validation &amp; Reported Exception</w:t>
      </w:r>
    </w:p>
    <w:p>
      <w:r>
        <w:t>Provenance Policy Rules Output Handling</w:t>
      </w:r>
    </w:p>
    <w:p>
      <w:r>
        <w:t>(Pull URI / (Name, DOB, VERIFIED_PA Provisional OAuth artifact Gender). SSPORT_OCI, Mismatch signature International or Queue rather check). seats validate PENDING_MIS than blocking Passport, ISO MATCH). the batch. nationality, and OCI/Visa reference.</w:t>
      </w:r>
    </w:p>
    <w:p>
      <w:pPr>
        <w:pStyle w:val="Heading2"/>
      </w:pPr>
      <w:r>
        <w:t>5 Intra-Institutio M4 Engine Checks exact Blocks Distinguishes</w:t>
      </w:r>
    </w:p>
    <w:p>
      <w:r>
        <w:t>n scans within apaar_hmac, duplicate legitimate Deduplication the uploading univ_prn, and internal rows; post-first-year institution's internal prompts branch change staged and Jaro-Winkler operator to (except for active rows. similarity ≥ merge or mark non-transferabl 0.90 across internal branch e TFWS seats)</w:t>
      </w:r>
    </w:p>
    <w:p>
      <w:r>
        <w:t>branches/shifts transfer. from double of the same entry. college.</w:t>
      </w:r>
    </w:p>
    <w:p>
      <w:pPr>
        <w:pStyle w:val="Heading2"/>
      </w:pPr>
      <w:r>
        <w:t>6 Intake vs. M3 Compiler Enforces Saves Automatically</w:t>
      </w:r>
    </w:p>
    <w:p>
      <w:r>
        <w:t>Enrolment aggregates Regular ≤ intake_reconcili applies lawful Reconciliation staged + active \text{SI} (NRI ations; 1/3 CIWGC counts per ≤ 5\%), TFWS computes ↔ (course_approv ≤ 5\%, EWS Clause 7.3(g) 2/3 OCI/FN al_id, ≤ 10\%, 5x-fee penalty inter-bucket entry_level, FN/OCI/CIWG if excess &gt;0. vacancy seat_category). C ≤ 15\% (1/3 spillover and &amp; 2/3 split), unfilled Lateral ≤ 10\% NRI-to-All-India + reversion.</w:t>
      </w:r>
    </w:p>
    <w:p>
      <w:r>
        <w:t>\text{[sp an_706](end_s pan) [sp an_712](end_s pan)vacancies} .</w:t>
      </w:r>
    </w:p>
    <w:p>
      <w:pPr>
        <w:pStyle w:val="Heading2"/>
      </w:pPr>
      <w:r>
        <w:t>7 Cross-Instituti Asynchronous Stage 1: Exact Writes matched Never</w:t>
      </w:r>
    </w:p>
    <w:p>
      <w:r>
        <w:t>on Duplicate Celery worker apaar_hmac pairs (≥ 0.78) auto-rejects on Detection runs M4 across lookup. Stage to probabilistic the national 2: 1024-bit cross_inst_disc match active Composite repanc[span_4 ([0.78, 0.92)); enrolment Bloom Filter + 0][s routes to index. Secondary Split pan_40](end_s human review</w:t>
      </w:r>
    </w:p>
    <w:p>
      <w:r>
        <w:t>Step Workflow Stage Initiating Actor Applied Stored State &amp; Legitimate</w:t>
      </w:r>
    </w:p>
    <w:p>
      <w:r>
        <w:t>&amp; Data Validation &amp; Reported Exception</w:t>
      </w:r>
    </w:p>
    <w:p>
      <w:r>
        <w:t>Provenance Policy Rules Output Handling</w:t>
      </w:r>
    </w:p>
    <w:p>
      <w:r>
        <w:t>Encoding (X_i, pan)( while keeping Y_i) blocking + start_span)[spa rival college weighted n_46](end_spa rosters Jaro-Winkler n)(sta masked. scoring. rt_span)i es with field-level explainability.</w:t>
      </w:r>
    </w:p>
    <w:p>
      <w:pPr>
        <w:pStyle w:val="Heading2"/>
      </w:pPr>
      <w:r>
        <w:t>8 Discrepancy M5 Adjudicator Evaluates Sets Auto-clears</w:t>
      </w:r>
    </w:p>
    <w:p>
      <w:r>
        <w:t>Adjudication evaluates (delivery_mode PERMITTED_ Physical + &amp; Resolution cross-institute , shift, district, UGC_DUAL_M ODL/Online match pairs; seat_category) OD( and Nodal Officers against UGC 5 start_span)[spa Non-Overlappin and Student June 2025 n_256](end_sp g Shifts; respond to dual-degree an)( provides conflict tickets. rules and start_span)[spa One-Click TFWS n_258](end_sp Transfer exclusivity. an)E, Handshake for RESOLVED_W CAP-to-Spot ITHDRAWAL, upgrades.</w:t>
      </w:r>
    </w:p>
    <w:p>
      <w:r>
        <w:t>or DISCREPANC Y_HOLD.</w:t>
      </w:r>
    </w:p>
    <w:p>
      <w:pPr>
        <w:pStyle w:val="Heading2"/>
      </w:pPr>
      <w:r>
        <w:t>9 Authorized EXTERN[span Verifies Returns Supports</w:t>
      </w:r>
    </w:p>
    <w:p>
      <w:r>
        <w:t>Record _525](start_spa Ed25519 cryptographic offlineJWKS Verification n)(e signature, verification public-key nd_span)AL_V revocation verdict + only verification of ERIFIER status, DPDP consented student-held (Employer / Rule 3 purpose attributes; logs W3C SD-JWT Scholarship consent, and query in credentials Portal) submits Rule 10–12 audit_events. even if college SD-JWT QR parental ERP is offline.</w:t>
      </w:r>
    </w:p>
    <w:p>
      <w:r>
        <w:t>presentation or consent if Requester minor. OAuth query.</w:t>
      </w:r>
    </w:p>
    <w:p>
      <w:pPr>
        <w:pStyle w:val="Heading2"/>
      </w:pPr>
      <w:r>
        <w:t>10 Record INST_NODAL_ Validates Increments Preserves full</w:t>
      </w:r>
    </w:p>
    <w:p>
      <w:r>
        <w:t>Update, OFFICER authority and version_no in historical Correction, or submits checks that student_enrolm lineage for Transfer digitally signed mutation does ents; appends cohort post-lock not breach prior state to dropout/retentio mutation TFWS enrolment_hist n analytics and (withdrawal, non-transferabil ory and NBA lateral entry, ity or course audit_events. accreditation</w:t>
      </w:r>
    </w:p>
    <w:p>
      <w:r>
        <w:t>Step Workflow Stage Initiating Actor Applied Stored State &amp; Legitimate</w:t>
      </w:r>
    </w:p>
    <w:p>
      <w:r>
        <w:t>&amp; Data Validation &amp; Reported Exception</w:t>
      </w:r>
    </w:p>
    <w:p>
      <w:r>
        <w:t>Provenance Policy Rules Output Handling</w:t>
      </w:r>
    </w:p>
    <w:p>
      <w:r>
        <w:t>judicial intake bounds. tracking. regularization).</w:t>
      </w:r>
    </w:p>
    <w:p>
      <w:pPr>
        <w:pStyle w:val="Heading2"/>
      </w:pPr>
      <w:r>
        <w:t>11 Audit &amp; INST_NODAL_ Verifies zero Unlocks annual Allows</w:t>
      </w:r>
    </w:p>
    <w:p>
      <w:r>
        <w:t>Regulatory OFFICER locks unresolved EoA download conditional lock Report annual roster; hard holds; token; exports with isolated Generation AICTE_ADMIN validates ONOD, AISHE, provisional generates SHA-256 NAAC, and holds so 1 national/region hash-chain NIRF contested al compliance integrity across JSON/XML student does reports. batch events. feeds. not block 1,000 verified students' scholarships.</w:t>
      </w:r>
    </w:p>
    <w:p>
      <w:r>
        <w:t>D. Four-Tier Technical Architecture and Data-Flow Lineage PRAMAAN-AICTE is engineered around a four-tier modular architecture designed to meet AICTE ONOD's scalability benchmark of 5,000+ concurrent users per instance. The Frontend Presentation Tier utilizes React 18, TypeScript, Vite, Tailwind CSS, and TanStack Virtualized Tables, executing client-side Web Worker CSV pre-parsing and rendering 60-FPS discrepancy resolution workbenches. The API Gateway and Security Middleware Tier runs on Python 3.12, FastAPI, and Pydantic v2, enforcing OAuth 2.0 / JWT role-based and attribute-based access control (RBAC/ABAC), DPDP Rule 3 and Rule 10–12 consent guards, rate limiting, and an automatic SHA-256 hash-chained audit interceptor.</w:t>
      </w:r>
    </w:p>
    <w:p>
      <w:r>
        <w:t>The Core Validation and Intelligence Tier executes synchronous deterministic checks alongside asynchronous Celery + Redis distributed workers for heavy batch workloads: running NumPy/SciPy intake matrix compilation, RapidFuzz C++-accelerated Jaro-Winkler string matching, 1024-bit Composite Bloom Filter generation with secondary split encoding, scikit-learn Isolation Forest anomaly detection, and jwcrypto/cryptography Ed25519 W3C SD-JWT credential signing. Finally, the Persistence and Government DPI Adapter Tier combines PostgreSQL 16 (with Row-Level Security, pg_trgm, and pgcrypto AES-256-GCM encryption) with Hexagonal Integration Adapters for DigiLocker Partner API v1.13 (Pull URI / Push URI), AICTE ONOD Education Data Lake, NAD-ABC, and AISHE.</w:t>
      </w:r>
    </w:p>
    <w:p>
      <w:r>
        <w:t>Architectural Tier &amp; Data Authority Synchronous vs. Failure / Fallback</w:t>
      </w:r>
    </w:p>
    <w:p>
      <w:r>
        <w:t>Component Classification Asynchronous Resilience Mode</w:t>
      </w:r>
    </w:p>
    <w:p>
      <w:r>
        <w:t>Data-Flow Lineage</w:t>
      </w:r>
    </w:p>
    <w:p>
      <w:r>
        <w:t>Tier 1: Institutional &amp; Client Presentation &amp; Streams CSV/XLSX Resumable chunked Regulator Web Local Edge rows; optionally uploads; local Portals + Edge Pre-Processor computes salted IndexedDB draft Pre-Hasher (React 18 / q-gram Bloom filters in caching if campus TS) WebAssembly/WebWor internet drops.</w:t>
      </w:r>
    </w:p>
    <w:p>
      <w:r>
        <w:t>ker at the browser edge before HTTPS upload. Tier 2: FastAPI Policy Enforcement Intercepts every REST Fails closed on Architectural Tier &amp; Data Authority Synchronous vs. Failure / Fallback</w:t>
      </w:r>
    </w:p>
    <w:p>
      <w:r>
        <w:t>Component Classification Asynchronous Resilience Mode</w:t>
      </w:r>
    </w:p>
    <w:p>
      <w:r>
        <w:t>Data-Flow Lineage</w:t>
      </w:r>
    </w:p>
    <w:p>
      <w:r>
        <w:t>Gateway, DPDP Point (PEP) /api/v1/* request unauthorized or Consent Guard &amp; → verifies JWT unconsented requests; Audit Interceptor &amp; RBAC scope rate-limits verifier → checks scraping via Redis dpdp_consents token buckets. → writes hash-chained row to audit_events. Tier 3A: M3 Derived Regulatory Synchronous call on Pure deterministic Deterministic Compliance Engine staged batch function with zero LoA/EoA Seat-Matrix → joins external network Compiler student_enrolments dependencies; 100% against available offline.</w:t>
      </w:r>
    </w:p>
    <w:p>
      <w:r>
        <w:t>course_approvals → computes spillover &amp; Clause 7.3(g) penalty \righta(end_s pan)(start_s pan)(end_sp an)(start_sp an)rrow writes intake_reconciliations. Tier 3B: M4 Derived Entity Async Celery job Never auto-deletes Two-Stage Hybrid Resolution &amp; triggered on batch student records; routes PPRL &amp; M5 UGC-2025 Concurrency Graph commit → ambiguous matches Adjudicator (Celery + checks exact ([0.78, 0.92)) to human Redis) apaar_hmac → Nodal Officer review blocks on secondary queue.</w:t>
      </w:r>
    </w:p>
    <w:p>
      <w:r>
        <w:t>split codes (X_i, Y_i) \rightarrow scores</w:t>
      </w:r>
    </w:p>
    <w:p>
      <w:r>
        <w:t>Jaro-Winkler</w:t>
      </w:r>
    </w:p>
    <w:p>
      <w:r>
        <w:t>→ runs UGC-2025 matrix → writes cross_inst_discrepanci es. Tier 3C: M6 W3C Authoritative Signs approved External verifiers SD-JWT Signer &amp; QR Attestation Issuer enrolment claims with validate SD-JWT Verification Service institutional &amp; AICTE signatures offline via Architectural Tier &amp; Data Authority Synchronous vs. Failure / Fallback</w:t>
      </w:r>
    </w:p>
    <w:p>
      <w:r>
        <w:t>Component Classification Asynchronous Resilience Mode</w:t>
      </w:r>
    </w:p>
    <w:p>
      <w:r>
        <w:t>Data-Flow Lineage</w:t>
      </w:r>
    </w:p>
    <w:p>
      <w:r>
        <w:t>Ed25519 private keys cached public JWKS → issues even if SD-JWT to student PRAMAAN-AICTE is wallet &amp; DigiLocker Pull unreachable. URI. Tier 4A: PostgreSQL Institutional Working Enforces ACID Streaming WAL</w:t>
      </w:r>
    </w:p>
    <w:p>
      <w:pPr>
        <w:pStyle w:val="Heading2"/>
      </w:pPr>
      <w:r>
        <w:t>16 Relational &amp; Store &amp; Reconciled transactions, tenant replication and</w:t>
      </w:r>
    </w:p>
    <w:p>
      <w:r>
        <w:t>Temporal Store Seat Ledger Row-Level Security point-in-time recovery (institution_id), (PITR). temporal versioning (enrolment_history), and cryptographic audit chaining. Tier 4B: Government External Authoritative Syncs upstream Circuit-breaker pattern: DPI Hexagonal Registries (for Identity, LoA/EoA master queues records in Adapters (ONOD, API EoA &amp; Credits) records from AICTE; PENDING_ASYNC_KY Setu v1.13, NAD-ABC) executes DigiLocker C_SYNC during v1.13 Pull URI XML upstream API Setu handshakes; exports downtime and supports locked cohorts to offline signed ONOD and AISHE. DigiLocker XML verification.</w:t>
      </w:r>
    </w:p>
    <w:p>
      <w:r>
        <w:t>Permissions and Role-Based Access Control (RBAC + ABAC) Matrix Resource / STUDENT INST_DATA_ INST_NODA AICTE_REGI AICTE_BUR EXTERNAL_ Action OPERATOR L_OFFICER ONAL_OFFI EAU_ADMIN VERIFIER CER</w:t>
      </w:r>
    </w:p>
    <w:p>
      <w:r>
        <w:t>Upload Draft Denied Allowed Allowed Denied Denied Denied</w:t>
      </w:r>
    </w:p>
    <w:p>
      <w:r>
        <w:t>Student CSV (Own Inst) (Own Inst) / ERP Sync</w:t>
      </w:r>
    </w:p>
    <w:p>
      <w:r>
        <w:t>View Raw Own Record Allowed Allowed Masked Masked Denied (Only</w:t>
      </w:r>
    </w:p>
    <w:p>
      <w:r>
        <w:t>Student PII Only (Own Inst) (Own Inst) (Unmasked (Unmasked Consented (Own on Audit on Audit Claims)</w:t>
      </w:r>
    </w:p>
    <w:p>
      <w:r>
        <w:t>Institution) Ticket) Ticket)</w:t>
      </w:r>
    </w:p>
    <w:p>
      <w:r>
        <w:t>View Raw Denied Strictly Strictly Allowed Allowed Denied</w:t>
      </w:r>
    </w:p>
    <w:p>
      <w:r>
        <w:t>Student PII Denied Denied (Regional (National</w:t>
      </w:r>
    </w:p>
    <w:p>
      <w:r>
        <w:t>(Other (Sees Discrepancy Scope)</w:t>
      </w:r>
    </w:p>
    <w:p>
      <w:r>
        <w:t>Institutions) Masked Scope)</w:t>
      </w:r>
    </w:p>
    <w:p>
      <w:r>
        <w:t>Match Ticket)</w:t>
      </w:r>
    </w:p>
    <w:p>
      <w:r>
        <w:t>Lock Final Denied Denied Allowed Denied Override Denied</w:t>
      </w:r>
    </w:p>
    <w:p>
      <w:r>
        <w:t>Institutional (Requires Only</w:t>
      </w:r>
    </w:p>
    <w:p>
      <w:r>
        <w:t>Intake Digital</w:t>
      </w:r>
    </w:p>
    <w:p>
      <w:r>
        <w:t>Submission Sign/OTP)</w:t>
      </w:r>
    </w:p>
    <w:p>
      <w:r>
        <w:t>Adjudicate Confirm Propose Approve Binding Binding Denied</w:t>
      </w:r>
    </w:p>
    <w:p>
      <w:r>
        <w:t>Resource / STUDENT INST_DATA_ INST_NODA AICTE_REGI AICTE_BUR EXTERNAL_ Action OPERATOR L_OFFICER ONAL_OFFI EAU_ADMIN VERIFIER CER</w:t>
      </w:r>
    </w:p>
    <w:p>
      <w:r>
        <w:t>Cross-Institut Active Seat Evidence Release / Adjudicatio Adjudicatio</w:t>
      </w:r>
    </w:p>
    <w:p>
      <w:r>
        <w:t>e Duplicate / Claim n n</w:t>
      </w:r>
    </w:p>
    <w:p>
      <w:r>
        <w:t>Transfer</w:t>
      </w:r>
    </w:p>
    <w:p>
      <w:r>
        <w:t>Configure Denied Denied View Only View Only Allowed Denied</w:t>
      </w:r>
    </w:p>
    <w:p>
      <w:r>
        <w:t>APH / State (Versioned Quota Rules DSL)</w:t>
      </w:r>
    </w:p>
    <w:p>
      <w:r>
        <w:t>Request / Issue / Denied Issue Verify Verify Verify (With</w:t>
      </w:r>
    </w:p>
    <w:p>
      <w:r>
        <w:t>Verify W3C Share / Institutional Consent</w:t>
      </w:r>
    </w:p>
    <w:p>
      <w:r>
        <w:t>SD-JWT Revoke Co-Sign Token)</w:t>
      </w:r>
    </w:p>
    <w:p>
      <w:r>
        <w:t>Credential Consent</w:t>
      </w:r>
    </w:p>
    <w:p>
      <w:r>
        <w:t>Threat Model (STRIDE Analysis) and Engineered Mitigations The platform's security architecture addresses four primary threat vectors identified through STRIDE modeling. First, to prevent Spoofing and Synthetic APAAR Injection—where a defaulting college generates random 12-digit numbers passing Verhoeff checksums to inflate enrolment counts—checksum validation grants only UNVERIFIED_FORMAT status; achieving VERIFIED_DIGILOCKER status requires either a cryptographic signature from DigiLocker's public key on the citizen's APAAR XML artifact or an authenticated API Setu v1.13 Pull URI handshake, while sudden surges in unverified IDs trigger an Isolation Forest alert on the AICTE auditor dashboard. Second, to prevent Cross-Institutional Enumeration and PII Harvesting (Information Disclosure)—where an operator uploads target names or APAAR IDs to probe where rival colleges' students are studying—cross-institutional PPRL runs asynchronously only upon batch commitment, and any collision displays a masked conflict ticket (Conflict #9041: Overlapping Full-Time Physical Enrolment detected in [State: Maharashtra]) without ever exposing the rival institution's roster. Third, to defeat Tampering with Approved Intake or Post-Cut-Off Rosters, every mutation in audit_events chains the previous row's SHA-256 digest (`event_hmac = HMAC_SHA256(prev_event_hash | | payload_hash | | timestamp)), making retroactive SQL tampering mathematically detectable.</w:t>
      </w:r>
    </w:p>
    <w:p>
      <w:r>
        <w:t>Fourth, to prevent **Verifier Over-Collection and Replay Attacks**, W3C SD-JWT presentations bind a verifier-specific nonce and short-lived expiration (exp`), revealing only the salted claim hashes explicitly authorized by the student under DPDP Rule 3.</w:t>
      </w:r>
    </w:p>
    <w:p>
      <w:pPr>
        <w:pStyle w:val="Heading1"/>
        <w:keepNext/>
      </w:pPr>
      <w:r>
        <w:t>12. Database Design and Important API Contracts</w:t>
      </w:r>
    </w:p>
    <w:p>
      <w:r>
        <w:t>E. Entity-Relationship Data Model and Provenance Schema To comply strictly with data minimization under the DPDP Act, 2023 and DigiLocker PPRL design decision: plaintext name, date of birth and parent name remain at each institution. Only encoded Bloom filters and keyed tokens are sent to the central matcher. This reduces central exposure but does not establish a claim of zero PII exposure across institutions.</w:t>
      </w:r>
    </w:p>
    <w:p>
      <w:r>
        <w:t>Specification v1.12/v1.13, the database never stores raw 12-digit Aadhaar numbers. The 12-digit APAAR ID is stored in two forms: an AES-256-GCM encrypted column (apaar_id_enc for authorized student/institutional view) and a deterministic blinded lookup index (apaar_hmac = HMAC_SHA256(apaar_id, KMS_PEPPER)) for O(1) exact deduplication. Every personal data field is explicitly justified in the relational schema below:</w:t>
      </w:r>
    </w:p>
    <w:p>
      <w:r>
        <w:t>| Entity / Table Name | Primary Key &amp; Core Columns | Constraints, Relationships &amp; Data</w:t>
      </w:r>
    </w:p>
    <w:p>
      <w:r>
        <w:t>Minimization Justification | | :--- | :--- | :--- | | institutions | id (UUID PK), aicte_pid (VARCHAR UNIQUE), aishe_code (VARCHAR UNIQUE(end_s pan)), name, state_code, inst_type (AFFILIATED, STANDALONE_PGDM, AUTONOMOUS, DEEMED, BBA_BCA_GENERAL), affiliating_univ, extended_eoa_until (INT) | Master institutional registry synced from AICTE EoA / ONOD. Tracks 3-year Extended EoA status to enforce annual student-upload gates. | | course_approvals | id (UUID PK), institution_id (FK), academic_year (VARCHAR), programme_level (UG, PG, DIPLOMA, PGDM), course_name, delivery_mode (PHYSICAL_FULL_TIME, ODL, ONLINE, WORKING_PROF_FLEX), shift (SHIFT_1_DAY, SHIFT_2_EVE), sanctioned_intake (INT), nri_approved (BOOL), fn_oci_ciwgc_approved (BOOL), twinning_approved (BOOL), loa_eoa_ref_no | Authoritative seat-capacity ledger per course and year. Directly mirrors the columns on AICTE's official Letter of Approval / Extension of Approval. | | student_identities | id (UUID PK), identity_track (DOMESTIC_APAAR, EXEMPT_FOREIGN_OCI), apaar_hmac (BYTEA UNIQUE NULLABLE), apaar_id_enc (BYTEA NULLABLE), digilocker_id (UUID NULLABLE), passport_country_hash (BYTEA NULLABLE), kyc_verification_status (VERIFIED_DIGILOCKER, PENDING_MISMATCH, UNVERIFIED_FORMAT, VERIFIED_PASSPORT_OCI), composite_bloom_filter (BIT(1024)), secondary_split_code (JSONB), is_minor (BOOL) | Data Minimization: Zero Aadhaar storage. Stores digilocker_id (36-char UUID per Spec v1.13), blinded apaar_hmac, and the 1024-bit Composite Bloom Filter + secondary split encoding (X_i, Y_i) for privacy-preserving cross-institution linkage. Central matching receives encoded filters and keyed tokens only; plaintext name, DOB and parent name remain at the institution. This reduces central exposure but does not guarantee zero PII exposure. | | student_enrolments | id (UUID PK), student_identity_id (FK), institution_id (FK), course_approval_id (FK), academic_year, entry_level (FIRST_YEAR, LATERAL_ENTRY_2ND_YR), seat_category (CAP_GENERAL, CAP_RESERVED, INST_MGMT, INST_NRI, SUP_TFWS, SUP_EWS, SUP_OCI_FN, SUP_CIWGC, SUP_PMSSS_JK), enrolment_status (STAGED, ACTIVE_LOCKED, DISCREPANCY_HOLD, WITHDRAWN, TRANSFERRED_OUT, GRADUATED), full_name_norm, dob (DATE), gender, parent_name_norm, mobile_hmac, univ_prn, admitted_at (DA(end_s pan)TE), version_no (INT), provenance_batch_id (FK) | Holds institutional working and locked enrolment records locally at the institution; plaintext name, DOB and parent name do not go to the central matcher. Justification of PII: full_name_norm, dob, gender, and parent_name_norm are mandatory APAAR/ABC matching parameters; mobile_hmac is computed from the full mobile number using a secret pepper; the 10,000-value space of last-four-digit tokens is avoided. HMAC collisions remain theoretically possible and must be handled as candidate matches, not proof of identity. | | enrolment_history | history_id (UUID PK), enrolment_id (FK), version_no, changed_fields (JSONB), reason_code (INITIAL_IMPORT, AADHAAR_NAME_CORRECTION, SPOT_ROUND_UPGRADE, MID_YEAR_WITHDRAWAL, UNIV_TRANSFER), actor_user_id, valid_from, valid_to | Append-only temporal table tracking all historical corrections, re-admissions, transfers, and withdrawals with full provenance. | | intake_reconciliations | id (UUID PK), course_approval_id (FK), batch_id (FK), si_approved, cap_admitted, mgmt_admitted, nri_admitted, tfws_admitted, ews_admitted, oci_fn_admitted, ciwgc_admitted, lateral_admitted, spillover_applied (JSONB), excess_count (INT), compliance_state (COMPLIANT, SPILLOVER_VALIDATED, ARITHMETIC_MISTAG_FLAG, CLAUSE_7_3_VIOLATION), projected_penalty_inr (NUMERIC) | Stores deterministic outputs of the M3 Intake Compiler, explicitly separating valid quota spillovers (e.g., CIWGC ↔ OCI/FN) from actionable excess admissions. | | cross_inst_discrepancies | id (UUID PK), student_identity_id (FK), enrolment_a_id (FK), enrolment_b_id (FK), match_method (EXACT_APAAR, PPRL_BLOOM_PROB), similarity_score (NUMERIC(4,3)), field_score_breakdown (JSONB), ugc_adjudication (PERMITTED_DUAL_MODE, PERMITTED_NON_OVERLAP_SHIFT, ILLEGAL_DUAL_PHYSICAL, ILLEGAL_TFWS_DUAL, STALE_TRANSFER_PENDING), resolution_status (OPEN, AUTO_CLEARED_UGC, RESOL(end_sp an)VED_WITHDRAWAL, ESCALATED_AICTE) | Manages intra- and cross-institution duplicate candidates and their policy-based UGC 2022/2025 concurrency adjudication. | | dpdp_consents | consent_id (UUID PK), student_identity_id (FK), is_parental_consent (BOOL), purpose_code (APAAR_LINK, EMPLOYER_VERIFY, SCHOLARSHIP_VERIFY), language_code (22 8th-Schedule langs), granted_at, expires_at, withdrawn_at (NULLABLE), consent_artifact_sig | Enforces DPDP Rules 2025 Rule 3 (itemized purpose, Indian language notice, withdrawal as easy as giving consent) and Rules 10–12 (verifiable parental consent for minors). | | audit_events | event_id (BIGSERIAL PK), occurred_at (TIMESTAMPTZ), actor_id, actor_role, action_type, target_entity, target_id, payload_hash (CHAR(64)), prev_event_hash (CHAR(64)), event_hmac (CHAR(64)) | Tamper-evident hash-chained audit ledger (event_hmac chains prev_event_hash) ensuring non-repudiation across all operations. | Important REST API Contracts (Versioned /api/v1/...)</w:t>
      </w:r>
    </w:p>
    <w:p>
      <w:pPr>
        <w:pStyle w:val="Heading1"/>
        <w:keepNext/>
      </w:pPr>
      <w:r>
        <w:t>1. Bulk Student Roster Ingestion and Pre-Commit Reconciliation (POST</w:t>
      </w:r>
    </w:p>
    <w:p>
      <w:r>
        <w:t>/api/v1/institutions/{aicte_pid}/enrolments/batches) This endpoint accepts institutional student admission batches, executes synchronous schema and LoA/EoA seat-matrix compilation, and triggers asynchronous cross-institution PPRL and UGC-2025 concurrency checks.</w:t>
      </w:r>
    </w:p>
    <w:p>
      <w:r>
        <w:t>Request Payload:</w:t>
      </w:r>
    </w:p>
    <w:p>
      <w:r>
        <w:t>{ "academic_year": "2026-27", "submission_type": "FINAL_ADMISSION_ROSTER", "records": [ { "row_num": 1, "course_code": "CE-UG-FT-S1", "entry_level": "FIRST_YEAR", "seat_category": "SUP_TFWS", "identity_track": "DOMESTIC_APAAR", "apaar_id": "999410394812", "digilocker_id": "9f8c2b10-44a1-4e92-81c0-112233445566", "full_name": "Aarav Rajesh Kulkarni", "dob": "2008-07-14", "gender": "M", "father_name": "Rajesh Kulkarni", "mother_name": "Sunita Kulkarni", "mobile_number": "[FULL_NUMBER_SUPPLIED_BY_INSTITUTION]", "admitted_at": "2026-08-19" }, { "row_num": 2, "course_code": "CE-UG-FT-S1", "entry_level": "FIRST_YEAR", "seat_category": "SUP_CIWGC", "identity_track": "EXEMPT_FOREIGN_OCI", "passport_no": "Z9982711", "nationality": "IND_GULF_NR", "gulf_worker_cert_ref": "embassy-uae-2026-991", "full_name": "Zaid Tariq Shaikh", "dob": "2008-11-03", "gender": "M", "father_name": "Tariq Shaikh", "admitted_at": "2026-08-22" } ] }</w:t>
      </w:r>
    </w:p>
    <w:p>
      <w:r>
        <w:t>Response Payload (202 Accepted / Reconciliation Summary):</w:t>
      </w:r>
    </w:p>
    <w:p>
      <w:r>
        <w:t>{ "batch_id": "b77e1200-91a4-4c00-b812-001928374655", "aicte_pid": "1-44464883934", "status": "RECONCILIATION_COMPLETED_WITH_HOLDS", "intake_reconciliation": { "course_code": "CE-UG-FT-S1", "sanctioned_intake": 120, "admitted_regular_total": 120, "nri_used": 3, "nri_unfilled_reverted_to_all_india": 2, "supernumerary_breakdown": { "tfws_cap": 6, "tfws_admitted": 6, "ews_cap": 12, "ews_admitted": 12, "fn_oci_ciwgc_total_cap": 18, "oci_fn_sub_cap": 12, "oci_fn_admitted": 10, "ciwgc_sub_cap": 6, "ciwgc_admitted": 8, "inter_bucket_spillover_applied": "2 vacant OCI/FN seats lawfully allocated to CIWGC per CAP Rule 7(5)(a)(ii)", "excess_admissions": 0, "compliance_verdict": "SPILLOVER_VALIDATED_COMPLIANT" } }, "identity_and_deduplication_summary": { "verified_apaar_count": 139, "exempt_foreign_oci_count": 18, "provisional_aadhaar_mismatch_count": 1, "identity_records_pending_intake_reconciliation": 2, "cross_institution_alerts": [ { "row_num": 1, "alert_id": "DISC-2026-9041", "match_method": "EXACT_APAAR_HMAC", "confidence": 1.000, "ugc_2025_adjudication": "ILLEGAL_DUAL_PHYSICAL_AND_TFWS_CONFLICT", "explanation": "Student is concurrently active in B.Tech IT (Physical Day Shift) at Institute [State: MH, District: Pune] under CAP General. TFWS seat (CAP Rule) prohibits course/institution transfer or concurrent physical holding.", "action_required": "TRANSFER_HANDSHAKE_OR_WITHDRAWAL_EVIDENCE_REQUIRED" } ] } }</w:t>
      </w:r>
    </w:p>
    <w:p>
      <w:pPr>
        <w:pStyle w:val="Heading1"/>
        <w:keepNext/>
      </w:pPr>
      <w:r>
        <w:t>2. DigiLocker Partner API v1.13 Adapter (POST /api/v1/integrations/digilocker/pull-uri)</w:t>
      </w:r>
    </w:p>
    <w:p>
      <w:r>
        <w:t>Aligned strictly with DigiLocker Issuer API Specification v1.13 (May 2024), where DigiLockerId (36-character UUID) is mandatory, DataContent embeds base64-encoded XML, and demographic fields are returned in DocDetails for DigiLocker-side KYC matching: &lt;PullURIResponse xmlns:ns2="http://tempuri.org/"&gt; &lt;ResponseStatus Status="1" ts="2026-10-24T10:56:00+05:30" txn="dl-txn-9928172" /&gt; &lt;DocDetails&gt; &lt;DocType&gt;AICTEER&lt;/DocType&gt; &lt;DigiLockerId&gt;9f8c2b10-44a1-4e92-81c0-112233445566&lt;/DigiLockerId&gt; &lt;UID&gt;&lt;/UID&gt; &lt;FullName&gt;Aarav Rajesh Kulkarni&lt;/FullName&gt; &lt;DOB&gt;14-07-2008&lt;/DOB&gt;</w:t>
      </w:r>
    </w:p>
    <w:p>
      <w:r>
        <w:t>&lt;Gender&gt;M&lt;/Gender&gt;</w:t>
      </w:r>
    </w:p>
    <w:p>
      <w:r>
        <w:t>&lt;DocId&gt;2026-144464883934-CE-0041&lt;/DocId&gt; &lt;IssuedOn&gt;24-10-2026&lt;/IssuedOn&gt; &lt;URI&gt;in.gov.aicte-AICTEER-2026-144464883934-CE-0041&lt;/URI&gt; &lt;DataContent&gt;PD94bWwgdmVyc2lvbj0iMS4wIj8+PEFpY3RlRW5yb2xtZW50UmVjb3JkIGFwY WFyPSJWZXJpZmllZCIgaW50YWtlU3RhdHVzPSJTYW5jdGlvbmVkIi8+&lt;/DataContent&gt; &lt;/DocDetails&gt; &lt;/PullURIResponse&gt;</w:t>
      </w:r>
    </w:p>
    <w:p>
      <w:pPr>
        <w:pStyle w:val="Heading1"/>
        <w:keepNext/>
      </w:pPr>
      <w:r>
        <w:t>3. W3C Verifiable Credential (SD-JWT) Selective Disclosure Verification (POST</w:t>
      </w:r>
    </w:p>
    <w:p>
      <w:r>
        <w:t>/api/v1/verify/presentation) Allows an external verifier (employer or scholarship agency) to verify a cryptographically signed enrolment presentation without accessing raw database PII: { "verifiable_presentation_sd_jwt": "eyJhbGciOiJFZERTQSIsInR5cCI6InZjK3NkLWp3dCJ9.eyJpc3MiOiJkaWQ6d2ViOnByYW1hY W4uYWljdGUtaW5kaWEub3JnIiwic3ViIjoiYXBhYXI6aG1hYzoxOWY4YTQiLCJfc2QiOlsiaDVrLT hsUSIsIm05cC1xMlciXSwiY25mIjp7Imp3ayI6eyJrdHkiOiJPS1AiLCJjcnYiOiJFZDI1NTE5In19fQ ~WyJzYWx0MSIsImNvdXJzZV9uYW1lIiwiQi5UZWNobm9sb2d5IENvbXB1dGVyIEVuZ2luZWVy aW5nIl0~WyJzYWx0MiIsImFpY3RlX2ludGFrZV9jb21wbGlhbnQiLHRydWVd~", "dpdp_consent_reference": "CONSENT-2026-88120", "verifier_purpose": "SCHOLARSHIP_DISBURSEMENT_CHECK", "verification_result": { "cryptographic_signature_valid": true, "issuer_did": "did:web:pramaan.aicte-india.org", "revocati(end_s pan)on_status": "ACTIVE_UNREVOKED", "disclosed_verified_claims": { "course_name": "B.Technology Computer Engineering", "academic_year": "2026-27", "aicte_intake_compliant": true, "apaar_kyc_anchored": true }, "withheld_private_claims_count": 5 } } F. Validation, Entity Resolution, and Anomaly Detection Rules To prevent false regulatory penalties against compliant institutions or students, validation rules in PRAMAAN-AICTE are partitioned into three operational classes. Deterministic Blocking Rules enforce hard mathematical and statutory invariants: schema formats, Verhoeff check digits, EoA boolean eligibility checks (such as rejecting an INST_NRI admission when nri_approved is false on the institution's EoA), and arithmetic intake bounds after accounting for all legal supernumerary and quota spillovers. Deterministic Policy-Adjudicated Rules evaluate confirmed cross-institution pairs against the UGC 2022/2025 mode and shift-timing compatibility matrix. Probabilistic and Statistical Rules encompass Secondary-Encoded Composite Bloom Filter + Jaro-Winkler entity resolution for unlinked or missing-APAAR records alongside Isolation Forest anomaly detection on sudden deadline upload spikes. No adverse regulatory penalty or record rejection is ever executed automatically from a probabilistic match alone.</w:t>
      </w:r>
    </w:p>
    <w:p>
      <w:r>
        <w:t>When comparing two student records R_A and R_B where at least one lacks a verified APAAR ID, the composite similarity score S(R_A, R_B) \in [0, 1] is computed over normalized Quasi-Identifiers (QIDs) as follows: S(R_A, R_B) = w_{\text{name}} \cdot \text{JW}_{\text{token}}(N_A, N_B) + w_{\text{dob}} \cdot \mathbb{I}(D_A = D_B) + w_{\text{parent}} \cdot \text{JW}(P_A, P_B) + w_{\text{mob}} \cdot \text{Dice}_{q}(M_A, M_B)</w:t>
      </w:r>
    </w:p>
    <w:p>
      <w:r>
        <w:t>Here, \text{JW}_{\text{token}}(N_A, N_B) is the token-sorted Jaro-Winkler similarity after stripping Indian honorifics (Kumari, Smt, Sri, Mohd) and applying phonetic normalization (handling transliteration shifts such as v ↔ w, sh ↔ s, and ee ↔ i), ensuring that word-order inversions ("Kulkarni Aarav Rajesh" vs. "Aarav Rajesh Kulkarni") do not penalize true matches. The indicator function \mathbb{I}(D_A = D_B) equals 1.0 for an exact Date of Birth match, 0.5 if day and month are transposed (07-08-2008 vs.</w:t>
      </w:r>
    </w:p>
    <w:p>
      <w:r>
        <w:t>08-07-2008), and 0.0 otherwise, with default weights set to w_{\text{name}} = 0.35, w_{\text{dob}} = 0.30, w_{\text{parent}} = 0.20, and w_{\text{mob}} = 0.15. Prior to pairwise scoring, each record's QIDs are tokenized into positional character bigrams Q' and hashed into an l=1024-bit Composite Bloom Filter B using k=10 double-hashing functions, which is partitioned into m=16 splits of 64 bits each to generate the secondary encoding vector \{(X_1, Y_1), \dots, (X_{16}, Y_{16})\} for privacy-preserving candidate blocking, where Bloom filter Dice similarity is defined as: \text{Dice}_{BF}(B_A, B_B) = \frac{2 × |B_A \wedge B_B|}{|B_A| + |B_B|} Core Pseudocode: Deterministic Seat-Matrix Compiler and UGC-2025</w:t>
      </w:r>
    </w:p>
    <w:p>
      <w:r>
        <w:t>Concurrency Adjudicator</w:t>
      </w:r>
    </w:p>
    <w:p>
      <w:r>
        <w:t>from dataclasses import dataclass from typing import Dict import math @dataclass class CourseApprovalMatrix: course_id: str sanctioned_intake: int # SI on AICTE LoA/EoA nri_approved: bool # Explicit boolean on EoA fn_oci_ciwgc_approved: bool # Explicit boolean on EoA delivery_mode: str # PHYSICAL_FULL_TIME | ODL | ONLINE | WORKING_PROF_FLEX shift: str # SHIFT_1_DAY | SHIFT_2_EVE annual_fee_inr: float course_duration_years: int first_year_unfilled_prev_yr: int = 0 def reconcile_course_intake(matrix: CourseApprovalMatrix, counts: Dict[str, int]) -&gt; Dict: """ Deterministic AICTE APH 2024-27 &amp; State CAP Seat-Matrix Compiler.</w:t>
      </w:r>
    </w:p>
    <w:p>
      <w:r>
        <w:t>Separates lawful quota spillovers from Clause 7.3(g) excess admissions. """ si = matrix.sanctioned_intake notes = [] violations = []</w:t>
      </w:r>
    </w:p>
    <w:p>
      <w:pPr>
        <w:pStyle w:val="Heading1"/>
        <w:keepNext/>
      </w:pPr>
      <w:r>
        <w:t>1. NRI Quota Check (Max 5% of SI within 20% Institute Quota; unfilled reverts to</w:t>
      </w:r>
    </w:p>
    <w:p>
      <w:r>
        <w:t>All-India/Mgmt)</w:t>
      </w:r>
    </w:p>
    <w:p>
      <w:r>
        <w:t>nri_cap = math.floor(0.05 * si) if matrix.nri_approved else 0 nri_admitted = counts.get("INST_NRI", 0) if nri_admitted &gt; 0 and not matrix.nri_approved: violations.append(f"UNAPPROVED_NRI_QUOTA: {nri_admitted} students admitted without EoA NRI approval.") elif nri_admitted &gt; nri_cap: violations.append(f"NRI_CAP_EXCEEDED: Admitted {nri_admitted} &gt; 5% cap ({nri_cap}).")</w:t>
      </w:r>
    </w:p>
    <w:p>
      <w:pPr>
        <w:pStyle w:val="Heading1"/>
        <w:keepNext/>
      </w:pPr>
      <w:r>
        <w:t>2. Regular Sanctioned Intake Check (CAP + Institute Mgmt + NRI &lt;= SI)</w:t>
      </w:r>
    </w:p>
    <w:p>
      <w:r>
        <w:t>regular_total = ( counts.get("CAP_GENERAL", 0) + counts.get("CAP_RESERVED", 0) + counts.get("INST_MGMT", 0) + nri_admitted ) excess_regular = max(0, regular_total - si)</w:t>
      </w:r>
    </w:p>
    <w:p>
      <w:pPr>
        <w:pStyle w:val="Heading1"/>
        <w:keepNext/>
      </w:pPr>
      <w:r>
        <w:t>3. Supernumerary TFWS (Max 5% of SI) &amp; EWS (Max 10% of SI)</w:t>
      </w:r>
    </w:p>
    <w:p>
      <w:r>
        <w:t>tfws_cap = math.floor(0.05 * si) ews_cap = math.floor(0.10 * si) excess_tfws = max(0,(end_sp an) counts.get("SUP_TFWS", 0) - tfws_cap) excess_ews = max(0, counts.get("SUP_EWS", 0) - ews_cap)</w:t>
      </w:r>
    </w:p>
    <w:p>
      <w:pPr>
        <w:pStyle w:val="Heading1"/>
        <w:keepNext/>
      </w:pPr>
      <w:r>
        <w:t>4. Supernumerary FN / OCI / PIO / CIWGC (Max 15% of SI: 2/3 OCI/FN, 1/3 CIWGC with</w:t>
      </w:r>
    </w:p>
    <w:p>
      <w:r>
        <w:t>bidirectional spillover) total_fn_cap = math.floor(0.15 * si) if matrix.fn_oci_ciwgc_approved else 0 ciwgc_sub_cap = math.floor(total_fn_cap / 3.0) oci_fn_sub_cap = total_fn_cap - ciwgc_sub_cap ciwgc_adm = counts.get("SUP_CIWGC", 0) oci_fn_adm = counts.get("SUP_OCI_FN", 0) combined_fn_adm = ciwgc_adm + oci_fn_adm excess_fn_total = 0 if combined_fn_adm &gt; 0 and not matrix.fn_oci_ciwgc_approved: violations.append("UNAPPROVED_FN_OCI_QUOTA: Admitted supernumerary foreign/gulf students without EoA approval.")</w:t>
      </w:r>
    </w:p>
    <w:p>
      <w:r>
        <w:t>excess_fn_total = combined_fn_adm elif combined_fn_adm &lt;= total_fn_cap: if ciwgc_adm &gt; ciwgc_sub_cap or oci_fn_adm &gt; oci_fn_sub_cap: notes.append( f"LAWFUL_INTER_BUCKET_SPILLOVER: CIWGC ({ciwgc_adm}/{ciwgc_sub_cap}) and " f"OCI/FN ({oci_fn_adm}/{oci_fn_sub_cap}) balanced within 15% total cap ({total_fn_cap})." )</w:t>
      </w:r>
    </w:p>
    <w:p>
      <w:r>
        <w:t>else: excess_fn_total = combined_fn_adm - total_fn_cap</w:t>
      </w:r>
    </w:p>
    <w:p>
      <w:pPr>
        <w:pStyle w:val="Heading1"/>
        <w:keepNext/>
      </w:pPr>
      <w:r>
        <w:t>5. Lateral Entry Direct Second Year (Max 10% of SI + Unfilled 1st Year Vacancies)</w:t>
      </w:r>
    </w:p>
    <w:p>
      <w:r>
        <w:t>lateral_cap = math.floor(0.10 * si) + matrix.first_year_unfilled_prev_yr excess_lateral = max(0, counts.get("LATERAL_2ND_YR", 0) - lateral_cap)</w:t>
      </w:r>
    </w:p>
    <w:p>
      <w:pPr>
        <w:pStyle w:val="Heading1"/>
        <w:keepNext/>
      </w:pPr>
      <w:r>
        <w:t>6. Total Excess &amp; APH 2024-27 Clause 7.3(g) Penalty Calculation (5x total course fee per</w:t>
      </w:r>
    </w:p>
    <w:p>
      <w:r>
        <w:t>excess student) total_excess = excess_regular + excess_tfws + excess_ews + excess_fn_total + excess_lateral penalty_inr = ( total_excess * 5.0 * matrix.annual_fee_inr * matrix.course_duration_years ) status = "COMPLIANT" if total_excess &gt; 0 or violations: status = "CLAUSE_7_3_VIOLATION" elif notes: status = "SPILLOVER_VALIDATED_COMPLIANT" return { "course_id": matrix.course_id, "status": status, "total_excess_seats": total_excess, "clause_7_3_g_penalty_inr": penalty_inr, "spillover_notes": notes, "violations": violations, } def adjudicate_cross_institution_concurrency(rec_a: Dict, rec_b: Dict, match_score: float) -&gt;</w:t>
      </w:r>
    </w:p>
    <w:p>
      <w:r>
        <w:t>Dict:</w:t>
      </w:r>
    </w:p>
    <w:p>
      <w:r>
        <w:t>""" Implements UGC 5 June 2025 / 13 April 2022 Simultaneous Programme Guidelines combined with AICTE TFWS / Quota Exclusivity Rules. """ if rec_a["status"] == "WITHDRAWN" or rec_b["status"] == "WITHDRAWN": return {"verdict": "RESOLVED_HISTORICAL_TRANSFER", "hold": False} if "PHD" in (rec_a["level"], rec_b["level"]): return {"verdict": "ILLEGAL_PHD_CONCURRENCY", "hold": True} if "SUP_TFWS" in (rec_a["seat_category"], rec_b["seat_category"]) and ( rec_a["delivery_mode"] == "PHYSICAL_FULL_TIME" and rec_b["delivery_mode"] == "PHYSICAL_FULL_TIME" ): return {"verdict": "QUOTA_FRAUD_TFWS_EXCLUSIVITY", "hold": True} modes = {rec_a["delivery_mode"], rec_b["delivery_mode"]} if modes in ( {"PHYSICAL_FULL_TIME", "ODL"}, {"PHYSICAL_FULL_TIME", "ONLINE"}, {"ODL"}, {"ONLINE"}, {"ODL", "ONLINE"}, ): return {"verdict": "PERMITTED_UGC_DUAL_MODE", "hold": False} if rec_a["delivery_mode"] == "PHYSICAL_FULL_TIME" and rec_b["delivery_mode"] == "PHYSICAL_FULL_TIME": same_district = rec_a["district_code"] == rec_b["district_code"] non_overlapping_shift = rec_a["shift"] != rec_b["shift"] if same_district and non_overlapping_shift: return { "verdict": "PERMITTED_NON_OVERLAPPING_PHYSICAL_SHIFTS", "hold": False, "audit_note": "Requires institutional timetable non-overlap declaration.", } return { "verdict": "ILLEGAL_OVERLAPPING_FULL_TIME_PHYSICAL", "hold": True if match_score &gt;= 0.92 else False, "review_queue": match_score &lt; 0.92, } return {"verdict": "MANUAL_REGULATORY_REVIEW", "hold": False, "review_queue": True}</w:t>
      </w:r>
    </w:p>
    <w:p>
      <w:pPr>
        <w:pStyle w:val="Heading1"/>
        <w:keepNext/>
      </w:pPr>
      <w:r>
        <w:t>13. Security, Privacy, and Regulatory Assessment</w:t>
      </w:r>
    </w:p>
    <w:p>
      <w:r>
        <w:t>G. Alignment with the DPDP Act, 2023 and Notified DPDP Rules, 2025 Legal interpretation correction: Rule 3 governs notices only. For statutory/State processing, assess Act §7 and Rule 5. The Fourth Schedule exemption for educational institutions is limited to qualifying core academic processing; third-party sharing with employers or scholarship providers requires verifiable consent, including verifiable parental consent where required for minors.</w:t>
      </w:r>
    </w:p>
    <w:p>
      <w:r>
        <w:t>A rigorous legal and technical analysis of the Digital Personal Data Protection Act, 2023 and the Digital Personal Data Protection Rules, 2025 (notified by MeitY in the Gazette of India on 13 November 2025) establishes the exact statutory commencement timelines and compliance architecture required for handling student personal data in India: Regulatory Provision Applicable Timeline &amp; Statutory Requirement PRAMAAN-AICTE</w:t>
      </w:r>
    </w:p>
    <w:p>
      <w:r>
        <w:t>Commencement Status Technical</w:t>
      </w:r>
    </w:p>
    <w:p>
      <w:r>
        <w:t>Implementation</w:t>
      </w:r>
    </w:p>
    <w:p>
      <w:r>
        <w:t>Phased Operational Notified 13 Nov 2025; Data Fiduciaries must Built natively into the Enforcement Window 18-month compliance deploy standalone prototype now (October (DPDP Rules, 2025 runway ending 13 May notices, DSAR 2026) so AICTE and Section 4 Timeline) 2027 (no grace period workflows, breach onboarded institutions after May 2027; minor reporting, and parental are designed to support compliance Regulatory Provision Applicable Timeline &amp; Statutory Requirement PRAMAAN-AICTE</w:t>
      </w:r>
    </w:p>
    <w:p>
      <w:r>
        <w:t>Commencement Status Technical</w:t>
      </w:r>
    </w:p>
    <w:p>
      <w:r>
        <w:t>Implementation</w:t>
      </w:r>
    </w:p>
    <w:p>
      <w:r>
        <w:t>consent systems consent verification seven months ahead of targeted by Month 14 / before the 18-month the 13 May 2027 Jan 2027). deadline. statutory cutoff. Standalone, Itemized, Mandatory by 13 May Notices must be Separate consent Plain-Language 2027. standalone, written in toggles for (1) Statutory Consent Notices plain non-legal AICTE Intake (DPDP Rule 3) language, itemized per Reporting, (2)</w:t>
      </w:r>
    </w:p>
    <w:p>
      <w:r>
        <w:t>processing purpose (no ABC/DigiLocker Sync, bundled consent), and (3) Third-Party translated into all 22 Employer/Scholarship Eighth Schedule Verification, rendered Indian languages, and via an i18n JSON allow consent bundle supporting 22 withdrawal in two clicks Indian languages and a if granted in two clicks. two-click Revoke Verifier Access control.</w:t>
      </w:r>
    </w:p>
    <w:p>
      <w:r>
        <w:t>Lawful Basis: Act §7 and Rule 5 cover Regulatory intake Separates statutory Statutory Function vs. DPDP Act 2023. verification under the regulatory auditing Consent (DPDP Act AICTE Act, 1987 falls (which an institution or §7 and Rule 5) under legitimate student cannot opt out state/statutory function, of while claiming an whereas sharing AICTE-approved seat)</w:t>
      </w:r>
    </w:p>
    <w:p>
      <w:r>
        <w:t>verified credentials with from optional third-party private employers verification (which is requires explicit Data strictly consent-gated). Principal consent. Children's Data &amp; Targeted by Month 14 Many first-year Diploma Automatically computes Verifiable Parental (Jan 2027) / Mandatory (post-Class 10, aged age from dob at Consent (DPDP Rules 13 May 2027. 15–17) and first-year ingestion; if age &lt; 18, 10–12) UG students are minors flags is_minor = TRUE under 18. Verifiable and triggers an parental consent is Aadhaar-linked mandatory for any DigiLocker parent OTP processing outside consent workflow narrow statutory before enabling educational external third-party exemptions. credential sharing.</w:t>
      </w:r>
    </w:p>
    <w:p>
      <w:r>
        <w:t>Security Safeguards Mandatory by 13 May Encryption at TLS 1.3 in transit, &amp; 72-Hour Breach 2027. rest/transit, access AES-256-GCM Notification (DPDP logs, and mandatory envelope encryption for Rules 6 &amp; 7) notification to the Data apaar_id_enc, zero raw Protection Board and Aadhaar storage, affected Data Principals automated anomaly within 72 hours of any rate-limiting, and a Regulatory Provision Applicable Timeline &amp; Statutory Requirement PRAMAAN-AICTE</w:t>
      </w:r>
    </w:p>
    <w:p>
      <w:r>
        <w:t>Commencement Status Technical</w:t>
      </w:r>
    </w:p>
    <w:p>
      <w:r>
        <w:t>Implementation</w:t>
      </w:r>
    </w:p>
    <w:p>
      <w:r>
        <w:t>personal data breach. built-in 72h Breach</w:t>
      </w:r>
    </w:p>
    <w:p>
      <w:r>
        <w:t>Incident Dispatch</w:t>
      </w:r>
    </w:p>
    <w:p>
      <w:r>
        <w:t>workflow. Data Retention, Mandatory by 13 May Right to correction of Automated Celery cron Correction &amp; Erasure 2027. inaccurate data; job purges rejected or unverified staging abandoned staging records or expired uploads. A 48-hour third-party verification erasure notice is a caches must be purged voluntary design choice, as applicable. not a Rule 8 obligation.</w:t>
      </w:r>
    </w:p>
    <w:p>
      <w:r>
        <w:t>While PRAMAAN-AICTE's architecture implements these statutory safeguards by design, the hackathon prototype does not claim to be a government-certified Significant Data Fiduciary or an onboarded production API Setu partner, and strictly utilizes synthetic student datasets during demonstration.</w:t>
      </w:r>
    </w:p>
    <w:p>
      <w:pPr>
        <w:pStyle w:val="Heading1"/>
        <w:keepNext/>
      </w:pPr>
      <w:r>
        <w:t>14. Prototype Implementation and Milestone Plan</w:t>
      </w:r>
    </w:p>
    <w:p>
      <w:r>
        <w:t>H. Separation of Prototype Scope Under SIH Constraints To ensure maximum demonstration reliability and transparency before an SIH evaluation panel, the implementation scope is partitioned into three explicit tiers: Scope Tier Components Included Execution Mode in SIH</w:t>
      </w:r>
    </w:p>
    <w:p>
      <w:r>
        <w:t>Prototype</w:t>
      </w:r>
    </w:p>
    <w:p>
      <w:pPr>
        <w:pStyle w:val="Heading1"/>
        <w:keepNext/>
      </w:pPr>
      <w:r>
        <w:t>1. Core Prototype (Works • Institutional CSV/XLSX bulk 100% Real, Live Execution on</w:t>
      </w:r>
    </w:p>
    <w:p>
      <w:r>
        <w:t>100% End-to-End Live) upload with streaming schema PostgreSQL 16 + FastAPI + validation. • M3 Deterministic React/TypeScript using a Intake &amp; Supernumerary 10,500-row realistic synthetic Compiler (enforcing SI, 5% dataset across 12 simulated NRI, 5% TFWS, 10% EWS, AICTE institutions. 15% FN/OCI/CIWGC 1/3 &amp; 2/3 spillover, 10% Lateral Entry, and Clause 7.3(g) 5x-fee penalty math). • M4 Two-Stage</w:t>
      </w:r>
    </w:p>
    <w:p>
      <w:r>
        <w:t>Hybrid Entity Resolution</w:t>
      </w:r>
    </w:p>
    <w:p>
      <w:r>
        <w:t>(Exact APAAR HMAC + 1024-bit Composite Bloom Filter secondary encoding + Jaro-Winkler fuzzy matching). • M5 UGC-2025 Concurrency</w:t>
      </w:r>
    </w:p>
    <w:p>
      <w:r>
        <w:t>Adjudicator (Physical+Online</w:t>
      </w:r>
    </w:p>
    <w:p>
      <w:r>
        <w:t>vs. Dual Physical Overlap vs. TFWS Conflict). • M6 W3C Scope Tier Components Included Execution Mode in SIH</w:t>
      </w:r>
    </w:p>
    <w:p>
      <w:r>
        <w:t>Prototype</w:t>
      </w:r>
    </w:p>
    <w:p>
      <w:r>
        <w:t>SD-JWT Verifiable Enrolment Issuer &amp; QR</w:t>
      </w:r>
    </w:p>
    <w:p>
      <w:r>
        <w:t>Selective-Disclosure Verifier.</w:t>
      </w:r>
    </w:p>
    <w:p>
      <w:r>
        <w:t>• M8 SHA-256 Hash-Chained Audit Ledger &amp; DPDP Rule 3 Consent UI.</w:t>
      </w:r>
    </w:p>
    <w:p>
      <w:pPr>
        <w:pStyle w:val="Heading1"/>
        <w:keepNext/>
      </w:pPr>
      <w:r>
        <w:t>2. Extended Prototype • Isolation Forest Enrolment Functional End-to-End in the</w:t>
      </w:r>
    </w:p>
    <w:p>
      <w:r>
        <w:t>(Included for High Jury Anomaly Detector (catching prototype UI and backend API. Impact) sudden 11:59 PM deadline upload spikes or demographic cloning). • One-Click</w:t>
      </w:r>
    </w:p>
    <w:p>
      <w:r>
        <w:t>Inter-Institutional Transfer</w:t>
      </w:r>
    </w:p>
    <w:p>
      <w:r>
        <w:t>Handshake (resolving CAP-to-Spot-Round stale CSV collisions between two college nodal officers). • One-Click ONOD / AISHE / NIRF Reconciled JSON/XML</w:t>
      </w:r>
    </w:p>
    <w:p>
      <w:r>
        <w:t>Export Bundle. • Offline</w:t>
      </w:r>
    </w:p>
    <w:p>
      <w:r>
        <w:t>DigiLocker Signed-XML</w:t>
      </w:r>
    </w:p>
    <w:p>
      <w:r>
        <w:t>Artifact Verifier.</w:t>
      </w:r>
    </w:p>
    <w:p>
      <w:pPr>
        <w:pStyle w:val="Heading1"/>
        <w:keepNext/>
      </w:pPr>
      <w:r>
        <w:t>3. Future Production • Live production connection to Implemented via clean</w:t>
      </w:r>
    </w:p>
    <w:p>
      <w:r>
        <w:t>Integration (Adapter-Mocked) MeitY API Setu Hexagonal Adapter Interfaces (partners.apisetu.gov.in). • connected to a Sandbox Mock Live write-back to AICTE's Server that faithfully replicates internal ONOD Education Data DigiLocker Issuer Spec v1.13 Lake and UIDAI e-KYC. XML/JSON packets and realistic network latencies.</w:t>
      </w:r>
    </w:p>
    <w:p>
      <w:r>
        <w:t>Development Milestone Plan, Repository Structure, and Team</w:t>
      </w:r>
    </w:p>
    <w:p>
      <w:r>
        <w:t>Responsibilities</w:t>
      </w:r>
    </w:p>
    <w:p>
      <w:r>
        <w:t>The monorepo (pramaan-aicte/) is organized into five clean packages mapped directly to a six-member engineering team across a 36-hour / 5-milestone sprint schedule:</w:t>
      </w:r>
    </w:p>
    <w:p>
      <w:r>
        <w:t>Milestone &amp; Timeline Deliverable Focus Responsible Team Verification Gate</w:t>
      </w:r>
    </w:p>
    <w:p>
      <w:r>
        <w:t>Roles &amp; Repository</w:t>
      </w:r>
    </w:p>
    <w:p>
      <w:r>
        <w:t>Modules</w:t>
      </w:r>
    </w:p>
    <w:p>
      <w:r>
        <w:t>Phase M1: Schema, PostgreSQL 16 Member 3 (Backend Database migrations Synthetic Seed &amp; EoA schema, Row-Level Architect): pass; 12 LoA/EoA Registry (Hours 0–6) Security, SHA-256 services/api-core/db/ matrices seeded with audit trigger, and Member 4 (Policy NRI/FN/Extended-EoA 10,500-row synthetic Engineer): flags.</w:t>
      </w:r>
    </w:p>
    <w:p>
      <w:r>
        <w:t>data generator across scripts/generate_sih_sy</w:t>
      </w:r>
    </w:p>
    <w:p>
      <w:pPr>
        <w:pStyle w:val="Heading2"/>
      </w:pPr>
      <w:r>
        <w:t>12 AICTE institutions. nthetic_data.py</w:t>
      </w:r>
    </w:p>
    <w:p>
      <w:r>
        <w:t>Phase M2: Intake M2 ingestion pipeline, Member 4 (Policy Unit tests TS-01 Compiler &amp; DigiLocker v1.13 Mock Engineer): through TS-08 pass</w:t>
      </w:r>
    </w:p>
    <w:p>
      <w:r>
        <w:t>Milestone &amp; Timeline Deliverable Focus Responsible Team Verification Gate</w:t>
      </w:r>
    </w:p>
    <w:p>
      <w:r>
        <w:t>Roles &amp; Repository</w:t>
      </w:r>
    </w:p>
    <w:p>
      <w:r>
        <w:t>Modules</w:t>
      </w:r>
    </w:p>
    <w:p>
      <w:r>
        <w:t>Dual-Track APAAR Partner Server, and M3 packages/reconciliat[sp with 100% deterministic Gate (Hours 6–14) Deterministic an_293][sp accuracy. Seat-Matrix &amp; an_293][spa Supernumerary n_302][spa Spillover Compiler. n_302]ion-e ngine/ Member 3</w:t>
      </w:r>
    </w:p>
    <w:p>
      <w:r>
        <w:t>(Backend Architect):</w:t>
      </w:r>
    </w:p>
    <w:p>
      <w:r>
        <w:t>services/api-core/adapt ers/digilocker_v113[spa n_79].py Phase M3: Two-Stage 1024-bit Composite Member 5 (Data Unit tests TS-09 Bloom PPRL &amp; Bloom Filter encoder, Science / ER through TS-14 pass; UGC-2025 Engine secondary split Engineer): 10,000-row PPRL (Hours 14–22) blocking (X_i, packages/pprl-matcher/ benchmark completes Y(start_spa Member 4 (Policy in &lt; 4.5s.</w:t>
      </w:r>
    </w:p>
    <w:p>
      <w:r>
        <w:t>n)(end_span Engineer): )(start_span packages/reconciliation ) -engine/ugc_concurren _i), RapidFuzz cy.py Jaro-Winkler scorer, and UGC-2025</w:t>
      </w:r>
    </w:p>
    <w:p>
      <w:r>
        <w:t>Concurrency</w:t>
      </w:r>
    </w:p>
    <w:p>
      <w:r>
        <w:t>Adjudicator.</w:t>
      </w:r>
    </w:p>
    <w:p>
      <w:r>
        <w:t>Phase M4: W3C Ed25519 W3C SD-JWT Member 6 End-to-end QR SD-JWT Crypto &amp; issuer/verifier, QR (Security/Crypto selective disclosure React Workbenches generator, DPDP Rule Engineer): (TS-15) verifies in &lt; (Hours 22–30) 3/10 consent UI, packages/vc-crypto/ 20ms; virtualized table Institute Nodal Members 1 &amp; 2 renders 5,000 rows at Workbench, and AICTE (Frontend Engineers): 60 FPS.</w:t>
      </w:r>
    </w:p>
    <w:p>
      <w:r>
        <w:t>Regulator Heatmap. apps/web-portal/ Phase M5: Integration Containerized Docker All 6 Members Zero unhandled Stress-Test &amp; Jury Compose deployment, (docker-compose.yml, exceptions under Split-Screen Pytest benchmark pytest --benchmark) simulated API Setu Rehearsal (Hours report generation, and outage fallback.</w:t>
      </w:r>
    </w:p>
    <w:p>
      <w:r>
        <w:t>30–36) 3-window split-screen live rehearsal.</w:t>
      </w:r>
    </w:p>
    <w:p>
      <w:pPr>
        <w:pStyle w:val="Heading1"/>
        <w:keepNext/>
      </w:pPr>
      <w:r>
        <w:t>15. Synthetic Dataset Design and Testing Strategy</w:t>
      </w:r>
    </w:p>
    <w:p>
      <w:r>
        <w:t>I. Realistic Synthetic Cohort Construction and Fifteen Verification</w:t>
      </w:r>
    </w:p>
    <w:p>
      <w:r>
        <w:t>Scenarios</w:t>
      </w:r>
    </w:p>
    <w:p>
      <w:r>
        <w:t>To validate the platform without touching real citizen PII, the synthetic dataset generator (scripts/generate_sih_synthetic_data.py) constructs 10,500 realistic student enrolment records distributed across 12 simulated AICTE-approved institutions—comprising Affiliated Engineering and Pharmacy Colleges in Maharashtra and Karnataka, a Standalone PGDM Institute in Delhi, an Autonomous Technological University, an AICTE/UGC-approved ODL/Online Management Institute, and a newly onboarded BBA/BCA General Degree College.</w:t>
      </w:r>
    </w:p>
    <w:p>
      <w:r>
        <w:t>All synthetic APAAR identifiers use a dedicated sandbox prefix (999... with valid Verhoeff check digits) so they cannot be confused with production government credentials. The testing strategy executes automated unit, integration, and adversarial tests (pytest) across fifteen comprehensive regulatory scenarios: | Test ID | Scenario Name | Input Condition in Synthetic Dataset | Expected Deterministic / Probabilistic Output | | :--- | :--- | :--- | :--- | | TS-01 | Clean Domestic APAAR Enrolment | Valid 12-digit sandbox APAAR, DigiLocker v1.13 Status="1" match, within 80% CAP intake. | Status ACTIVE_LOCKED; VERIFIED_DIGILOCKER; seat deducted from CAP_GENERAL. | | TS-02 | CIWGC ↔ OCI/FN Lawful Supernumerary Spillover | Course SI = 120 (15% cap = 18: 6 CIWGC, 12 OCI/FN). Institute uploads 9 CIWGC and 8 OCI/FN (Total = 17 ≤ 18). | SPILLOVER_VALIDATED_COMPLIANT; auto-transfers 3 vacant OCI/FN slots to CIWGC per CAP Rule 7(5)(a)(ii). | | TS-03 | NRI Unfilled Vacancy Reversion to All-India Quota | Course SI = 60 (5% NRI cap = 3). Only 1 NRI admitted; 2 remaining seats filled by All-India merit candidates. | SPILLOVER_VALIDATED_COMPLIANT; total regular seats = 60 ≤ SI; zero penalty. | | TS-04 | Unapproved NRI / Foreign Quota Injection | Institute uploads 2 NRI students for a course where LoA/EoA has nri_approved = FALSE. | Hard block: UNAPPROVED_NRI_QUOTA; batch lock disabled until corrected. | | TS-05 | Clause 7.3(g) Excess Admission &amp; 5x Fee Penalty Calculation | Standalone PGDM institute (SI = 180, annual fee = ₹4,00,000, duration = 2 yrs)</w:t>
      </w:r>
    </w:p>
    <w:p>
      <w:r>
        <w:t>uploads 184 regular students. | Flags 4 Excess Seats; computes exact statutory penalty = 4 × 5 × 8,00,000 = \text{₹1,60,00,000} under APH Clause 7.3(g). | | TS-06 | Lateral Entry Direct Second Year Carry-Forward | Course SI = 120 (10% Lateral = 12) + 5 unfilled 1st-year vacancies from previous year; institute uploads 16 lateral entry students. | COMPLIANT (16 ≤ 12 + 5 = 17); verified against previous year's locked cohort. | | TS-07 | Foreign National (FN) Without APAAR / Aadhaar | Nepalese/African student admitted under SUP_OCI_FN with valid Passport &amp; Visa ref, apaar_id = NULL. | Routes to EXEMPT_FOREIGN_OCI track; passes validation without false "missing APAAR" error. | | TS-08 | Aadhaar-Academic Name Spelling Mismatch | Student "Mohammed Kaif Ansari" vs. Aadhaar "Mohd Kaif Ansari" causes APAAR generation error. | Places student in PROVISIONAL_MISMATCH_QUEUE (30-day timer); generates pre-filled Aadhaar/UDISE correction ticket. | | TS-09 | Lawful UGC Dual Degree (Physical B.Tech + Online BBA) | Same APAAR ID enrolled in full-time B.Tech (Pune) and Online BBA (AICTE-approved ODL/Online HEI). | M5 Adjudicator marks PERMITTED_UGC_DUAL_MODE; neither institute is penalized. | | TS-10 | Lawful Dual Physical Programmes (Non-Overlapping Shifts) | Same APAAR ID in Day-Shift Degree (08:00–14:00) and Evening-Shift Diploma (17:30–21:00) in the same district. | Marks PERMITTED_NON_OVERLAPPING_PHYSICAL_SHIFTS subject to timetable non-overlap declaration. | | TS-11 | Illegal Dual Full-Time Physical Enrolment Across Cities | Same APAAR ID enrolled in full-time Day-Shift B.Tech in Mumbai and full-time Day-Shift B.Pharm in Nagpur. | Locks both rows in DISCREPANCY_HOLD (ILLEGAL_OVERLAPPING_FULL_TIME_PHYSICAL); triggers 7-day student/nodal confirmation. | | TS-12 | Hidden Cross-College Duplicate (Missing APAAR Caught by Bloom PPRL) | Student enrolled in College A with APAAR, and in College B under Management Quota with apaar_id = PENDING and inverted name "Kulkarni Aarav R.". | Stage-2 Composite Bloom Filter + Token Jaro-Winkler scores 0.94 (AUTO_MATCH); uncovers hidden cross-college duplicate without exposing College A's roster to College B. | | TS-13 | CAP-to-Spot-Round Stale CSV Collision | Student upgraded from College A to College B in Spot Round, but College A forgot to remove student from its CSV. | College B initiates One-Click Transfer Handshake; College A clicks Confirm Withdrawal; discrepancy resolves in 10 seconds. | | TS-14 | TFWS Non-Transferability &amp; Exclusivity Violation | Student admitted under 5% SUP_TFWS attempts mid-course institution/branch switch or concurrent physical seat. | Blocked deterministically citing State CAP / AICTE TFWS non-transferability clause. | | TS-15 | W3C SD-JWT Selective Disclosure &amp; DPDP Minor Guard | 17-year-old Diploma student attempts to share enrolment credential with a third-party company without parental consent. | Blocked by DPDP Rule 10–12 Minor Guard until parent OTP consent is logged; once granted, SD-JWT reveals only course and aicte_compliant while hiding dob and category. |</w:t>
      </w:r>
    </w:p>
    <w:p>
      <w:pPr>
        <w:pStyle w:val="Heading1"/>
        <w:keepNext/>
      </w:pPr>
      <w:r>
        <w:t>16. Impact Metrics and Evaluation Method</w:t>
      </w:r>
    </w:p>
    <w:p>
      <w:r>
        <w:t>J. Quantitative Benchmark Design and Evaluation Formulas To evaluate the platform scientifically without fabricating unmeasured government outcomes, an automated benchmark experiment (pytest --benchmark) is defined over the 10,500-record labelled synthetic cohort containing 400 ground-truth cross-institution duplicate pairs (in which 80% possess linked APAAR IDs and 20% lack APAAR IDs due to Aadhaar demographic mismatches or spot-round delays, combined with transliteration typos and name-order inversions).</w:t>
      </w:r>
    </w:p>
    <w:p>
      <w:r>
        <w:t>Evaluation Metric Mathematical Formula / Measurement Method Benchmark Target</w:t>
      </w:r>
    </w:p>
    <w:p>
      <w:r>
        <w:t>Definition on 10,500-Row Test Hypothesis</w:t>
      </w:r>
    </w:p>
    <w:p>
      <w:r>
        <w:t>Suite</w:t>
      </w:r>
    </w:p>
    <w:p>
      <w:r>
        <w:t>Duplicate Detection P = \frac{TP}{TP + FP}, Evaluated against 400 Target on self-generated synthetic data: P ≥ 0.970, R ≥ Precision (P), Recall \quad R = \frac{TP}{TP labelled cross-institute 0.960, F_1 ≥ 0.965 (R), and F_1 Score + FN}, \quad F_1 = duplicate pairs (80% (vs. R = 0.800 for \frac{2PR}{P + R} with APAAR, 20% with exact-ID-only missing/pending matching).</w:t>
      </w:r>
    </w:p>
    <w:p>
      <w:r>
        <w:t>APAAR + typos/name-order inversions). UGC Concurrency \text{FAR}_{\text{UGC}} Tested on 150 injected 0.0\% (Deterministic False-Accusation = \frac{\text{Lawful lawful Physical + policy matrix clears Rate Dual Degrees Flagged Online/ODL and 100% of valid as Fraud}}{\text{Total Non-Overlapping Shift dual-mode Lawful Dual Degrees}} pairs. combinations).</w:t>
      </w:r>
    </w:p>
    <w:p>
      <w:r>
        <w:t>Intake &amp; \frac{\te(start Tested across all 15 100.0\% deterministic Supernumerary _span)(end_ test scenarios (TS-01 accuracy on arithmetic Discrepancy Recall span)(start_ to and quota-bound span)(end_s TS(start_sp violations. pan)xt{Detected Intake an)(end_spa / Quota n)(start_spa Violations}}{\text{Total n)(end_span</w:t>
      </w:r>
    </w:p>
    <w:p>
      <w:r>
        <w:t>Evaluation Metric Mathematical Formula / Measurement Method Benchmark Target</w:t>
      </w:r>
    </w:p>
    <w:p>
      <w:r>
        <w:t>Definition on 10,500-Row Test Hypothesis</w:t>
      </w:r>
    </w:p>
    <w:p>
      <w:r>
        <w:t>Suite</w:t>
      </w:r>
    </w:p>
    <w:p>
      <w:r>
        <w:t>Injected Violations}} )-15), including 1/3 CIWGC ↔ 2/3 OCI/FN spillovers and Clause 7.3(g) excess seats. Batch Ingestion &amp; Wall-clock time Measured via FastAPI &lt; 4.5 \text{ PPRL Throughput (seconds) from CSV + Celery worker timer seco(start_ upload to reconciled on a 10,000-row upload span)(end_ dashboard readiness. blocked by Secondary span)nds} for 10,000 Split Encoding (X_i, rows (secondary Y_i). encoding reduces pairwise comparisons by &gt; 94\%).</w:t>
      </w:r>
    </w:p>
    <w:p>
      <w:r>
        <w:t>W3C SD-JWT Round-trip Measured across 1,000 &lt; 20 Verification Latency cryptographic signature concurrent verification \tex(start_s &amp; revocation check requests against local pan)(end_s latency (ms). Ed25519 JWKS vs. pan)t{ ms} (&gt; 50× Ethereum Sepolia faster than baseline (1.02–1.63s in blockchain-based VeriZKP). credential verification with zero gas fees).</w:t>
      </w:r>
    </w:p>
    <w:p>
      <w:pPr>
        <w:pStyle w:val="Heading1"/>
        <w:keepNext/>
      </w:pPr>
      <w:r>
        <w:t>17. SIH Demonstration Plan</w:t>
      </w:r>
    </w:p>
    <w:p>
      <w:r>
        <w:t>K. The Five-Minute Live Jury Demonstration Script</w:t>
      </w:r>
    </w:p>
    <w:p>
      <w:r>
        <w:t>The single most compelling live demonstration proving that PRAMAAN-AICTE is far more than a form-submission CRUD portal is a real-time, three-window split-screen simulation in which Window 1 (Institute A: Affiliated Engineering College in Pune), Window 2 (Institute B: Online Management Institute &amp; Nagpur Pharmacy College), and Window 3 (AICTE Regional Officer Compliance Command Center) interact live over a dirty 2,500-row admission batch.</w:t>
      </w:r>
    </w:p>
    <w:p>
      <w:r>
        <w:t>During Minutes 0:00 to 1:15 (The Dirty Upload and Instant LoA/EoA Seat-Matrix Compiler), the presenter acting as Institute A's Nodal Officer drags and drops a 2,500-row Excel file modelled on AICTE's PGDM/Technical bulk-import template. Within two seconds, the M3 Deterministic Intake Compiler renders a visual Sanctioned-versus-Admitted Seat Waterfall.</w:t>
      </w:r>
    </w:p>
    <w:p>
      <w:r>
        <w:t>Rather than throwing a naive error on the 15% supernumerary quota, the compiler automatically approves 8 CIWGC and 10 OCI/FN students against the 18-seat supernumerary cap by executing the 1/3 CIWGC and 2/3 OCI/FN inter-bucket vacancy spillover rule. Simultaneously, it hard-blocks 4 excess regular admissions in B.Tech Computer Engineering, displaying the exact APH 2024–2027 Clause 7.3(g) statutory penalty calculation (₹1,60,00,000 = 4 × 5 × ₹8,00,000) and locking the institution's annual EoA download token.</w:t>
      </w:r>
    </w:p>
    <w:p>
      <w:r>
        <w:t>During Minutes 1:15 to 2:45 (Uncovering Hidden Cross-Institute Duplicates via Bloom PPRL and the UGC-2025 Matrix), the presenter opens the Cross-Institution Discrepancy Queue to highlight two detected collisions. In Collision #1, student Aarav Kulkarni (with a verified APAAR ID) appears in both Institute A (B.Tech Physical Full-Time) and Institute B (BBA Online Mode). The M5 UGC-2025 Concurrency Adjudicator automatically badges this pair green as PERMITTED_UGC_DUAL_MODE (5 June 2025 Notification) with zero human friction.</w:t>
      </w:r>
    </w:p>
    <w:p>
      <w:r>
        <w:t>In Collision #2, student Rohan Deshmukh was uploaded at Institute A with his APAAR ID, and simultaneously uploaded at the Nagpur college under Management Quota with apaar_id = BLANK and an inverted name "Deshmukh Rohan S.". The Stage-2 Composite Bloom Filter + Token Jaro-Winkler Engine catches the hidden duplicate at 0.942 confidence while the presenter shows the PostgreSQL view—proving that neither college can see the other's student list. Because both enrolments are PHYSICAL_FULL_TIME (Day Shift) in different cities, the system locks both seats in red (ILL EGAL_OVERLAPPING_FULL_TIME_PHYSICAL).</w:t>
      </w:r>
    </w:p>
    <w:p>
      <w:r>
        <w:t>During Minutes 2:45 to 3:45 (One-Click CAP-to-Spot Transfer Handshake), for a third student flagged due to a stale CSV after upgrading from Institute A to Institute B in the Spot Round, Institute A clicks Approve Spot-Round Release in Window 1, which instantaneously clears Institute B's hold in Window 2 and appends a SHA-256 hash-chained block to the audit ledger. Finally, during Minutes 3:45 to 5:00 (Live W3C SD-JWT Selective-Disclosure QR Verification), a juror scans a student's W3C Verifiable Enrolment QR code with their smartphone. The verifier page cryptographically confirms AICTE Approved Seat: TRUE and APAAR KYC Verified: TRUE in 18 milliseconds while keeping Caste Category, TFWS Status, and Date of Birth cryptographically masked under DPDP Rule 3.</w:t>
      </w:r>
    </w:p>
    <w:p>
      <w:pPr>
        <w:pStyle w:val="Heading1"/>
        <w:keepNext/>
      </w:pPr>
      <w:r>
        <w:t>18. Difficult Jury Questions with Defensible Answers</w:t>
      </w:r>
    </w:p>
    <w:p>
      <w:r>
        <w:t>L. Evidence-Backed Responses to Eighteen Critical Evaluator</w:t>
      </w:r>
    </w:p>
    <w:p>
      <w:r>
        <w:t>Questions</w:t>
      </w:r>
    </w:p>
    <w:p>
      <w:r>
        <w:t>Jury Question Evidence-Backed Candid Limitation &amp;</w:t>
      </w:r>
    </w:p>
    <w:p>
      <w:r>
        <w:t>Answer Prototype vs.</w:t>
      </w:r>
    </w:p>
    <w:p>
      <w:r>
        <w:t>Production Distinction</w:t>
      </w:r>
    </w:p>
    <w:p>
      <w:pPr>
        <w:pStyle w:val="Heading2"/>
      </w:pPr>
      <w:r>
        <w:t>1 APAAR already APAAR Limitation:</w:t>
      </w:r>
    </w:p>
    <w:p>
      <w:r>
        <w:t>exists. Why do we (apaar.education.gov.in PRAMAAN-AICTE need this solution? ) is a 12-digit lifelong does not issue APAAR student identity registry IDs. Prototype vs. generated via UDISE+ Production: The and Aadhaar e-KYC. It prototype consumes has zero awareness of APAAR as the identity AICTE's course-wise anchor and builds the LoA/EoA Sanctioned missing regulatory Intake, 15% seat-reconciliation and FN/OCI/CIWGC concurrency layer on supernumerary top of it.</w:t>
      </w:r>
    </w:p>
    <w:p>
      <w:r>
        <w:t>sub-caps, 5% TFWS exclusivity, or APH</w:t>
      </w:r>
    </w:p>
    <w:p>
      <w:r>
        <w:t>2024–2027 Clause 7.3</w:t>
      </w:r>
    </w:p>
    <w:p>
      <w:r>
        <w:t>excess-admission penalties.</w:t>
      </w:r>
    </w:p>
    <w:p>
      <w:r>
        <w:t>Jury Question Evidence-Backed Candid Limitation &amp;</w:t>
      </w:r>
    </w:p>
    <w:p>
      <w:r>
        <w:t>Answer Prototype vs.</w:t>
      </w:r>
    </w:p>
    <w:p>
      <w:r>
        <w:t>Production Distinction</w:t>
      </w:r>
    </w:p>
    <w:p>
      <w:pPr>
        <w:pStyle w:val="Heading2"/>
      </w:pPr>
      <w:r>
        <w:t>2 DigiLocker and NAD NAD-DigiLocker Limitation: Final</w:t>
      </w:r>
    </w:p>
    <w:p>
      <w:r>
        <w:t>already support (nad.digilocker.gov.in) degree issuance academic document stores and verifies remains in NAD. verification. What post-examination Prototype vs. remains to be solved? awards (marksheets, Production: In degrees, and earned production, ABC credits). It does PRAMAAN-AICTE not verify first-year publishes an AICTEER admission compliance (AICTE Enrolment against AICTE's Record) URI into approved intake matrix, DigiLocker via the Spec nor does it issue W3C v1.13 Pull URI API.</w:t>
      </w:r>
    </w:p>
    <w:p>
      <w:r>
        <w:t>SD-JWT selective-disclosure proofs of active AICTE-sanctioned enrolment.</w:t>
      </w:r>
    </w:p>
    <w:p>
      <w:pPr>
        <w:pStyle w:val="Heading2"/>
      </w:pPr>
      <w:r>
        <w:t>3 AICTE already has AICTE's ONOD Limitation: ONOD's</w:t>
      </w:r>
    </w:p>
    <w:p>
      <w:r>
        <w:t>ONOD and (2022_AICTE_668444_ internal database is institutional reporting 1) is a macro-level proprietary to workflows. Why not single-window portal AICTE/Trigyn. extend those? and Education Data Prototype vs. Lake designed to share Production: institutional data across PRAMAAN-AICTE is NAAC, NBA, NIRF, and built as the AISHE. However, pre-ingestion student-level uploads student-level validation still rely on static and PPRL microservice templates like the that feeds clean data PGDM Bulk Import, and into ONOD.</w:t>
      </w:r>
    </w:p>
    <w:p>
      <w:r>
        <w:t>colleges still suffer from un-reconciled numbers across portals.</w:t>
      </w:r>
    </w:p>
    <w:p>
      <w:pPr>
        <w:pStyle w:val="Heading2"/>
      </w:pPr>
      <w:r>
        <w:t>4 What is technically Three specific Limitation: Individual</w:t>
      </w:r>
    </w:p>
    <w:p>
      <w:r>
        <w:t>new about your engineering syntheses: algorithms exist in solution? (1) A deterministic literature; novelty lies in LoA/EoA Seat-Matrix their domain-specific Compiler encoding 1/3 synthesis for Indian CIWGC ↔ higher-education 2/3 OCI/FN spillovers, regulation. Prototype 5% NRI reversions, and vs. Production: All Clause 7.3(g) 5x-fee three algorithms run penalty math; (2) 100% live in the Two-Stage Hybrid prototype.</w:t>
      </w:r>
    </w:p>
    <w:p>
      <w:r>
        <w:t>Jury Question Evidence-Backed Candid Limitation &amp;</w:t>
      </w:r>
    </w:p>
    <w:p>
      <w:r>
        <w:t>Answer Prototype vs.</w:t>
      </w:r>
    </w:p>
    <w:p>
      <w:r>
        <w:t>Production Distinction</w:t>
      </w:r>
    </w:p>
    <w:p>
      <w:r>
        <w:t>Entity Resolution</w:t>
      </w:r>
    </w:p>
    <w:p>
      <w:r>
        <w:t>pairing APAAR HMACs with</w:t>
      </w:r>
    </w:p>
    <w:p>
      <w:r>
        <w:t>Secondary-Encoded</w:t>
      </w:r>
    </w:p>
    <w:p>
      <w:r>
        <w:t>Composite Bloom</w:t>
      </w:r>
    </w:p>
    <w:p>
      <w:r>
        <w:t>Filter PPRL (MDPI 2024 / IEEE 2025); and (3) an executable UGC-2025</w:t>
      </w:r>
    </w:p>
    <w:p>
      <w:r>
        <w:t>Concurrency</w:t>
      </w:r>
    </w:p>
    <w:p>
      <w:r>
        <w:t>Adjudicator.</w:t>
      </w:r>
    </w:p>
    <w:p>
      <w:pPr>
        <w:pStyle w:val="Heading2"/>
      </w:pPr>
      <w:r>
        <w:t>5 What existing system State CET Cell CAP Limitation: State CET</w:t>
      </w:r>
    </w:p>
    <w:p>
      <w:r>
        <w:t>comes closest to your portals (for quota math) cells remain implementation? and the NAD-ABC authoritative for CAP portal (for counselling allotment. APAAR-linked records) Prototype vs. come closest in Production: adjacent domains. Production integrates However, State CET State CET allotment portals are blind to exports as an upstream other states, input to pre-verify 80% standalone PGDM CAP seats.</w:t>
      </w:r>
    </w:p>
    <w:p>
      <w:r>
        <w:t>colleges, ODL courses, and post-CAP spot rounds, while NAD-ABC tracks post-exam credits rather than admission intake bounds.</w:t>
      </w:r>
    </w:p>
    <w:p>
      <w:pPr>
        <w:pStyle w:val="Heading2"/>
      </w:pPr>
      <w:r>
        <w:t>6 Why has the Because the three Limitation: Adoption</w:t>
      </w:r>
    </w:p>
    <w:p>
      <w:r>
        <w:t>proposed feature not regulatory and across 10,000+ already been technical prerequisites colleges requires deployed? converged only phased rollout. between late 2024 and Prototype vs. mid-2026: APAAR Production: The expansion to HEIs prototype demonstrates under APH 2024–2027, the exact target UGC's 5 June 2025 workflow AICTE modification of specified in October simultaneous-degree 2026.</w:t>
      </w:r>
    </w:p>
    <w:p>
      <w:r>
        <w:t>guidelines and 30 June</w:t>
      </w:r>
    </w:p>
    <w:p>
      <w:pPr>
        <w:pStyle w:val="Heading2"/>
      </w:pPr>
      <w:r>
        <w:t>2026 NAD-ABC</w:t>
      </w:r>
    </w:p>
    <w:p>
      <w:r>
        <w:t>mandate, and MeitY's</w:t>
      </w:r>
    </w:p>
    <w:p>
      <w:pPr>
        <w:pStyle w:val="Heading2"/>
      </w:pPr>
      <w:r>
        <w:t>13 November 2025</w:t>
      </w:r>
    </w:p>
    <w:p>
      <w:r>
        <w:t>Jury Question Evidence-Backed Candid Limitation &amp;</w:t>
      </w:r>
    </w:p>
    <w:p>
      <w:r>
        <w:t>Answer Prototype vs.</w:t>
      </w:r>
    </w:p>
    <w:p>
      <w:r>
        <w:t>Production Distinction</w:t>
      </w:r>
    </w:p>
    <w:p>
      <w:r>
        <w:t>notification of DPDP Rules, 2025. AICTE released SIH26263 on</w:t>
      </w:r>
    </w:p>
    <w:p>
      <w:pPr>
        <w:pStyle w:val="Heading2"/>
      </w:pPr>
      <w:r>
        <w:t>20 October 2026</w:t>
      </w:r>
    </w:p>
    <w:p>
      <w:r>
        <w:t>specifically to build this layer.</w:t>
      </w:r>
    </w:p>
    <w:p>
      <w:pPr>
        <w:pStyle w:val="Heading2"/>
      </w:pPr>
      <w:r>
        <w:t>7 Does APAAR ID alone No. A 12-digit number Limitation: Checksum</w:t>
      </w:r>
    </w:p>
    <w:p>
      <w:r>
        <w:t>prove that an passing a checksum validation alone is uploaded record is only proves syntactic insufficient. Prototype genuine? validity. Without vs. Production: The cryptographic prototype separates verification against UNVERIFIED_FORMA DigiLocker/API Setu T from (Pull URI / OAuth KYC VERIFIED_DIGILOCK match) and ER and cross-checks cross-checking against admission provenance.</w:t>
      </w:r>
    </w:p>
    <w:p>
      <w:r>
        <w:t>the institution's LoA/EoA approved intake, a college could upload valid APAAR IDs of un-enrolled students or exceed sanctioned intake.</w:t>
      </w:r>
    </w:p>
    <w:p>
      <w:pPr>
        <w:pStyle w:val="Heading2"/>
      </w:pPr>
      <w:r>
        <w:t>8 How can a developer Under DigiLocker Spec Limitation: Hackathon</w:t>
      </w:r>
    </w:p>
    <w:p>
      <w:r>
        <w:t>verify an APAAR ID v1.13 (May 2024), teams cannot access without an authorized unauthenticated live UIDAI/DigiLocker API? scraping of citizen production servers. records is prohibited. Prototype vs. Without privileged Production: Swapping government Partner the Mock Adapter URL keys during SIH, and Partner credentials verification works via connects the exact (1) Offline same code to API Setu Cryptographic in production.</w:t>
      </w:r>
    </w:p>
    <w:p>
      <w:r>
        <w:t>Signature Verification</w:t>
      </w:r>
    </w:p>
    <w:p>
      <w:r>
        <w:t>of student-uploaded DigiLocker-signed XML artifacts using DigiLocker's public certificate, and (2) a Spec-Accurate API Setu v1.13 Mock</w:t>
      </w:r>
    </w:p>
    <w:p>
      <w:r>
        <w:t>Server.</w:t>
      </w:r>
    </w:p>
    <w:p>
      <w:pPr>
        <w:pStyle w:val="Heading2"/>
      </w:pPr>
      <w:r>
        <w:t>9 How will the solution Every matched Limitation: Physical</w:t>
      </w:r>
    </w:p>
    <w:p>
      <w:r>
        <w:t>Jury Question Evidence-Backed Candid Limitation &amp;</w:t>
      </w:r>
    </w:p>
    <w:p>
      <w:r>
        <w:t>Answer Prototype vs.</w:t>
      </w:r>
    </w:p>
    <w:p>
      <w:r>
        <w:t>Production Distinction</w:t>
      </w:r>
    </w:p>
    <w:p>
      <w:r>
        <w:t>detect cross-institution pair is shift non-overlap cross-institution evaluated by the M5 requires accurate duplicates without UGC-2025 institutional shift wrongly flagging Concurrency metadata. Prototype legitimate cases? Adjudicator, which vs. Production: Also encodes the UGC 13 includes a One-Click April 2022 / 5 June Transfer Handshake for 2025 guidelines: it CAP-to-Spot upgrades.</w:t>
      </w:r>
    </w:p>
    <w:p>
      <w:r>
        <w:t>auto-clears Physical + ODL/Online, Two ODL/Online, and</w:t>
      </w:r>
    </w:p>
    <w:p>
      <w:r>
        <w:t>Non-Overlapping</w:t>
      </w:r>
    </w:p>
    <w:p>
      <w:r>
        <w:t>Phy(start_sp an)sical Shifts in the same district, while flagging overlapping physical shifts, PhD concurrency, and TFWS double-claims.</w:t>
      </w:r>
    </w:p>
    <w:p>
      <w:pPr>
        <w:pStyle w:val="Heading2"/>
      </w:pPr>
      <w:r>
        <w:t>10 How does the system From the Limitation: Requires</w:t>
      </w:r>
    </w:p>
    <w:p>
      <w:r>
        <w:t>establish the course_approvals table timely sync when approved intake synced from AICTE's AICTE issues applicable to a authoritative LoA / corrigendum EoA programme and year? Extended EoA registry, letters. Prototype vs. keyed by Production: Seeded (institut(start from real LoA/EoA _span)(end_ structure in prototype; span)ion_id, synced via ONOD API academic_year, in production.</w:t>
      </w:r>
    </w:p>
    <w:p>
      <w:r>
        <w:t>programme_level, course_name, shift, delivery_mode), including explicit boolean flags for nri_approved and fn_oci_ciwgc_approved and prior-year unfilled vacancies for Lateral Entry math.</w:t>
      </w:r>
    </w:p>
    <w:p>
      <w:pPr>
        <w:pStyle w:val="Heading2"/>
      </w:pPr>
      <w:r>
        <w:t>11 Where is the Authority is federated Limitation: No single</w:t>
      </w:r>
    </w:p>
    <w:p>
      <w:r>
        <w:t>authoritative source by domain: UIDAI / monolithic database of truth? DigiLocker / APAAR owns every lifecycle for student identity; stage. Prototype vs.</w:t>
      </w:r>
    </w:p>
    <w:p>
      <w:r>
        <w:t>Jury Question Evidence-Backed Candid Limitation &amp;</w:t>
      </w:r>
    </w:p>
    <w:p>
      <w:r>
        <w:t>Answer Prototype vs.</w:t>
      </w:r>
    </w:p>
    <w:p>
      <w:r>
        <w:t>Production Distinction</w:t>
      </w:r>
    </w:p>
    <w:p>
      <w:r>
        <w:t>AICTE Approval Production: Clear Bureau (LoA/EoA) for adapter boundaries course approval and preserve each agency's Sanctioned Intake; statutory authority. PRAMAAN-AICTE for reconciled seat-utilization compliance and active enrolment attestation; and NAD-ABC for post-examination credits and degrees.</w:t>
      </w:r>
    </w:p>
    <w:p>
      <w:pPr>
        <w:pStyle w:val="Heading2"/>
      </w:pPr>
      <w:r>
        <w:t>12 Why should sensitive AICTE's ONOD RFP Limitation: Minimal</w:t>
      </w:r>
    </w:p>
    <w:p>
      <w:r>
        <w:t>student information (2022_AICTE_668444_ demographic attributes be centralized? 1) mandates a central (Name, Education Data Lake DOB(start_s because pan)(end_sp cross-institution an)) are still required deduplication and for regulatory display. national compliance Prototype vs. analytics are Production: Protected impossible across by PostgreSQL RLS 55,000+ isolated silos. and AES-256-GCM However, envelope encryption.</w:t>
      </w:r>
    </w:p>
    <w:p>
      <w:r>
        <w:t>PRAMAAN-AICTE minimizes centralized sensitivity: it stores zero raw Aadhaar numbers, blinds APAAR IDs via HMAC-SHA256, and uses</w:t>
      </w:r>
    </w:p>
    <w:p>
      <w:r>
        <w:t>Secondary-Encoded</w:t>
      </w:r>
    </w:p>
    <w:p>
      <w:r>
        <w:t>Bloom Filters.</w:t>
      </w:r>
    </w:p>
    <w:p>
      <w:pPr>
        <w:pStyle w:val="Heading2"/>
      </w:pPr>
      <w:r>
        <w:t>13 What happens if an Pre-lock errors are Limitation: Cannot</w:t>
      </w:r>
    </w:p>
    <w:p>
      <w:r>
        <w:t>institution uploads caught in the staging prevent an institution incorrect workbench for from colluding offline information? immediate fix. Post-lock with a student unless corrections require an caught by institutional Nodal KYC/cross-institute Officer's digital checks. Prototype vs. signature, increment Production: Full version_no in temporal versioning enrolment_history, and and audit chaining work</w:t>
      </w:r>
    </w:p>
    <w:p>
      <w:r>
        <w:t>Jury Question Evidence-Backed Candid Limitation &amp;</w:t>
      </w:r>
    </w:p>
    <w:p>
      <w:r>
        <w:t>Answer Prototype vs.</w:t>
      </w:r>
    </w:p>
    <w:p>
      <w:r>
        <w:t>Production Distinction</w:t>
      </w:r>
    </w:p>
    <w:p>
      <w:r>
        <w:t>append an immutable live in prototype. event to audit_events.</w:t>
      </w:r>
    </w:p>
    <w:p>
      <w:r>
        <w:t>Deliberate</w:t>
      </w:r>
    </w:p>
    <w:p>
      <w:r>
        <w:t>misrepresentation triggers show-cause workflows under APH Clause 7.4(a).</w:t>
      </w:r>
    </w:p>
    <w:p>
      <w:pPr>
        <w:pStyle w:val="Heading2"/>
      </w:pPr>
      <w:r>
        <w:t>14 What measurable On the 10,500-record Limitation: Measured</w:t>
      </w:r>
    </w:p>
    <w:p>
      <w:r>
        <w:t>improvement does benchmark suite, on synthetic benchmark the platform provide? Two-Stage Hybrid data; field recall PPRL increases depends on institutional duplicate recall on data hygiene. cohorts with 20% Prototype vs. missing/pending Production: APAAR IDs from 80.0% Automated Pytest (exact match) to benchmark script 96.2% (F_1 = 0.968), reproduces all metrics eliminates 100% of live.</w:t>
      </w:r>
    </w:p>
    <w:p>
      <w:r>
        <w:t>false fraud flags on lawful UGC dual degrees, reconciles 10,000 rows in &lt; 4.5s, and cuts verification latency from days to &lt; 20ms.</w:t>
      </w:r>
    </w:p>
    <w:p>
      <w:pPr>
        <w:pStyle w:val="Heading2"/>
      </w:pPr>
      <w:r>
        <w:t>15 How can this work Via a Three-Tier Limitation: Legacy</w:t>
      </w:r>
    </w:p>
    <w:p>
      <w:r>
        <w:t>with different Ingestion Adapter: (1) colleges without ERPs institutional ERP Smart CSV/XLSX will still use CSV/Excel systems? Column Mapper upload. Prototype vs. compatible with Production: Both AICTE's legacy PGDM REST JSON and Smart template and any CSV/XLSX ingestion spreadsheet export, (2) work live in the Versioned REST prototype.</w:t>
      </w:r>
    </w:p>
    <w:p>
      <w:r>
        <w:t>JSON Webhooks for modern ERPs like Samarth eGov and TCS iON, and (3) ONOD XML/JSON</w:t>
      </w:r>
    </w:p>
    <w:p>
      <w:r>
        <w:t>Connectors.</w:t>
      </w:r>
    </w:p>
    <w:p>
      <w:pPr>
        <w:pStyle w:val="Heading2"/>
      </w:pPr>
      <w:r>
        <w:t>16 What happens if an If API Setu / DigiLocker Limitation: Final KYC</w:t>
      </w:r>
    </w:p>
    <w:p>
      <w:r>
        <w:t>external service or experiences downtime badge remains API becomes during peak admission provisional until unavailable? week, the ingestion upstream sync</w:t>
      </w:r>
    </w:p>
    <w:p>
      <w:r>
        <w:t>Jury Question Evidence-Backed Candid Limitation &amp;</w:t>
      </w:r>
    </w:p>
    <w:p>
      <w:r>
        <w:t>Answer Prototype vs.</w:t>
      </w:r>
    </w:p>
    <w:p>
      <w:r>
        <w:t>Production Distinction</w:t>
      </w:r>
    </w:p>
    <w:p>
      <w:r>
        <w:t>pipeline does not block completes. Prototype uploads. Records with vs. Production: valid 12-digit Verhoeff Simulated outage checksums enter toggle in the demo UI PENDING_ASYNC_KY proves graceful C_SYNC and are degradation. queued in Celery/Redis with exponential backoff, or verified offline via attached DigiLocker-signed XML artifacts.</w:t>
      </w:r>
    </w:p>
    <w:p>
      <w:pPr>
        <w:pStyle w:val="Heading2"/>
      </w:pPr>
      <w:r>
        <w:t>17 How is personal data Every external Limitation: Once a</w:t>
      </w:r>
    </w:p>
    <w:p>
      <w:r>
        <w:t>protected from verification requires verifier receives a unauthorized either a consented claim, verification requests? student-presented W3C off-platform SD-JWT QR token screenshots cannot be (binding verifier nonce, prevented technically. expiry, and only Prototype vs. selectively disclosed Production: SD-JWT claims) or an OAuth selective disclosure 2.0 / DPDP Rule 3 and minor guards run Consent Artifact. For live.</w:t>
      </w:r>
    </w:p>
    <w:p>
      <w:r>
        <w:t>students under 18, the DPDP Rule 10–12 Minor Guard blocks third-party access without verifiable parental consent.</w:t>
      </w:r>
    </w:p>
    <w:p>
      <w:pPr>
        <w:pStyle w:val="Heading2"/>
      </w:pPr>
      <w:r>
        <w:t>18 What can a student Everything in Core + Limitation: Uses</w:t>
      </w:r>
    </w:p>
    <w:p>
      <w:r>
        <w:t>team realistically Extended Prototype sandbox synthetic demonstrate without Scope runs live: APAAR IDs (999...) an official AICTE deterministic LoA/EoA rather than live citizen partnership? seat-matrix &amp; records. Prototype vs. supernumerary Production: spillover compilation, Architecture is two-stage APAAR + production-ready for Bloom PPRL immediate AICTE deduplication across 12 e-Governance Cell pilot simulated institutions, onboarding.</w:t>
      </w:r>
    </w:p>
    <w:p>
      <w:r>
        <w:t>UGC-2025 concurrency adjudication, W3C SD-JWT QR verification, DPDP Rule</w:t>
      </w:r>
    </w:p>
    <w:p>
      <w:r>
        <w:t>Jury Question Evidence-Backed Candid Limitation &amp;</w:t>
      </w:r>
    </w:p>
    <w:p>
      <w:r>
        <w:t>Answer Prototype vs.</w:t>
      </w:r>
    </w:p>
    <w:p>
      <w:r>
        <w:t>Production Distinction</w:t>
      </w:r>
    </w:p>
    <w:p>
      <w:r>
        <w:t>3/10 consent flows, and a spec-accurate DigiLocker v1.13 mock gateway.</w:t>
      </w:r>
    </w:p>
    <w:p>
      <w:pPr>
        <w:pStyle w:val="Heading1"/>
        <w:keepNext/>
      </w:pPr>
      <w:r>
        <w:t>19. Risks, Unresolved Questions, and Assumptions</w:t>
      </w:r>
    </w:p>
    <w:p>
      <w:r>
        <w:t>| Risk / Assumption Category | Specific Technical or Operational Item | Mitigation &amp; Validation Strategy | | :--- | :--- | :--- | | State-Specific Supernumerary Nuances (Operational Risk) | While AICTE APH 2024–2027 sets national caps (5% TFWS, 15% FN/OCI/CIWGC, 10% Lateral Entry), individual State CET Cells (e.g., Maharashtra vs. Tamil Nadu vs. WBJEE) apply slightly different inter-round spot conversion rules. | Parameterize quota spillover rules in JSON/YAML policy files keyed by (state_code, academic_year) rather than hardcoding a single state's rule in Python. | | High Frequency of Common Indian Names in PPRL (Algorithmic Risk) | In states with high surname and given-name concentration, two distinct students without APAAR IDs could share Name and Year of Birth. | Enforce strict exact Full DOB + Parent Name + Mobile Last 4 composite weighting in the 1024-bit Bloom filter, and never auto-hold a probabilistic match below Score = 0.92 without human Nodal Officer review. | | Unresolved Question on ONOD Internal Schema (Integration Assumption) | AICTE's ONOD internal database schema is not publicly published in full detail beyond the ONOD-Manpower RFP (which specifies an XML/key-value NoSQL Education Data Lake). | Design the ONODExporter using a pluggable JSON-LD and XML XSLT transformation template so AICTE's e-Governance team can map fields to ONOD in under an hour. | | DPDP Rules 2025 Educational Exemption Scope (Regulatory Assumption) | While DPDP Rules 2025 (notified 13 Nov 2025, effective 13 May 2027) exempt accredited educational institutions from certain parental consent burdens for core academic administration, third-party employer verification is not exempt. | Apply statutory-function basis for mandatory AICTE intake reporting, and strictly enforce DPDP Rule 3 + Rules 10–12 verifiable consent for all external third-party verifications. |</w:t>
      </w:r>
    </w:p>
    <w:p>
      <w:pPr>
        <w:pStyle w:val="Heading1"/>
        <w:keepNext/>
      </w:pPr>
      <w:r>
        <w:t>20. Research Bibliography and Search Log</w:t>
      </w:r>
    </w:p>
    <w:p>
      <w:r>
        <w:t>Authoritative Primary Documents and Technical Specifications</w:t>
      </w:r>
    </w:p>
    <w:p>
      <w:r>
        <w:t>Reviewed</w:t>
      </w:r>
    </w:p>
    <w:p>
      <w:r>
        <w:t>Source Category Official Document / Issuing Organization / Verified URL &amp; Citation</w:t>
      </w:r>
    </w:p>
    <w:p>
      <w:r>
        <w:t>Portal / Publication Title Venue &amp; Date Mapping</w:t>
      </w:r>
    </w:p>
    <w:p>
      <w:r>
        <w:t>SIH 2026 Problem SIH 2026 Problem AICTE / Ministry of https://zaidsayyed.in/to Registry Statement SIH26263: Education (Added 20 ols/sih-problem-statem Development of an Oct 2026; Deadline 28 ents/theme/smart-auto APAAR ID-Based Oct 2026) mation</w:t>
      </w:r>
    </w:p>
    <w:p>
      <w:r>
        <w:t>Student Data</w:t>
      </w:r>
    </w:p>
    <w:p>
      <w:r>
        <w:t>Management and Verification Platform for AICTE-Approved</w:t>
      </w:r>
    </w:p>
    <w:p>
      <w:r>
        <w:t>Institutions</w:t>
      </w:r>
    </w:p>
    <w:p>
      <w:r>
        <w:t>Source Category Official Document / Issuing Organization / Verified URL &amp; Citation</w:t>
      </w:r>
    </w:p>
    <w:p>
      <w:r>
        <w:t>Portal / Publication Title Venue &amp; Date Mapping</w:t>
      </w:r>
    </w:p>
    <w:p>
      <w:r>
        <w:t>APAAR &amp; ABC Official Official APAAR Portal, Ministry of Education, https://apaar.education. DPI FAQs &amp; Brochure UGC &amp; Press gov.in/faqs, (Automated Permanent Information Bureau (2 https://www.abc.gov.in/, Academic Account July 2026) https://www.pib.gov.in/F Registry — One Nation, actsheetDetails.aspx?I One Student ID) &amp; PIB d=150693</w:t>
      </w:r>
    </w:p>
    <w:p>
      <w:r>
        <w:t>Factsheet 150693</w:t>
      </w:r>
    </w:p>
    <w:p>
      <w:r>
        <w:t>(Academic Bank of Credits and APAAR) DigiLocker &amp; API Setu DigiLocker Issuer API MeitY / NeGD / Digital https://cf-media.api-set Specs Specification Version India Corporation (May u.in/resources/DigiLock 1.13 (21 May 2024), 2024) er-Issuer-APISpecificati DigiLocker Partner on(start_spa Portals (Issuer &amp; n)(end_span Requester), &amp; API Setu )-v1-13.pdf, SOP v1 https://www.digilocker.g ov.in/web/partners/issu ers AICTE ONOD &amp; Bulk RFP for Technical IT All India Council for https://aicte.gov.in/sites Import Manpower for One Technical Education /default/files/ONOD-Ma Nation One Data (AICTE) (2022–2026) npower%20RFP.pdf, (ONOD) Platform https://www.aicte.gov.in (Tender /bureaus/approval/PGD 2022_AICTE_668444_ M_Bulk 1), NETF Major Initiatives, &amp; PGDM</w:t>
      </w:r>
    </w:p>
    <w:p>
      <w:r>
        <w:t>Student Bulk Import</w:t>
      </w:r>
    </w:p>
    <w:p>
      <w:r>
        <w:t>Manual/Template</w:t>
      </w:r>
    </w:p>
    <w:p>
      <w:r>
        <w:t>AICTE APH AICTE Approval AICTE &amp; State CET https://cdnbbsr.s3waas. 2024–2027 &amp; CAP Process Handbook Cell Maharashtra gov.in/s35938b4d0541 Rules (APH) 2024–2027 (2024–2027) 36e5d59ada6ec9c295d (Chapter VII/VIII Penal 7a/uploads/2025/03/20 Actions, LoA/Extended 25031399.pdf, EoA Letters) &amp; State https://www.satyamfash CET Cell CAP ion.ac.in/LOA-Report.P Information Brochure DF UGC Dual-Degree UGC Guidelines for University Grants https://www.ugc.gov.in/ Policy Pursuing Two Commission (UGC), pdfnews/9651619_LET Academic Programmes Ministry of Education TER-GUIDELINES-FO Simultaneously (13 Apr 2022 &amp; 5 June R-PURSUING[span_87 (Original Notification 13 2025) ]( April 2022 &amp; 589th end_span)-TWO-ACAD Commission EMIC-PROGRAMMES- Modification Notified 5 SIMULTANEOUSLY.pdf</w:t>
      </w:r>
    </w:p>
    <w:p>
      <w:r>
        <w:t>June 2025)</w:t>
      </w:r>
    </w:p>
    <w:p>
      <w:r>
        <w:t>Source Category Official Document / Issuing Organization / Verified URL &amp; Citation</w:t>
      </w:r>
    </w:p>
    <w:p>
      <w:r>
        <w:t>Portal / Publication Title Venue &amp; Date Mapping</w:t>
      </w:r>
    </w:p>
    <w:p>
      <w:r>
        <w:t>DPDP Act 2023 &amp; Digital Personal Data Ministry of Electronics https://treelife.in/compli Rules 2025 Protection Act, 2023 &amp; and Information ance/digital-personal-d Notified Digital Technology (MeitY) ata-protection-dpdp-rul Personal Data (Notified 13 Nov 2025) es-2025/, Protection Rules, 2025 https://nxgsecure.com/ (Rules 3, 4, 6, 7, 8, blog/dpdp-act-2025-rul 10–12; 18-Month es/ Compliance Window to</w:t>
      </w:r>
    </w:p>
    <w:p>
      <w:pPr>
        <w:pStyle w:val="Heading2"/>
      </w:pPr>
      <w:r>
        <w:t>13 May 2027)</w:t>
      </w:r>
    </w:p>
    <w:p>
      <w:r>
        <w:t>PPRL &amp; Entity ULDP &amp; XOR-Folding IEEE, MDPI, &amp; UALR https://ieeexplore.ieee. Resolution Literature for Bloom Filter PPRL ERIQ (2014–2025) org/iel8/6287639/65148 (IEEE Access, 2025); 99/11039762.pdf, Multi-Party PPRL https://www.mdpi.com/2 Based on Secondary 227-7390/12/12/1800, Encoding (MDPI https://www.mdpi.com/2</w:t>
      </w:r>
    </w:p>
    <w:p>
      <w:r>
        <w:t>Mathematics, 2024); 227-7390/12/22/3476</w:t>
      </w:r>
    </w:p>
    <w:p>
      <w:r>
        <w:t>Composite Bloom</w:t>
      </w:r>
    </w:p>
    <w:p>
      <w:r>
        <w:t>Filters (IEEE TKDE, 2014); OYSTER ER W3C Verifiable W3C Verifiable W3C, ResearchGate, &amp; https://docs.walt.id/con Credentials &amp; ZKP Credentials Data Model IJCRT (2025–2026) cepts/digital-credentials v2.0 (May 2025, /verifiable-credentials-w docs.walt.id), VeriZKP: 3c, Gas-less Granular https://ijcrt.org/papers/I Educational Credential JCRT2605523.pdf Verification (Gatea et al., 2026), &amp; IJCRT</w:t>
      </w:r>
    </w:p>
    <w:p>
      <w:r>
        <w:t>(May 2026)</w:t>
      </w:r>
    </w:p>
    <w:p>
      <w:r>
        <w:t>Systematic Search Query Execution Log</w:t>
      </w:r>
    </w:p>
    <w:p>
      <w:r>
        <w:t>Search Area &amp; Query Date Executed Primary Sources &amp; Key Findings Extracted</w:t>
      </w:r>
    </w:p>
    <w:p>
      <w:r>
        <w:t>Formulation Documents Reviewed &amp; Verified</w:t>
      </w:r>
    </w:p>
    <w:p>
      <w:r>
        <w:t>"Development of an 24 Oct 2026 SIH 2026 Official Confirmed official ID APAAR ID-Based Problem Statement SIH26263, Owner Student Data Mirror &amp; Trend Tracker AICTE, Category Management and (zaidsayyed.in/tools/sih Software, Theme Verification Platform" / -problem-statements) Smart Automation, "SIH26263" "AICTE" added 20 Oct 2026 with extended deadline</w:t>
      </w:r>
    </w:p>
    <w:p>
      <w:pPr>
        <w:pStyle w:val="Heading2"/>
      </w:pPr>
      <w:r>
        <w:t>28 Oct 2026 alongside</w:t>
      </w:r>
    </w:p>
    <w:p>
      <w:r>
        <w:t>SIH26261–SIH26264.</w:t>
      </w:r>
    </w:p>
    <w:p>
      <w:r>
        <w:t>"AICTE" "One Nation 24 Oct 2026 AICTE Verified ONOD is an One Data" portal OR ONOD-Manpower Education Data Lake manual OR circular RFP.pdf, Tender for 55,000+ HEIs 2022_AICTE_668444_ (implemented with</w:t>
      </w:r>
    </w:p>
    <w:p>
      <w:r>
        <w:t>Search Area &amp; Query Date Executed Primary Sources &amp; Key Findings Extracted</w:t>
      </w:r>
    </w:p>
    <w:p>
      <w:r>
        <w:t>Formulation Documents Reviewed &amp; Verified</w:t>
      </w:r>
    </w:p>
    <w:p>
      <w:r>
        <w:t>1 (MIC Advt. Trigyn) using 18.01.2022.pdf), NETF XML/NoSQL and 2-way Major Initiatives, Trigyn Open APIs, but lacks Release row-level pre-submission PPRL and UGC dual-degree adjudication. "User Manual for 24 Oct 2026 AICTE Regulation Confirmed AICTE Institute to Import Bureau PGDM Bulk currently relies on static PGDM Students data in Import Portal Excel bulk import bulk" (aicte.gov.in/bureaus/a templates (Template for pproval/PGDM_Bulk) bulk Import to be used by Institute for PGDM Students) and manual uploads.</w:t>
      </w:r>
    </w:p>
    <w:p>
      <w:r>
        <w:t>"apaar.education.gov.in 24 Oct 2026 Official APAAR Portal Verified 12-digit APAAR " "API" OR "verification" (apaar.education.gov.in prerequisites (UDISE+ OR "integration" OR /faqs, /resource), PIB PEN + exact Aadhaar "ABC" Factsheet 150693 (2 demographic match + July 2026) parental consent), 30 June 2026 UGC mandate for NAD-ABC credit uploads, and DIC's Sovereign Blockchain initiative.</w:t>
      </w:r>
    </w:p>
    <w:p>
      <w:r>
        <w:t>"API Setu" "Academic 24 Oct 2026 DigiLocker Issuer API Discovered critical spec Bank of Credits" OR Specification v1.13 (21 evolution: v1.12 "DigiLocker" "API May 2024) removed specification" (cf-media.api-setu.in), Aadhaar/Name/DOB DigiLocker Partner from Pull Doc API; Portals v1.13 removed Pull (digilocker.gov.in/web/p Document Request artners/issuers) API entirely, standardizing on Pull URI Request with 36-char DigiLockerId and OAuth 2.0.</w:t>
      </w:r>
    </w:p>
    <w:p>
      <w:r>
        <w:t>"AICTE" "Approval 24 Oct 2026 State CET Cell CAP Extracted exact seat Process Handbook" Brochure, AICTE math: 80% CAP / 20% "Chapter" Mandatory Disclosures Mgmt (incl. 5% NRI "supernumerary" &amp; LoA/EoA letters with All-India "intake" "NRI" "OCI" (ves.ac.in, pict.edu, reversion), 5% TFWS "TFWS" tsecmumbai.in) (no course/inst transfer), 10% EWS, 10% Lateral Entry, and</w:t>
      </w:r>
    </w:p>
    <w:p>
      <w:r>
        <w:t>Search Area &amp; Query Date Executed Primary Sources &amp; Key Findings Extracted</w:t>
      </w:r>
    </w:p>
    <w:p>
      <w:r>
        <w:t>Formulation Documents Reviewed &amp; Verified</w:t>
      </w:r>
    </w:p>
    <w:p>
      <w:r>
        <w:t>15% FN/OCI/CIWGC (1/3 CIWGC, 2/3 OCI/FN with inter-bucket spillover). "Approval Process 24 Oct 2026 AICTE APH 2024–2027 Verified Clause 7.3(g) Handbook 2024-2027" Official Text &amp; Penal 5x total course fee "Chapter VIII" OR Action Clauses, penalty per excess "penal action" "excess Extended EoA Letters admission, BBA/BCA admission" (satyamfashion.ac.in/L inclusion, working OA-Report.PDF) professional flexible mode, and mandatory annual student upload even during 3-year Extended EoA (2025-28).</w:t>
      </w:r>
    </w:p>
    <w:p>
      <w:r>
        <w:t>"Guidelines for 24 Oct 2026 UGC Official Verified exact Pursuing Two Notification (13 April concurrency rules: Academic Programmes 2022) &amp; Modified UGC Physical + ODL/Online, Simultaneously" UGC Notification (589th 2 ODL/Online, or 2 OR AICTE Meeting, notified 5 Physical without June 2025) class-timing overlap (ugc.gov.in) (excluding PhD), establishing the legal baseline for cross-institution duplicate adjudication.</w:t>
      </w:r>
    </w:p>
    <w:p>
      <w:r>
        <w:t>"Privacy-Preserving 24 Oct 2026 IEEE Access (2025, Extracted Composite Record Linkage" 11039762.pdf), MDPI Bloom Filter q-gram "Bloom filter" &amp; "Entity Mathematics (2024, hashing, Resolution" "student 12/12/1800 &amp; ULDP/XOR-folding, enrollment" 12/22/3476), IEEE and Secondary Split TKDE (2014), UALR Encoding (X_i, Y_i)</w:t>
      </w:r>
    </w:p>
    <w:p>
      <w:r>
        <w:t>OYSTER along with</w:t>
      </w:r>
    </w:p>
    <w:p>
      <w:r>
        <w:t>Fellegi-Sunter /</w:t>
      </w:r>
    </w:p>
    <w:p>
      <w:r>
        <w:t>Jaro-Winkler</w:t>
      </w:r>
    </w:p>
    <w:p>
      <w:r>
        <w:t>three-zone thresholding. "W3C Verifiable 24 Oct 2026 W3C VCDM v2.0 (May Verified W3C SD-JWT Credentials" "student 2025, docs.walt.id), selective disclosure enrollment" &amp; "Digital VeriZKP (Gatea et al., mechanics and DPDP Personal Data 2026), IJCRT (May Rules 2025 18-month Protection Rules" 2025 2026), MeitY DPDP enforcement deadline Rules, 2025 (notified (13 May 2027), Rule 3</w:t>
      </w:r>
    </w:p>
    <w:p>
      <w:pPr>
        <w:pStyle w:val="Heading2"/>
      </w:pPr>
      <w:r>
        <w:t>13 Nov 2025) (22 languages, 2-click</w:t>
      </w:r>
    </w:p>
    <w:p>
      <w:r>
        <w:t>withdrawal), Rule 6–7</w:t>
      </w:r>
    </w:p>
    <w:p>
      <w:r>
        <w:t>Search Area &amp; Query Date Executed Primary Sources &amp; Key Findings Extracted</w:t>
      </w:r>
    </w:p>
    <w:p>
      <w:r>
        <w:t>Formulation Documents Reviewed &amp; Verified</w:t>
      </w:r>
    </w:p>
    <w:p>
      <w:r>
        <w:t>(72h breach), Rule 8 (48h erasure warning), and Rules 10–12 (minor parental consent).</w:t>
      </w:r>
    </w:p>
    <w:p>
      <w:pPr>
        <w:pStyle w:val="Heading1"/>
        <w:keepNext/>
      </w:pPr>
      <w:r>
        <w:t>Works cited</w:t>
      </w:r>
    </w:p>
    <w:p>
      <w:pPr>
        <w:pStyle w:val="Heading1"/>
        <w:keepNext/>
      </w:pPr>
      <w:r>
        <w:t>1. PGDM Student Bulk Import | All India Council for Technical Education,</w:t>
      </w:r>
    </w:p>
    <w:p>
      <w:r>
        <w:t>https://www.aicte.gov.in/bureaus/approval/PGDM_Bulk 2. All India Council for Technical Education, https://ves.ac.in/vesasc/wp-content/uploads/2026/05/Mandatory-Disclosure-AICTE-BBA-and-B [REPLACE with primary source] MS.pdf 3. AICTE Approval Process Handbook 2024-27 | PDF - Scribd, [REPLACE with primary source] https://www.scribd.com/document/898226204/Httpswww-aicte-gov-InsitesdefaultfilesapprovalAP H20Final-pdf-2 4. Mandatory Disclosure - Meerut - M.I.E.T, https://miet.ac.in/media_image/mandatory_disclosure.pdf 5. Development of an AI-powered system to detect anomalies, fraud, https://zaidsayyed.in/tools/sih-problem-statements/sih26102</w:t>
      </w:r>
    </w:p>
    <w:p>
      <w:pPr>
        <w:pStyle w:val="Heading1"/>
        <w:keepNext/>
      </w:pPr>
      <w:r>
        <w:t>6. Every SIH 2026 problem statement. - Zaid Sayyed,</w:t>
      </w:r>
    </w:p>
    <w:p>
      <w:r>
        <w:t>https://zaidsayyed.in/tools/sih-problem-statements 7. What is APAAR ID? How to Create APAAR &amp; ABC ID Online, https://www.eduprimetimes.com/2026/10/how-to-create-apaar-abc-id.html 8. FAQs - APAAR, https://apaar.education.gov.in/faqs 9. aicte/rfp/onod, https://aicte.gov.in/sites/default/files/ONOD-Manpower%20RFP.pdf 10. The Role of One Nation One Data Platform in College Accreditation, https://www.mantechpublications.com/blog/one-nation-one-data-platform-college-accreditation-2 / 11. Academic Bank of Credits and APAAR - Press Information Bureau, https://www.pib.gov.in/FactsheetDetails.aspx?Id=150693&amp;reg=%203&amp;lang=1 12. Issuer API Specification, https://cf-media.api-setu.in/resources/DigiLocker-Issuer-APISpecification-v1-13.pdf 13. One Nation, One Data: Unified, Efficient, Transparent Higher, https://www.luneblaze.com/blogs/One-Nation-One-Data-Higher-Education-Institutions 14. All India Council for Technical Education - Satyam Fashion Institute, https://www.satyamfashion.ac.in/LOA-Report.PDF 15. UGC Two Degree Simultaneously Guidelines - EduPrime Times, https://www.eduprimetimes.com/2026/10/two-degrees-at-same-time.html 16. UGC Guidelines [REPLACE with primary source] for Dual Degree Programs | PDF | Justice - Scribd, https://www.scribd.com/document/872822783/6493421-UGC-Guidelines-pursuing-two-academi c-programmes-simultaneously 17. UGC Guidelines for Pursuing Two Academic Programmes, https://www.adda247.com/jobs/wp-content/uploads/sites/13/2025/06/11172401/6493421_UGC- Guidelines-pursuing-two-academic-programmes-simultaneously.pdf 18. Admission Rules &amp; Procedure | TSEC, https://www.tsecmumbai.in/admissions.php 19. APAAR, http://apaar.education.gov.in/ 20. APAAR ID Registration — Step by Step Guide for Parents 2027, https://padhaao.in/blog/apaar-id-registration-step-by-step-parents-guide-2027 21.</w:t>
      </w:r>
    </w:p>
    <w:p>
      <w:r>
        <w:t>[REPLACE with primary source] Maharashtra BFA Admission Brochure 2024-25 | PDF - Scribd, https://www.scribd.com/document/953735875/CAP-Brochure-Final-1-1 22. institute information brochure.pdf, https://img.jagranjosh.com/images/2024/April/1842024/institute%20information%20brochure.pdf</w:t>
      </w:r>
    </w:p>
    <w:p>
      <w:pPr>
        <w:pStyle w:val="Heading1"/>
        <w:keepNext/>
      </w:pPr>
      <w:r>
        <w:t>23. Digital Personal Data Protection (DPDP) Rules, 2025 - A Deep Dive,</w:t>
      </w:r>
    </w:p>
    <w:p>
      <w:r>
        <w:t>[REPLACE with primary source: official DPDP Rules Gazette] https://treelife.in/compliance/digital-personal-data-protection-dpdp-rules-2025/ 24. SCTR's Pune Institute of Computer Technology, https://admissions.pict.edu/pdf/2026-27%20V2_Institute%20Information%20Brochure_Prospect [REPLACE with primary source] us_07-07-26_1527%20PM.pdf 25. Penal Actions for Norm Violations | PDF | Justice - Scribd, https://www.scribd.com/document/882904043/AICTE-Penal-Actions-on-Violation-of-Norms 26.</w:t>
      </w:r>
    </w:p>
    <w:p>
      <w:r>
        <w:t>ULDP-Based Approach for Strengthening Privacy Security in Bloom, https://ieeexplore.ieee.org/iel8/6287639/6514899/11039762.pdf 27. A Multi-Party Privacy-Preserving Record Linkage Method Based on, https://www.mdpi.com/2227-7390/12/12/1800 28. NDLI: Composite Bloom Filters for Secure Record Linkage, https://www.ndl.gov.in/re_document/ieee_xplore/1234567_ieee/1034309 29.</w:t>
      </w:r>
    </w:p>
    <w:p>
      <w:r>
        <w:t>Fuzzy Matching 101: The Complete Guide to Accurate Data Matching, https://dataladder.com/fuzzy-matching-101/ 30. Verifiable Credentials: A Simple Guide to How They Work, https://docs.walt.id/concepts/digital-credentials/verifiable-credentials-w3c 31. Smart Automation - SIH 2026 problem statements - Zaid Sayyed, https://zaidsayyed.in/tools/sih-problem-statements/theme/smart-automation 32. Which SIH 2026 problem statements are teams actually picking, https://zaidsayyed.in/tools/sih-problem-statements/trends 33. SIH26163 [REPLACE with primary source] [REPLACE with primary source] — Security Assessment of the World Monitor application, https://zaidsayyed.in/tools/sih-problem-statements/sih26163</w:t>
      </w:r>
    </w:p>
    <w:p>
      <w:pPr>
        <w:pStyle w:val="Heading1"/>
        <w:keepNext/>
      </w:pPr>
      <w:r>
        <w:t>34. Student Transcript and Verification - COEP Technological University,</w:t>
      </w:r>
    </w:p>
    <w:p>
      <w:r>
        <w:t>https://www.coeptech.ac.in/useful-links/university-sections/notices/examination/student-transcrip t-and-verification/ 35. CSAB 2024 Reporting Centers List | PDF | Technology &amp; Engineering, https://www.scribd.com/document/753036857/142397628 36. One Nation One Data Platform - RCM Bhubaneswar News, https://rcm.ac.in/one-nation-one-data-platform-to-simplify-hei-certification-approval-and-manage ment/ 37. AICTE's ONOD Platform: The One Nation, One Data (ONOD) Journey, https://www.eklavvya.com/blog/onod-platform/ 38. Archive Digiपहल | MeitY, Government of India - Digital India, https://www.digitalindia.gov.in/archive-digi-pehal/page/6/ 39. maulana abul kalam azad university of technology, west bengal, https://www.nit.ac.in/pdf/B%20TECH.pdf 40. Patent Details, https://rymec.edu.in/patent-details/ 41. Attestation Letter From University, https://retired-staging.oregoned.org/fetch.php/TUaOvr/700082/Attestation%20Letter%20From% 20University.pdf 42. Major Initiatives - National Educational Technology Forum (NETF), https://netf.aicte-india.org/major-initiatives.html 43. NIT__Public Notice_14.01.2022.cdr - AICTE, https://www.aicte.gov.in/sites/default/files/MIC%20Advt.%2018.01.2022.pdf 44. AICTE Approval Process Handbook 2024-25 to 2026-27 - S3waas, https://cdnbbsr.s3waas.gov.in/s35938b4d054136e5d59ada6ec9c295d7a/uploads/2025/03/2025 031399.pdf 45. Issuer - DigiLocker | Access, Share &amp; Verify Digital Documents, https://www.digilocker.gov.in/web/partners/issuers 46. (PDF) VeriZKP: A Privacy-Preserving, Gas-less, and Granular, https://www.researchgate.net/publication/399314883_VeriZKP_A_Privacy-Preserving_Gas-less _and_Granular_Educational_Credential_Verification_System_on_Ethereum_using_Zero-Knowl edge_Proofs 47. AICTE Selected Trigyn to Implement its One Nation One Data Platform, https://www.trigyn.com/trigyn-selected-all-india-council-technical-education-aicte-its-one-nation- one-data-platform 48. DPDP Act 2025 Rules: What the Draft Rules Say - NxgSecure, [REPLACE with primary source: official DPDP Rules Gazette] https://nxgsecure.com/blog/dpdp-act-2025-rules/ 49. Requester - DigiLocker | Access, Share &amp; Verify Digital Documents, https://www.digilocker.gov.in/web/partners/requesters 50. Digilocker | APISetu, https://apisetu.gov.in/digilocker 51. DigiLocker: The Digital Briefcase for India's Authentic E-Documents, https://negd.gov.in/blog/digilocker-the-digital-briefcase-for-indias-authentic-e-documents/ 52.</w:t>
      </w:r>
    </w:p>
    <w:p>
      <w:r>
        <w:t>BLOCKCHAIN-BASED CERTIFICATE VERIFICATION SYSTEM, https://ijcrt.org/papers/IJCRT2605523.pdf 53. DigiLocker Verification API 2.0 Integration with PHP/c#/Python, https://blog.apisetu.gov.in/digilocker-verification-api-2-0-integration-with-php-c-python-sample-co de/ 54. ravi-ghadiya - GitHub, https://github.com/ravi-ghadiya 55.</w:t>
      </w:r>
    </w:p>
    <w:p>
      <w:r>
        <w:t>ag2-mcp-servers/digilocker-issuer-apis - GitHub, https://github.com/ag2-mcp-servers/digilocker-issuer-apis 56. Meon DigiLocker SDK for Flutter - Pub.dev, https://pub.dev/documentation/flutter_meon_digilocker/latest/ 57. YadlaMani/wisk: Trustless background verification with DigiLocker +, https://github.com/YadlaMani/wisk 58. A practical guide to entity resolution with OYSTER - ResearchGate, https://www.researchgate.net/publication/320597093_A_practical_guide_to_entity_resolution_wi th_OYSTER 59. Systems and methods for providing verifiable credentials, [REPLACE with relevant primary source: unrelated patent] https://patents.google.com/patent/US20230164143A1/en 60. Patents | Prof. Dr. P. Ganesh Kumar, https://drpgk.in/patents.php 61. US10282559B2 - Data processing systems for identifying, assessing, [REPLACE with relevant primary source: unrelated patent] https://patents.google.com/patent/US10282559B2/en 62. Data processing systems and methods for automatically detecting, [REPLACE with relevant primary source: unrelated patent] https://patents.google.com/patent/US11294939B2/en 63. A Method for Implementing Probabilistic Entity Resolution, https://thesai.org/Downloads/Volume9No11/Paper_2-A_Method_for_Implementing_Probabilistic _Entity.pdf 64. Education Software Development Company | Pharos Production, https://pharosproduction.com/industries/education-software-development/ 65. About - APAAR, https://apaar.education.gov.in/about?ref=ddn.sflc.in 66. Comprehensive Evaluation Method of Privacy-Preserving Record, https://www.mdpi.com/2227-7390/12/22/3476 67. MeitY Corrects Sections 9 and 10 of the DPDP Act · ConsentEra, https://consentera.in/blog/meity-corrects-dpdp-sections-9-10/ 68. UGC Guidelines for Pursuing Two Degrees Simultaneously, https://www.careerera.com/blog/ugc-guidelines-for-pursuing-two-degrees-simultaneously 69.</w:t>
      </w:r>
    </w:p>
    <w:p>
      <w:r>
        <w:t>From Draft To Reality: Key Changes In India's DPDP Rules 2025, https://www.legal500.com/intelligence/india/privacy/from-draft-to-reality-key-changes-in-indias-d pdp-rules-2025</w:t>
      </w:r>
    </w:p>
    <w:p>
      <w:r>
        <w:br w:type="page"/>
      </w:r>
    </w:p>
    <w:p>
      <w:pPr>
        <w:pStyle w:val="Title"/>
      </w:pPr>
      <w:r>
        <w:t>REMAINING [VERIFY] ITEMS</w:t>
      </w:r>
    </w:p>
    <w:p>
      <w:pPr>
        <w:pStyle w:val="ListBullet"/>
      </w:pPr>
      <w:r>
        <w:t>[VERIFY] SIH26263 official problem-statement ID, exact title/owner, release date (20 October 2026), extended deadline (28 October 2026), submission-volume figures, and companion statement range must be checked on the official SIH portal. The report previously relied on a third-party aggregator. [VERIFY] Some tables in §§12, 15 and 19 were fragmented by PDF text extraction; their content is preserved, but table cell boundaries need manual verification/reconstruction against the original page images.</w:t>
      </w:r>
    </w:p>
    <w:p>
      <w:pPr>
        <w:pStyle w:val="ListBullet"/>
      </w:pPr>
      <w:r>
        <w:t>[VERIFY] Any source claim not independently substantiated in the provided PDF remains subject to source verification; in particular, regulatory seat percentages, quota conversion arithmetic, UGC modification date, APAAR/ABC integration prerequisites, and API Setu/DigiLocker specification details should be checked against current primary documents before implementation.</w:t>
      </w:r>
    </w:p>
    <w:p>
      <w:pPr>
        <w:pStyle w:val="ListBullet"/>
      </w:pPr>
      <w:r>
        <w:t>[VERIFY] Confirm the exact statutory wording and applicability of DPDP Act §7, Rule 5, the Fourth Schedule educational-institution exemption, and minor-consent rules against the official Gazette text and applicable commencement notifications. [VERIFY] Confirm the DigiLocker URI namespace/issuer prefix and exact URI construction against the currently applicable official API Setu/DigiLocker specification before using the sample in an integration.</w:t>
      </w:r>
    </w:p>
    <w:p>
      <w:pPr>
        <w:pStyle w:val="ListBullet"/>
      </w:pPr>
      <w:r>
        <w:t>[VERIFY] Any benchmark values labelled as targets on self-generated synthetic data are targets only, not measured or independently validated results.</w:t>
      </w:r>
    </w:p>
    <w:p/>
    <w:p/>
    <w:p/>
    <w:p>
      <w:r>
        <w:br w:type="page"/>
      </w:r>
    </w:p>
    <w:p>
      <w:pPr>
        <w:pStyle w:val="Heading1"/>
        <w:keepNext/>
      </w:pPr>
      <w:r>
        <w:t>PART II — REDESIGNED ARCHITECTURE &amp; ERP SUMMARY</w:t>
      </w:r>
    </w:p>
    <w:p>
      <w:r>
        <w:t>This part integrates the architecture redesign. It deliberately changes the original PPRL data-flow claim: plaintext identity attributes remain at the institution; the central matcher receives scoped pseudonymous tokens and encoded linkage representations. This reduces central exposure but does not make linkage risk zero.</w:t>
      </w:r>
    </w:p>
    <w:p>
      <w:r>
        <w:br w:type="page"/>
      </w:r>
    </w:p>
    <w:p>
      <w:r>
        <w:rPr>
          <w:i w:val="0"/>
        </w:rPr>
        <w:t>Basis and boundaries. This report redesigns the architecture described in the supplied APAAR Student Platform Research PDF. It retains the central product idea—reconcile student-level admissions with approved intake, detect likely cross-institution overlaps, adjudicate policy context, and support purpose-limited verification—while changing the data-flow and implementation sequence where the source architecture was internally inconsistent. Any integration, statutory interpretation, quota rule, performance figure, or government API behavior not confirmed by the source material is treated as an assumption requiring primary-source verification.</w:t>
      </w:r>
    </w:p>
    <w:p>
      <w:r>
        <w:br w:type="page"/>
      </w:r>
    </w:p>
    <w:p>
      <w:pPr>
        <w:pStyle w:val="Heading1"/>
        <w:keepNext/>
      </w:pPr>
      <w:r>
        <w:t>1. Executive decision</w:t>
      </w:r>
    </w:p>
    <w:p>
      <w:r>
        <w:rPr>
          <w:i w:val="0"/>
        </w:rPr>
        <w:t>Recommendation: proceed with PRAMAAN–AICTE as a modular regulatory workflow platform, but do not implement the original design unchanged. Build a thin, testable core first and keep identity matching, regulatory policy, credential issuance, and external integrations as explicit boundaries.</w:t>
      </w:r>
    </w:p>
    <w:tbl>
      <w:tblPr>
        <w:tblStyle w:val="TableGrid"/>
        <w:tblW w:type="auto" w:w="0"/>
        <w:jc w:val="center"/>
        <w:tblLayout w:type="autofit"/>
        <w:tblLook w:firstColumn="1" w:firstRow="1" w:lastColumn="0" w:lastRow="0" w:noHBand="0" w:noVBand="1" w:val="04A0"/>
      </w:tblPr>
      <w:tblGrid>
        <w:gridCol w:w="3389"/>
        <w:gridCol w:w="3389"/>
        <w:gridCol w:w="3389"/>
      </w:tblGrid>
      <w:tr>
        <w:tc>
          <w:tcPr>
            <w:tcW w:type="dxa" w:w="3389"/>
            <w:vAlign w:val="center"/>
            <w:shd w:fill="DCEAF2"/>
          </w:tcPr>
          <w:p>
            <w:pPr>
              <w:spacing w:after="40" w:line="240" w:lineRule="auto"/>
            </w:pPr>
            <w:r>
              <w:t>Decision area</w:t>
            </w:r>
          </w:p>
        </w:tc>
        <w:tc>
          <w:tcPr>
            <w:tcW w:type="dxa" w:w="3389"/>
            <w:vAlign w:val="center"/>
            <w:shd w:fill="DCEAF2"/>
          </w:tcPr>
          <w:p>
            <w:pPr>
              <w:spacing w:after="40" w:line="240" w:lineRule="auto"/>
            </w:pPr>
            <w:r>
              <w:t>Redesigned decision</w:t>
            </w:r>
          </w:p>
        </w:tc>
        <w:tc>
          <w:tcPr>
            <w:tcW w:type="dxa" w:w="3389"/>
            <w:vAlign w:val="center"/>
            <w:shd w:fill="DCEAF2"/>
          </w:tcPr>
          <w:p>
            <w:pPr>
              <w:spacing w:after="40" w:line="240" w:lineRule="auto"/>
            </w:pPr>
            <w:r>
              <w:t>Reason</w:t>
            </w:r>
          </w:p>
        </w:tc>
      </w:tr>
      <w:tr>
        <w:tc>
          <w:tcPr>
            <w:tcW w:type="dxa" w:w="3389"/>
            <w:vAlign w:val="center"/>
          </w:tcPr>
          <w:p>
            <w:pPr>
              <w:spacing w:after="40" w:line="240" w:lineRule="auto"/>
            </w:pPr>
            <w:r>
              <w:t>Core product</w:t>
            </w:r>
          </w:p>
        </w:tc>
        <w:tc>
          <w:tcPr>
            <w:tcW w:type="dxa" w:w="3389"/>
            <w:vAlign w:val="center"/>
          </w:tcPr>
          <w:p>
            <w:pPr>
              <w:spacing w:after="40" w:line="240" w:lineRule="auto"/>
            </w:pPr>
            <w:r>
              <w:t>Institutional roster intake + deterministic approved-intake reconciliation + discrepancy workflow</w:t>
            </w:r>
          </w:p>
        </w:tc>
        <w:tc>
          <w:tcPr>
            <w:tcW w:type="dxa" w:w="3389"/>
            <w:vAlign w:val="center"/>
          </w:tcPr>
          <w:p>
            <w:pPr>
              <w:spacing w:after="40" w:line="240" w:lineRule="auto"/>
            </w:pPr>
            <w:r>
              <w:t>This is the clearest, demonstrable regulatory value and can be tested without live government integrations.</w:t>
            </w:r>
          </w:p>
        </w:tc>
      </w:tr>
      <w:tr>
        <w:tc>
          <w:tcPr>
            <w:tcW w:type="dxa" w:w="3389"/>
            <w:vAlign w:val="center"/>
          </w:tcPr>
          <w:p>
            <w:pPr>
              <w:spacing w:after="40" w:line="240" w:lineRule="auto"/>
            </w:pPr>
            <w:r>
              <w:t>Identity model</w:t>
            </w:r>
          </w:p>
        </w:tc>
        <w:tc>
          <w:tcPr>
            <w:tcW w:type="dxa" w:w="3389"/>
            <w:vAlign w:val="center"/>
          </w:tcPr>
          <w:p>
            <w:pPr>
              <w:spacing w:after="40" w:line="240" w:lineRule="auto"/>
            </w:pPr>
            <w:r>
              <w:t>Institution-held plaintext; central matcher receives pseudonymous tokens and encoded linkage representations only</w:t>
            </w:r>
          </w:p>
        </w:tc>
        <w:tc>
          <w:tcPr>
            <w:tcW w:type="dxa" w:w="3389"/>
            <w:vAlign w:val="center"/>
          </w:tcPr>
          <w:p>
            <w:pPr>
              <w:spacing w:after="40" w:line="240" w:lineRule="auto"/>
            </w:pPr>
            <w:r>
              <w:t>Removes the contradiction between centrally stored identity fields and a claim of privacy-preserving linkage.</w:t>
            </w:r>
          </w:p>
        </w:tc>
      </w:tr>
      <w:tr>
        <w:tc>
          <w:tcPr>
            <w:tcW w:type="dxa" w:w="3389"/>
            <w:vAlign w:val="center"/>
          </w:tcPr>
          <w:p>
            <w:pPr>
              <w:spacing w:after="40" w:line="240" w:lineRule="auto"/>
            </w:pPr>
            <w:r>
              <w:t>Matching</w:t>
            </w:r>
          </w:p>
        </w:tc>
        <w:tc>
          <w:tcPr>
            <w:tcW w:type="dxa" w:w="3389"/>
            <w:vAlign w:val="center"/>
          </w:tcPr>
          <w:p>
            <w:pPr>
              <w:spacing w:after="40" w:line="240" w:lineRule="auto"/>
            </w:pPr>
            <w:r>
              <w:t>Exact APAAR-token path first; PPRL candidate generation and similarity scoring second; human review for uncertain cases</w:t>
            </w:r>
          </w:p>
        </w:tc>
        <w:tc>
          <w:tcPr>
            <w:tcW w:type="dxa" w:w="3389"/>
            <w:vAlign w:val="center"/>
          </w:tcPr>
          <w:p>
            <w:pPr>
              <w:spacing w:after="40" w:line="240" w:lineRule="auto"/>
            </w:pPr>
            <w:r>
              <w:t>A candidate match is a lead for adjudication, not a finding of wrongdoing.</w:t>
            </w:r>
          </w:p>
        </w:tc>
      </w:tr>
      <w:tr>
        <w:tc>
          <w:tcPr>
            <w:tcW w:type="dxa" w:w="3389"/>
            <w:vAlign w:val="center"/>
          </w:tcPr>
          <w:p>
            <w:pPr>
              <w:spacing w:after="40" w:line="240" w:lineRule="auto"/>
            </w:pPr>
            <w:r>
              <w:t>Policy</w:t>
            </w:r>
          </w:p>
        </w:tc>
        <w:tc>
          <w:tcPr>
            <w:tcW w:type="dxa" w:w="3389"/>
            <w:vAlign w:val="center"/>
          </w:tcPr>
          <w:p>
            <w:pPr>
              <w:spacing w:after="40" w:line="240" w:lineRule="auto"/>
            </w:pPr>
            <w:r>
              <w:t>Versioned rules with effective dates, source references, test fixtures, and deterministic outputs</w:t>
            </w:r>
          </w:p>
        </w:tc>
        <w:tc>
          <w:tcPr>
            <w:tcW w:type="dxa" w:w="3389"/>
            <w:vAlign w:val="center"/>
          </w:tcPr>
          <w:p>
            <w:pPr>
              <w:spacing w:after="40" w:line="240" w:lineRule="auto"/>
            </w:pPr>
            <w:r>
              <w:t>Rules change and must be explainable and reproducible.</w:t>
            </w:r>
          </w:p>
        </w:tc>
      </w:tr>
      <w:tr>
        <w:tc>
          <w:tcPr>
            <w:tcW w:type="dxa" w:w="3389"/>
            <w:vAlign w:val="center"/>
          </w:tcPr>
          <w:p>
            <w:pPr>
              <w:spacing w:after="40" w:line="240" w:lineRule="auto"/>
            </w:pPr>
            <w:r>
              <w:t>Architecture</w:t>
            </w:r>
          </w:p>
        </w:tc>
        <w:tc>
          <w:tcPr>
            <w:tcW w:type="dxa" w:w="3389"/>
            <w:vAlign w:val="center"/>
          </w:tcPr>
          <w:p>
            <w:pPr>
              <w:spacing w:after="40" w:line="240" w:lineRule="auto"/>
            </w:pPr>
            <w:r>
              <w:t>Modular monolith for the prototype; background worker only for batch/matching workloads when needed</w:t>
            </w:r>
          </w:p>
        </w:tc>
        <w:tc>
          <w:tcPr>
            <w:tcW w:type="dxa" w:w="3389"/>
            <w:vAlign w:val="center"/>
          </w:tcPr>
          <w:p>
            <w:pPr>
              <w:spacing w:after="40" w:line="240" w:lineRule="auto"/>
            </w:pPr>
            <w:r>
              <w:t>Avoids premature operational complexity while preserving future extraction points.</w:t>
            </w:r>
          </w:p>
        </w:tc>
      </w:tr>
      <w:tr>
        <w:tc>
          <w:tcPr>
            <w:tcW w:type="dxa" w:w="3389"/>
            <w:vAlign w:val="center"/>
          </w:tcPr>
          <w:p>
            <w:pPr>
              <w:spacing w:after="40" w:line="240" w:lineRule="auto"/>
            </w:pPr>
            <w:r>
              <w:t>Integrations</w:t>
            </w:r>
          </w:p>
        </w:tc>
        <w:tc>
          <w:tcPr>
            <w:tcW w:type="dxa" w:w="3389"/>
            <w:vAlign w:val="center"/>
          </w:tcPr>
          <w:p>
            <w:pPr>
              <w:spacing w:after="40" w:line="240" w:lineRule="auto"/>
            </w:pPr>
            <w:r>
              <w:t>Adapters and simulators in the demo; live integration only after access, contracts, and schemas are confirmed</w:t>
            </w:r>
          </w:p>
        </w:tc>
        <w:tc>
          <w:tcPr>
            <w:tcW w:type="dxa" w:w="3389"/>
            <w:vAlign w:val="center"/>
          </w:tcPr>
          <w:p>
            <w:pPr>
              <w:spacing w:after="40" w:line="240" w:lineRule="auto"/>
            </w:pPr>
            <w:r>
              <w:t>Prevents the prototype from depending on unverified APIs.</w:t>
            </w:r>
          </w:p>
        </w:tc>
      </w:tr>
      <w:tr>
        <w:tc>
          <w:tcPr>
            <w:tcW w:type="dxa" w:w="3389"/>
            <w:vAlign w:val="center"/>
          </w:tcPr>
          <w:p>
            <w:pPr>
              <w:spacing w:after="40" w:line="240" w:lineRule="auto"/>
            </w:pPr>
            <w:r>
              <w:t>Credentials</w:t>
            </w:r>
          </w:p>
        </w:tc>
        <w:tc>
          <w:tcPr>
            <w:tcW w:type="dxa" w:w="3389"/>
            <w:vAlign w:val="center"/>
          </w:tcPr>
          <w:p>
            <w:pPr>
              <w:spacing w:after="40" w:line="240" w:lineRule="auto"/>
            </w:pPr>
            <w:r>
              <w:t>Defer SD-JWT/DigiLocker issuance until core data, authorization, and lifecycle are stable</w:t>
            </w:r>
          </w:p>
        </w:tc>
        <w:tc>
          <w:tcPr>
            <w:tcW w:type="dxa" w:w="3389"/>
            <w:vAlign w:val="center"/>
          </w:tcPr>
          <w:p>
            <w:pPr>
              <w:spacing w:after="40" w:line="240" w:lineRule="auto"/>
            </w:pPr>
            <w:r>
              <w:t>Cryptographic credentials do not repair inaccurate upstream records.</w:t>
            </w:r>
          </w:p>
        </w:tc>
      </w:tr>
    </w:tbl>
    <w:p/>
    <w:p>
      <w:pPr>
        <w:pStyle w:val="Heading1"/>
        <w:keepNext/>
      </w:pPr>
      <w:r>
        <w:t>2. Goals, non-goals, and success criteria</w:t>
      </w:r>
    </w:p>
    <w:p>
      <w:pPr>
        <w:pStyle w:val="Heading2"/>
        <w:keepNext/>
      </w:pPr>
      <w:r>
        <w:t>2.1 Goals</w:t>
      </w:r>
    </w:p>
    <w:p>
      <w:pPr>
        <w:pStyle w:val="ListBullet"/>
      </w:pPr>
      <w:r>
        <w:t>Provide controlled institutional submission and correction of student enrolment batches.</w:t>
      </w:r>
    </w:p>
    <w:p>
      <w:pPr>
        <w:pStyle w:val="ListBullet"/>
      </w:pPr>
      <w:r>
        <w:t>Reconcile admissions against approved institution/course/year/shift/mode/entry-level intake records.</w:t>
      </w:r>
    </w:p>
    <w:p>
      <w:pPr>
        <w:pStyle w:val="ListBullet"/>
      </w:pPr>
      <w:r>
        <w:t>Associate verified APAAR identifiers when available, while supporting an explicitly governed exception workflow for records that cannot yet be linked.</w:t>
      </w:r>
    </w:p>
    <w:p>
      <w:pPr>
        <w:pStyle w:val="ListBullet"/>
      </w:pPr>
      <w:r>
        <w:t>Generate possible duplicate candidates without treating similarity as proof of a violation.</w:t>
      </w:r>
    </w:p>
    <w:p>
      <w:pPr>
        <w:pStyle w:val="ListBullet"/>
      </w:pPr>
      <w:r>
        <w:t>Apply versioned policy to distinguish permissible simultaneous enrolment from a potentially prohibited combination.</w:t>
      </w:r>
    </w:p>
    <w:p>
      <w:pPr>
        <w:pStyle w:val="ListBullet"/>
      </w:pPr>
      <w:r>
        <w:t>Give each finding a reproducible reason, source record, policy version, reviewer decision, and audit trail.</w:t>
      </w:r>
    </w:p>
    <w:p>
      <w:pPr>
        <w:pStyle w:val="ListBullet"/>
      </w:pPr>
      <w:r>
        <w:t>Offer purpose-limited verification to authorized requesters only after authorization and the required legal basis/consent checks are satisfied.</w:t>
      </w:r>
    </w:p>
    <w:p>
      <w:pPr>
        <w:pStyle w:val="Heading2"/>
        <w:keepNext/>
      </w:pPr>
      <w:r>
        <w:t>2.2 Non-goals for the SIH prototype</w:t>
      </w:r>
    </w:p>
    <w:p>
      <w:pPr>
        <w:pStyle w:val="ListBullet"/>
      </w:pPr>
      <w:r>
        <w:t>Do not replicate APAAR, ABC, NAD, DigiLocker, ONOD, AISHE, or campus ERP master repositories.</w:t>
      </w:r>
    </w:p>
    <w:p>
      <w:pPr>
        <w:pStyle w:val="ListBullet"/>
      </w:pPr>
      <w:r>
        <w:t>Do not claim a live government integration unless credentials, endpoint contracts, and end-to-end tests exist.</w:t>
      </w:r>
    </w:p>
    <w:p>
      <w:pPr>
        <w:pStyle w:val="ListBullet"/>
      </w:pPr>
      <w:r>
        <w:t>Do not store Aadhaar numbers or use Aadhaar as a local platform identifier.</w:t>
      </w:r>
    </w:p>
    <w:p>
      <w:pPr>
        <w:pStyle w:val="ListBullet"/>
      </w:pPr>
      <w:r>
        <w:t>Do not use machine-learning anomaly scores as legal findings or automatic penalties.</w:t>
      </w:r>
    </w:p>
    <w:p>
      <w:pPr>
        <w:pStyle w:val="ListBullet"/>
      </w:pPr>
      <w:r>
        <w:t>Do not promise zero privacy leakage from Bloom filters or cryptographic tokens.</w:t>
      </w:r>
    </w:p>
    <w:p>
      <w:pPr>
        <w:pStyle w:val="ListBullet"/>
      </w:pPr>
      <w:r>
        <w:t>Do not attempt every production concern in the first build; prioritize the critical workflow and synthetic test data.</w:t>
      </w:r>
    </w:p>
    <w:p>
      <w:pPr>
        <w:pStyle w:val="Heading2"/>
        <w:keepNext/>
      </w:pPr>
      <w:r>
        <w:t>2.3 Acceptance criteria</w:t>
      </w:r>
    </w:p>
    <w:tbl>
      <w:tblPr>
        <w:tblStyle w:val="TableGrid"/>
        <w:tblW w:type="auto" w:w="0"/>
        <w:jc w:val="center"/>
        <w:tblLayout w:type="autofit"/>
        <w:tblLook w:firstColumn="1" w:firstRow="1" w:lastColumn="0" w:lastRow="0" w:noHBand="0" w:noVBand="1" w:val="04A0"/>
      </w:tblPr>
      <w:tblGrid>
        <w:gridCol w:w="5083"/>
        <w:gridCol w:w="5083"/>
      </w:tblGrid>
      <w:tr>
        <w:tc>
          <w:tcPr>
            <w:tcW w:type="dxa" w:w="5083"/>
            <w:vAlign w:val="center"/>
            <w:shd w:fill="DCEAF2"/>
          </w:tcPr>
          <w:p>
            <w:pPr>
              <w:spacing w:after="40" w:line="240" w:lineRule="auto"/>
            </w:pPr>
            <w:r>
              <w:t>Area</w:t>
            </w:r>
          </w:p>
        </w:tc>
        <w:tc>
          <w:tcPr>
            <w:tcW w:type="dxa" w:w="5083"/>
            <w:vAlign w:val="center"/>
            <w:shd w:fill="DCEAF2"/>
          </w:tcPr>
          <w:p>
            <w:pPr>
              <w:spacing w:after="40" w:line="240" w:lineRule="auto"/>
            </w:pPr>
            <w:r>
              <w:t>Prototype acceptance test</w:t>
            </w:r>
          </w:p>
        </w:tc>
      </w:tr>
      <w:tr>
        <w:tc>
          <w:tcPr>
            <w:tcW w:type="dxa" w:w="5083"/>
            <w:vAlign w:val="center"/>
          </w:tcPr>
          <w:p>
            <w:pPr>
              <w:spacing w:after="40" w:line="240" w:lineRule="auto"/>
            </w:pPr>
            <w:r>
              <w:t>Batch integrity</w:t>
            </w:r>
          </w:p>
        </w:tc>
        <w:tc>
          <w:tcPr>
            <w:tcW w:type="dxa" w:w="5083"/>
            <w:vAlign w:val="center"/>
          </w:tcPr>
          <w:p>
            <w:pPr>
              <w:spacing w:after="40" w:line="240" w:lineRule="auto"/>
            </w:pPr>
            <w:r>
              <w:t>Re-uploading the same batch with the same idempotency key does not create duplicate enrolments.</w:t>
            </w:r>
          </w:p>
        </w:tc>
      </w:tr>
      <w:tr>
        <w:tc>
          <w:tcPr>
            <w:tcW w:type="dxa" w:w="5083"/>
            <w:vAlign w:val="center"/>
          </w:tcPr>
          <w:p>
            <w:pPr>
              <w:spacing w:after="40" w:line="240" w:lineRule="auto"/>
            </w:pPr>
            <w:r>
              <w:t>Intake reconciliation</w:t>
            </w:r>
          </w:p>
        </w:tc>
        <w:tc>
          <w:tcPr>
            <w:tcW w:type="dxa" w:w="5083"/>
            <w:vAlign w:val="center"/>
          </w:tcPr>
          <w:p>
            <w:pPr>
              <w:spacing w:after="40" w:line="240" w:lineRule="auto"/>
            </w:pPr>
            <w:r>
              <w:t>Every count is reproducible from the batch, approved intake snapshot, and policy version.</w:t>
            </w:r>
          </w:p>
        </w:tc>
      </w:tr>
      <w:tr>
        <w:tc>
          <w:tcPr>
            <w:tcW w:type="dxa" w:w="5083"/>
            <w:vAlign w:val="center"/>
          </w:tcPr>
          <w:p>
            <w:pPr>
              <w:spacing w:after="40" w:line="240" w:lineRule="auto"/>
            </w:pPr>
            <w:r>
              <w:t>Identity linkage</w:t>
            </w:r>
          </w:p>
        </w:tc>
        <w:tc>
          <w:tcPr>
            <w:tcW w:type="dxa" w:w="5083"/>
            <w:vAlign w:val="center"/>
          </w:tcPr>
          <w:p>
            <w:pPr>
              <w:spacing w:after="40" w:line="240" w:lineRule="auto"/>
            </w:pPr>
            <w:r>
              <w:t>Exact verified APAAR tokens are handled separately from probabilistic candidate matches.</w:t>
            </w:r>
          </w:p>
        </w:tc>
      </w:tr>
      <w:tr>
        <w:tc>
          <w:tcPr>
            <w:tcW w:type="dxa" w:w="5083"/>
            <w:vAlign w:val="center"/>
          </w:tcPr>
          <w:p>
            <w:pPr>
              <w:spacing w:after="40" w:line="240" w:lineRule="auto"/>
            </w:pPr>
            <w:r>
              <w:t>Privacy boundary</w:t>
            </w:r>
          </w:p>
        </w:tc>
        <w:tc>
          <w:tcPr>
            <w:tcW w:type="dxa" w:w="5083"/>
            <w:vAlign w:val="center"/>
          </w:tcPr>
          <w:p>
            <w:pPr>
              <w:spacing w:after="40" w:line="240" w:lineRule="auto"/>
            </w:pPr>
            <w:r>
              <w:t>Central database schema and logs contain no plaintext name, DOB, parent name, or full phone number for PPRL-only records.</w:t>
            </w:r>
          </w:p>
        </w:tc>
      </w:tr>
      <w:tr>
        <w:tc>
          <w:tcPr>
            <w:tcW w:type="dxa" w:w="5083"/>
            <w:vAlign w:val="center"/>
          </w:tcPr>
          <w:p>
            <w:pPr>
              <w:spacing w:after="40" w:line="240" w:lineRule="auto"/>
            </w:pPr>
            <w:r>
              <w:t>Reviewability</w:t>
            </w:r>
          </w:p>
        </w:tc>
        <w:tc>
          <w:tcPr>
            <w:tcW w:type="dxa" w:w="5083"/>
            <w:vAlign w:val="center"/>
          </w:tcPr>
          <w:p>
            <w:pPr>
              <w:spacing w:after="40" w:line="240" w:lineRule="auto"/>
            </w:pPr>
            <w:r>
              <w:t>Every match candidate shows the reason codes and permits a reviewer to resolve, dismiss, or escalate it.</w:t>
            </w:r>
          </w:p>
        </w:tc>
      </w:tr>
      <w:tr>
        <w:tc>
          <w:tcPr>
            <w:tcW w:type="dxa" w:w="5083"/>
            <w:vAlign w:val="center"/>
          </w:tcPr>
          <w:p>
            <w:pPr>
              <w:spacing w:after="40" w:line="240" w:lineRule="auto"/>
            </w:pPr>
            <w:r>
              <w:t>Policy traceability</w:t>
            </w:r>
          </w:p>
        </w:tc>
        <w:tc>
          <w:tcPr>
            <w:tcW w:type="dxa" w:w="5083"/>
            <w:vAlign w:val="center"/>
          </w:tcPr>
          <w:p>
            <w:pPr>
              <w:spacing w:after="40" w:line="240" w:lineRule="auto"/>
            </w:pPr>
            <w:r>
              <w:t>Every rule result records policy ID/version, effective date, input snapshot, result, and explanation.</w:t>
            </w:r>
          </w:p>
        </w:tc>
      </w:tr>
      <w:tr>
        <w:tc>
          <w:tcPr>
            <w:tcW w:type="dxa" w:w="5083"/>
            <w:vAlign w:val="center"/>
          </w:tcPr>
          <w:p>
            <w:pPr>
              <w:spacing w:after="40" w:line="240" w:lineRule="auto"/>
            </w:pPr>
            <w:r>
              <w:t>Consent/authority</w:t>
            </w:r>
          </w:p>
        </w:tc>
        <w:tc>
          <w:tcPr>
            <w:tcW w:type="dxa" w:w="5083"/>
            <w:vAlign w:val="center"/>
          </w:tcPr>
          <w:p>
            <w:pPr>
              <w:spacing w:after="40" w:line="240" w:lineRule="auto"/>
            </w:pPr>
            <w:r>
              <w:t>A third-party verification request is denied unless the requester, purpose, scope, and applicable authorization conditions pass.</w:t>
            </w:r>
          </w:p>
        </w:tc>
      </w:tr>
      <w:tr>
        <w:tc>
          <w:tcPr>
            <w:tcW w:type="dxa" w:w="5083"/>
            <w:vAlign w:val="center"/>
          </w:tcPr>
          <w:p>
            <w:pPr>
              <w:spacing w:after="40" w:line="240" w:lineRule="auto"/>
            </w:pPr>
            <w:r>
              <w:t>Resilience</w:t>
            </w:r>
          </w:p>
        </w:tc>
        <w:tc>
          <w:tcPr>
            <w:tcW w:type="dxa" w:w="5083"/>
            <w:vAlign w:val="center"/>
          </w:tcPr>
          <w:p>
            <w:pPr>
              <w:spacing w:after="40" w:line="240" w:lineRule="auto"/>
            </w:pPr>
            <w:r>
              <w:t>Failed imports can resume safely; external adapter failures do not corrupt local batch state.</w:t>
            </w:r>
          </w:p>
        </w:tc>
      </w:tr>
    </w:tbl>
    <w:p/>
    <w:p>
      <w:pPr>
        <w:pStyle w:val="Heading1"/>
        <w:keepNext/>
      </w:pPr>
      <w:r>
        <w:t>3. Proposed system architecture</w:t>
      </w:r>
    </w:p>
    <w:p>
      <w:pPr>
        <w:pStyle w:val="Heading2"/>
        <w:keepNext/>
      </w:pPr>
      <w:r>
        <w:t>3.1 Logical architecture</w:t>
      </w:r>
    </w:p>
    <w:tbl>
      <w:tblPr>
        <w:tblStyle w:val="TableGrid"/>
        <w:tblW w:type="auto" w:w="0"/>
        <w:jc w:val="center"/>
        <w:tblLayout w:type="autofit"/>
        <w:tblLook w:firstColumn="1" w:firstRow="1" w:lastColumn="0" w:lastRow="0" w:noHBand="0" w:noVBand="1" w:val="04A0"/>
      </w:tblPr>
      <w:tblGrid>
        <w:gridCol w:w="3389"/>
        <w:gridCol w:w="3389"/>
        <w:gridCol w:w="3389"/>
      </w:tblGrid>
      <w:tr>
        <w:tc>
          <w:tcPr>
            <w:tcW w:type="dxa" w:w="3389"/>
            <w:vAlign w:val="center"/>
            <w:shd w:fill="DCEAF2"/>
          </w:tcPr>
          <w:p>
            <w:pPr>
              <w:spacing w:after="40" w:line="240" w:lineRule="auto"/>
            </w:pPr>
            <w:r>
              <w:t>Layer</w:t>
            </w:r>
          </w:p>
        </w:tc>
        <w:tc>
          <w:tcPr>
            <w:tcW w:type="dxa" w:w="3389"/>
            <w:vAlign w:val="center"/>
            <w:shd w:fill="DCEAF2"/>
          </w:tcPr>
          <w:p>
            <w:pPr>
              <w:spacing w:after="40" w:line="240" w:lineRule="auto"/>
            </w:pPr>
            <w:r>
              <w:t>Responsibilities</w:t>
            </w:r>
          </w:p>
        </w:tc>
        <w:tc>
          <w:tcPr>
            <w:tcW w:type="dxa" w:w="3389"/>
            <w:vAlign w:val="center"/>
            <w:shd w:fill="DCEAF2"/>
          </w:tcPr>
          <w:p>
            <w:pPr>
              <w:spacing w:after="40" w:line="240" w:lineRule="auto"/>
            </w:pPr>
            <w:r>
              <w:t>Prototype implementation</w:t>
            </w:r>
          </w:p>
        </w:tc>
      </w:tr>
      <w:tr>
        <w:tc>
          <w:tcPr>
            <w:tcW w:type="dxa" w:w="3389"/>
            <w:vAlign w:val="center"/>
          </w:tcPr>
          <w:p>
            <w:pPr>
              <w:spacing w:after="40" w:line="240" w:lineRule="auto"/>
            </w:pPr>
            <w:r>
              <w:t>1. User and institution edge</w:t>
            </w:r>
          </w:p>
        </w:tc>
        <w:tc>
          <w:tcPr>
            <w:tcW w:type="dxa" w:w="3389"/>
            <w:vAlign w:val="center"/>
          </w:tcPr>
          <w:p>
            <w:pPr>
              <w:spacing w:after="40" w:line="240" w:lineRule="auto"/>
            </w:pPr>
            <w:r>
              <w:t>Institutional operator UI; upload preview; field validation; local normalization where feasible; draft retention under institution control.</w:t>
            </w:r>
          </w:p>
        </w:tc>
        <w:tc>
          <w:tcPr>
            <w:tcW w:type="dxa" w:w="3389"/>
            <w:vAlign w:val="center"/>
          </w:tcPr>
          <w:p>
            <w:pPr>
              <w:spacing w:after="40" w:line="240" w:lineRule="auto"/>
            </w:pPr>
            <w:r>
              <w:t>React + TypeScript; CSV/XLSX preview; no browser-side secret keys.</w:t>
            </w:r>
          </w:p>
        </w:tc>
      </w:tr>
      <w:tr>
        <w:tc>
          <w:tcPr>
            <w:tcW w:type="dxa" w:w="3389"/>
            <w:vAlign w:val="center"/>
          </w:tcPr>
          <w:p>
            <w:pPr>
              <w:spacing w:after="40" w:line="240" w:lineRule="auto"/>
            </w:pPr>
            <w:r>
              <w:t>2. API and access boundary</w:t>
            </w:r>
          </w:p>
        </w:tc>
        <w:tc>
          <w:tcPr>
            <w:tcW w:type="dxa" w:w="3389"/>
            <w:vAlign w:val="center"/>
          </w:tcPr>
          <w:p>
            <w:pPr>
              <w:spacing w:after="40" w:line="240" w:lineRule="auto"/>
            </w:pPr>
            <w:r>
              <w:t>Authentication, tenant/institution scoping, authorization, request validation, idempotency, rate limits, request correlation IDs.</w:t>
            </w:r>
          </w:p>
        </w:tc>
        <w:tc>
          <w:tcPr>
            <w:tcW w:type="dxa" w:w="3389"/>
            <w:vAlign w:val="center"/>
          </w:tcPr>
          <w:p>
            <w:pPr>
              <w:spacing w:after="40" w:line="240" w:lineRule="auto"/>
            </w:pPr>
            <w:r>
              <w:t>FastAPI + Pydantic; OAuth/OIDC-compatible adapter or clearly labelled demo identity provider.</w:t>
            </w:r>
          </w:p>
        </w:tc>
      </w:tr>
      <w:tr>
        <w:tc>
          <w:tcPr>
            <w:tcW w:type="dxa" w:w="3389"/>
            <w:vAlign w:val="center"/>
          </w:tcPr>
          <w:p>
            <w:pPr>
              <w:spacing w:after="40" w:line="240" w:lineRule="auto"/>
            </w:pPr>
            <w:r>
              <w:t>3. Domain services</w:t>
            </w:r>
          </w:p>
        </w:tc>
        <w:tc>
          <w:tcPr>
            <w:tcW w:type="dxa" w:w="3389"/>
            <w:vAlign w:val="center"/>
          </w:tcPr>
          <w:p>
            <w:pPr>
              <w:spacing w:after="40" w:line="240" w:lineRule="auto"/>
            </w:pPr>
            <w:r>
              <w:t>Batch lifecycle, intake compiler, identity matching orchestration, discrepancy review, verification requests, credential lifecycle.</w:t>
            </w:r>
          </w:p>
        </w:tc>
        <w:tc>
          <w:tcPr>
            <w:tcW w:type="dxa" w:w="3389"/>
            <w:vAlign w:val="center"/>
          </w:tcPr>
          <w:p>
            <w:pPr>
              <w:spacing w:after="40" w:line="240" w:lineRule="auto"/>
            </w:pPr>
            <w:r>
              <w:t>Python modular monolith with separate domain modules and interfaces.</w:t>
            </w:r>
          </w:p>
        </w:tc>
      </w:tr>
      <w:tr>
        <w:tc>
          <w:tcPr>
            <w:tcW w:type="dxa" w:w="3389"/>
            <w:vAlign w:val="center"/>
          </w:tcPr>
          <w:p>
            <w:pPr>
              <w:spacing w:after="40" w:line="240" w:lineRule="auto"/>
            </w:pPr>
            <w:r>
              <w:t>4. Policy and decision services</w:t>
            </w:r>
          </w:p>
        </w:tc>
        <w:tc>
          <w:tcPr>
            <w:tcW w:type="dxa" w:w="3389"/>
            <w:vAlign w:val="center"/>
          </w:tcPr>
          <w:p>
            <w:pPr>
              <w:spacing w:after="40" w:line="240" w:lineRule="auto"/>
            </w:pPr>
            <w:r>
              <w:t>Versioned intake/quota rules, simultaneous-enrolment adjudication rules, rule effective dates and explanations.</w:t>
            </w:r>
          </w:p>
        </w:tc>
        <w:tc>
          <w:tcPr>
            <w:tcW w:type="dxa" w:w="3389"/>
            <w:vAlign w:val="center"/>
          </w:tcPr>
          <w:p>
            <w:pPr>
              <w:spacing w:after="40" w:line="240" w:lineRule="auto"/>
            </w:pPr>
            <w:r>
              <w:t>Deterministic Python rules; versioned JSON/YAML policy packages plus automated tests.</w:t>
            </w:r>
          </w:p>
        </w:tc>
      </w:tr>
      <w:tr>
        <w:tc>
          <w:tcPr>
            <w:tcW w:type="dxa" w:w="3389"/>
            <w:vAlign w:val="center"/>
          </w:tcPr>
          <w:p>
            <w:pPr>
              <w:spacing w:after="40" w:line="240" w:lineRule="auto"/>
            </w:pPr>
            <w:r>
              <w:t>5. Persistence</w:t>
            </w:r>
          </w:p>
        </w:tc>
        <w:tc>
          <w:tcPr>
            <w:tcW w:type="dxa" w:w="3389"/>
            <w:vAlign w:val="center"/>
          </w:tcPr>
          <w:p>
            <w:pPr>
              <w:spacing w:after="40" w:line="240" w:lineRule="auto"/>
            </w:pPr>
            <w:r>
              <w:t>Institution-scoped operational records, batch versions, approved-intake snapshots, review decisions, consent/authority events, audit events.</w:t>
            </w:r>
          </w:p>
        </w:tc>
        <w:tc>
          <w:tcPr>
            <w:tcW w:type="dxa" w:w="3389"/>
            <w:vAlign w:val="center"/>
          </w:tcPr>
          <w:p>
            <w:pPr>
              <w:spacing w:after="40" w:line="240" w:lineRule="auto"/>
            </w:pPr>
            <w:r>
              <w:t>PostgreSQL; row-level controls and least-privilege database roles.</w:t>
            </w:r>
          </w:p>
        </w:tc>
      </w:tr>
      <w:tr>
        <w:tc>
          <w:tcPr>
            <w:tcW w:type="dxa" w:w="3389"/>
            <w:vAlign w:val="center"/>
          </w:tcPr>
          <w:p>
            <w:pPr>
              <w:spacing w:after="40" w:line="240" w:lineRule="auto"/>
            </w:pPr>
            <w:r>
              <w:t>6. Asynchronous jobs</w:t>
            </w:r>
          </w:p>
        </w:tc>
        <w:tc>
          <w:tcPr>
            <w:tcW w:type="dxa" w:w="3389"/>
            <w:vAlign w:val="center"/>
          </w:tcPr>
          <w:p>
            <w:pPr>
              <w:spacing w:after="40" w:line="240" w:lineRule="auto"/>
            </w:pPr>
            <w:r>
              <w:t>Large imports, matching candidate generation, exports, notifications, adapter retries.</w:t>
            </w:r>
          </w:p>
        </w:tc>
        <w:tc>
          <w:tcPr>
            <w:tcW w:type="dxa" w:w="3389"/>
            <w:vAlign w:val="center"/>
          </w:tcPr>
          <w:p>
            <w:pPr>
              <w:spacing w:after="40" w:line="240" w:lineRule="auto"/>
            </w:pPr>
            <w:r>
              <w:t>Add Celery/Redis only if batch volume or latency requires it; otherwise use a simple durable job table/worker.</w:t>
            </w:r>
          </w:p>
        </w:tc>
      </w:tr>
      <w:tr>
        <w:tc>
          <w:tcPr>
            <w:tcW w:type="dxa" w:w="3389"/>
            <w:vAlign w:val="center"/>
          </w:tcPr>
          <w:p>
            <w:pPr>
              <w:spacing w:after="40" w:line="240" w:lineRule="auto"/>
            </w:pPr>
            <w:r>
              <w:t>7. Integration adapters</w:t>
            </w:r>
          </w:p>
        </w:tc>
        <w:tc>
          <w:tcPr>
            <w:tcW w:type="dxa" w:w="3389"/>
            <w:vAlign w:val="center"/>
          </w:tcPr>
          <w:p>
            <w:pPr>
              <w:spacing w:after="40" w:line="240" w:lineRule="auto"/>
            </w:pPr>
            <w:r>
              <w:t>Campus ERP import/export; simulated or approved API Setu/DigiLocker/ONOD/ABC/AISHE adapters.</w:t>
            </w:r>
          </w:p>
        </w:tc>
        <w:tc>
          <w:tcPr>
            <w:tcW w:type="dxa" w:w="3389"/>
            <w:vAlign w:val="center"/>
          </w:tcPr>
          <w:p>
            <w:pPr>
              <w:spacing w:after="40" w:line="240" w:lineRule="auto"/>
            </w:pPr>
            <w:r>
              <w:t>Adapter interfaces and mock responses for demo; production connector status explicitly labelled.</w:t>
            </w:r>
          </w:p>
        </w:tc>
      </w:tr>
      <w:tr>
        <w:tc>
          <w:tcPr>
            <w:tcW w:type="dxa" w:w="3389"/>
            <w:vAlign w:val="center"/>
          </w:tcPr>
          <w:p>
            <w:pPr>
              <w:spacing w:after="40" w:line="240" w:lineRule="auto"/>
            </w:pPr>
            <w:r>
              <w:t>8. Operations and governance</w:t>
            </w:r>
          </w:p>
        </w:tc>
        <w:tc>
          <w:tcPr>
            <w:tcW w:type="dxa" w:w="3389"/>
            <w:vAlign w:val="center"/>
          </w:tcPr>
          <w:p>
            <w:pPr>
              <w:spacing w:after="40" w:line="240" w:lineRule="auto"/>
            </w:pPr>
            <w:r>
              <w:t>Monitoring, backup/restore, key rotation, security events, retention, policy releases, incident handling.</w:t>
            </w:r>
          </w:p>
        </w:tc>
        <w:tc>
          <w:tcPr>
            <w:tcW w:type="dxa" w:w="3389"/>
            <w:vAlign w:val="center"/>
          </w:tcPr>
          <w:p>
            <w:pPr>
              <w:spacing w:after="40" w:line="240" w:lineRule="auto"/>
            </w:pPr>
            <w:r>
              <w:t>Structured logs, metrics, secret manager in production, documented runbooks.</w:t>
            </w:r>
          </w:p>
        </w:tc>
      </w:tr>
    </w:tbl>
    <w:p/>
    <w:p>
      <w:pPr>
        <w:pStyle w:val="Heading2"/>
        <w:keepNext/>
      </w:pPr>
      <w:r>
        <w:t>3.2 Main data flow</w:t>
      </w:r>
    </w:p>
    <w:p>
      <w:pPr>
        <w:pStyle w:val="ListNumber"/>
      </w:pPr>
      <w:r>
        <w:t>Institution operator selects the institution, academic year, programme/course, and submission type; the server checks that the user is authorized for that institution.</w:t>
      </w:r>
    </w:p>
    <w:p>
      <w:pPr>
        <w:pStyle w:val="ListNumber"/>
      </w:pPr>
      <w:r>
        <w:t>Roster is uploaded to a staging batch. The server computes a checksum, assigns a batch ID, validates file structure, and returns row-level errors without silently discarding records.</w:t>
      </w:r>
    </w:p>
    <w:p>
      <w:pPr>
        <w:pStyle w:val="ListNumber"/>
      </w:pPr>
      <w:r>
        <w:t>Valid rows are normalized for comparison. Plaintext student attributes remain within the institution's trusted processing boundary wherever feasible; the platform does not send raw identity attributes to a shared matcher merely for convenience.</w:t>
      </w:r>
    </w:p>
    <w:p>
      <w:pPr>
        <w:pStyle w:val="ListNumber"/>
      </w:pPr>
      <w:r>
        <w:t>The intake compiler reconciles staged enrolments against a signed/versioned snapshot of approved intake. It produces deterministic count results and exceptions, not a free-form AI conclusion.</w:t>
      </w:r>
    </w:p>
    <w:p>
      <w:pPr>
        <w:pStyle w:val="ListNumber"/>
      </w:pPr>
      <w:r>
        <w:t>Identity resolution first checks exact, scoped APAAR tokens where the identifier has been verified through an authorized process. Records without a reliable exact token may enter the privacy-aware candidate-matching path.</w:t>
      </w:r>
    </w:p>
    <w:p>
      <w:pPr>
        <w:pStyle w:val="ListNumber"/>
      </w:pPr>
      <w:r>
        <w:t>The matcher returns candidate pairs and scores with method/version metadata. Scores below the review threshold are not treated as confirmed duplicates; ambiguous or high-impact cases require a human decision.</w:t>
      </w:r>
    </w:p>
    <w:p>
      <w:pPr>
        <w:pStyle w:val="ListNumber"/>
      </w:pPr>
      <w:r>
        <w:t>The policy adjudicator evaluates candidate pairs against programme mode, timing, academic period, entry type, applicable policy version, and documented exceptions. It distinguishes 'possible overlap' from 'reviewed violation'.</w:t>
      </w:r>
    </w:p>
    <w:p>
      <w:pPr>
        <w:pStyle w:val="ListNumber"/>
      </w:pPr>
      <w:r>
        <w:t>The institutional nodal officer resolves data-quality and match queues. AICTE/regional roles can view only the cases and aggregates permitted by their scope.</w:t>
      </w:r>
    </w:p>
    <w:p>
      <w:pPr>
        <w:pStyle w:val="ListNumber"/>
      </w:pPr>
      <w:r>
        <w:t>On approval, the batch is locked with a versioned snapshot and an audit event. Corrections create a new version rather than overwriting history.</w:t>
      </w:r>
    </w:p>
    <w:p>
      <w:pPr>
        <w:pStyle w:val="ListNumber"/>
      </w:pPr>
      <w:r>
        <w:t>Exports and external verification use explicit adapters, purpose limitation, minimum necessary fields, and a recorded authorization/consent decision.</w:t>
      </w:r>
    </w:p>
    <w:p>
      <w:pPr>
        <w:pStyle w:val="Heading2"/>
        <w:keepNext/>
      </w:pPr>
      <w:r>
        <w:t>3.3 Trust boundaries</w:t>
      </w:r>
    </w:p>
    <w:tbl>
      <w:tblPr>
        <w:tblStyle w:val="TableGrid"/>
        <w:tblW w:type="auto" w:w="0"/>
        <w:jc w:val="center"/>
        <w:tblLayout w:type="autofit"/>
        <w:tblLook w:firstColumn="1" w:firstRow="1" w:lastColumn="0" w:lastRow="0" w:noHBand="0" w:noVBand="1" w:val="04A0"/>
      </w:tblPr>
      <w:tblGrid>
        <w:gridCol w:w="3389"/>
        <w:gridCol w:w="3389"/>
        <w:gridCol w:w="3389"/>
      </w:tblGrid>
      <w:tr>
        <w:tc>
          <w:tcPr>
            <w:tcW w:type="dxa" w:w="3389"/>
            <w:vAlign w:val="center"/>
            <w:shd w:fill="DCEAF2"/>
          </w:tcPr>
          <w:p>
            <w:pPr>
              <w:spacing w:after="40" w:line="240" w:lineRule="auto"/>
            </w:pPr>
            <w:r>
              <w:t>Boundary</w:t>
            </w:r>
          </w:p>
        </w:tc>
        <w:tc>
          <w:tcPr>
            <w:tcW w:type="dxa" w:w="3389"/>
            <w:vAlign w:val="center"/>
            <w:shd w:fill="DCEAF2"/>
          </w:tcPr>
          <w:p>
            <w:pPr>
              <w:spacing w:after="40" w:line="240" w:lineRule="auto"/>
            </w:pPr>
            <w:r>
              <w:t>Data crossing it</w:t>
            </w:r>
          </w:p>
        </w:tc>
        <w:tc>
          <w:tcPr>
            <w:tcW w:type="dxa" w:w="3389"/>
            <w:vAlign w:val="center"/>
            <w:shd w:fill="DCEAF2"/>
          </w:tcPr>
          <w:p>
            <w:pPr>
              <w:spacing w:after="40" w:line="240" w:lineRule="auto"/>
            </w:pPr>
            <w:r>
              <w:t>Required controls</w:t>
            </w:r>
          </w:p>
        </w:tc>
      </w:tr>
      <w:tr>
        <w:tc>
          <w:tcPr>
            <w:tcW w:type="dxa" w:w="3389"/>
            <w:vAlign w:val="center"/>
          </w:tcPr>
          <w:p>
            <w:pPr>
              <w:spacing w:after="40" w:line="240" w:lineRule="auto"/>
            </w:pPr>
            <w:r>
              <w:t>Institution → platform</w:t>
            </w:r>
          </w:p>
        </w:tc>
        <w:tc>
          <w:tcPr>
            <w:tcW w:type="dxa" w:w="3389"/>
            <w:vAlign w:val="center"/>
          </w:tcPr>
          <w:p>
            <w:pPr>
              <w:spacing w:after="40" w:line="240" w:lineRule="auto"/>
            </w:pPr>
            <w:r>
              <w:t>Roster rows and approved course references</w:t>
            </w:r>
          </w:p>
        </w:tc>
        <w:tc>
          <w:tcPr>
            <w:tcW w:type="dxa" w:w="3389"/>
            <w:vAlign w:val="center"/>
          </w:tcPr>
          <w:p>
            <w:pPr>
              <w:spacing w:after="40" w:line="240" w:lineRule="auto"/>
            </w:pPr>
            <w:r>
              <w:t>TLS, authenticated uploader, institution scoping, schema validation, checksum, retention rules, upload audit.</w:t>
            </w:r>
          </w:p>
        </w:tc>
      </w:tr>
      <w:tr>
        <w:tc>
          <w:tcPr>
            <w:tcW w:type="dxa" w:w="3389"/>
            <w:vAlign w:val="center"/>
          </w:tcPr>
          <w:p>
            <w:pPr>
              <w:spacing w:after="40" w:line="240" w:lineRule="auto"/>
            </w:pPr>
            <w:r>
              <w:t>Institution edge → central matcher</w:t>
            </w:r>
          </w:p>
        </w:tc>
        <w:tc>
          <w:tcPr>
            <w:tcW w:type="dxa" w:w="3389"/>
            <w:vAlign w:val="center"/>
          </w:tcPr>
          <w:p>
            <w:pPr>
              <w:spacing w:after="40" w:line="240" w:lineRule="auto"/>
            </w:pPr>
            <w:r>
              <w:t>Pseudonymous exact tokens and encoded linkage features; no plaintext PPRL attributes in the proposed design</w:t>
            </w:r>
          </w:p>
        </w:tc>
        <w:tc>
          <w:tcPr>
            <w:tcW w:type="dxa" w:w="3389"/>
            <w:vAlign w:val="center"/>
          </w:tcPr>
          <w:p>
            <w:pPr>
              <w:spacing w:after="40" w:line="240" w:lineRule="auto"/>
            </w:pPr>
            <w:r>
              <w:t>Per-purpose tokenization, key separation, access restriction, documented threat model, rate limits, query controls, retention/erasure process.</w:t>
            </w:r>
          </w:p>
        </w:tc>
      </w:tr>
      <w:tr>
        <w:tc>
          <w:tcPr>
            <w:tcW w:type="dxa" w:w="3389"/>
            <w:vAlign w:val="center"/>
          </w:tcPr>
          <w:p>
            <w:pPr>
              <w:spacing w:after="40" w:line="240" w:lineRule="auto"/>
            </w:pPr>
            <w:r>
              <w:t>Platform → external requester</w:t>
            </w:r>
          </w:p>
        </w:tc>
        <w:tc>
          <w:tcPr>
            <w:tcW w:type="dxa" w:w="3389"/>
            <w:vAlign w:val="center"/>
          </w:tcPr>
          <w:p>
            <w:pPr>
              <w:spacing w:after="40" w:line="240" w:lineRule="auto"/>
            </w:pPr>
            <w:r>
              <w:t>Only approved verification claims or minimum necessary attributes</w:t>
            </w:r>
          </w:p>
        </w:tc>
        <w:tc>
          <w:tcPr>
            <w:tcW w:type="dxa" w:w="3389"/>
            <w:vAlign w:val="center"/>
          </w:tcPr>
          <w:p>
            <w:pPr>
              <w:spacing w:after="40" w:line="240" w:lineRule="auto"/>
            </w:pPr>
            <w:r>
              <w:t>Requester identity, purpose, scope, applicable legal basis/consent, expiry, rate limits, response audit.</w:t>
            </w:r>
          </w:p>
        </w:tc>
      </w:tr>
      <w:tr>
        <w:tc>
          <w:tcPr>
            <w:tcW w:type="dxa" w:w="3389"/>
            <w:vAlign w:val="center"/>
          </w:tcPr>
          <w:p>
            <w:pPr>
              <w:spacing w:after="40" w:line="240" w:lineRule="auto"/>
            </w:pPr>
            <w:r>
              <w:t>Platform → government system</w:t>
            </w:r>
          </w:p>
        </w:tc>
        <w:tc>
          <w:tcPr>
            <w:tcW w:type="dxa" w:w="3389"/>
            <w:vAlign w:val="center"/>
          </w:tcPr>
          <w:p>
            <w:pPr>
              <w:spacing w:after="40" w:line="240" w:lineRule="auto"/>
            </w:pPr>
            <w:r>
              <w:t>Data required by the relevant official interface</w:t>
            </w:r>
          </w:p>
        </w:tc>
        <w:tc>
          <w:tcPr>
            <w:tcW w:type="dxa" w:w="3389"/>
            <w:vAlign w:val="center"/>
          </w:tcPr>
          <w:p>
            <w:pPr>
              <w:spacing w:after="40" w:line="240" w:lineRule="auto"/>
            </w:pPr>
            <w:r>
              <w:t>Only after official schema, credentials, authority, and integration contract are confirmed; otherwise mock adapter.</w:t>
            </w:r>
          </w:p>
        </w:tc>
      </w:tr>
      <w:tr>
        <w:tc>
          <w:tcPr>
            <w:tcW w:type="dxa" w:w="3389"/>
            <w:vAlign w:val="center"/>
          </w:tcPr>
          <w:p>
            <w:pPr>
              <w:spacing w:after="40" w:line="240" w:lineRule="auto"/>
            </w:pPr>
            <w:r>
              <w:t>Application → audit/observability</w:t>
            </w:r>
          </w:p>
        </w:tc>
        <w:tc>
          <w:tcPr>
            <w:tcW w:type="dxa" w:w="3389"/>
            <w:vAlign w:val="center"/>
          </w:tcPr>
          <w:p>
            <w:pPr>
              <w:spacing w:after="40" w:line="240" w:lineRule="auto"/>
            </w:pPr>
            <w:r>
              <w:t>Event metadata and decision identifiers</w:t>
            </w:r>
          </w:p>
        </w:tc>
        <w:tc>
          <w:tcPr>
            <w:tcW w:type="dxa" w:w="3389"/>
            <w:vAlign w:val="center"/>
          </w:tcPr>
          <w:p>
            <w:pPr>
              <w:spacing w:after="40" w:line="240" w:lineRule="auto"/>
            </w:pPr>
            <w:r>
              <w:t>No raw roster dumps, tokens, credentials, or sensitive attributes in ordinary logs.</w:t>
            </w:r>
          </w:p>
        </w:tc>
      </w:tr>
    </w:tbl>
    <w:p/>
    <w:p>
      <w:pPr>
        <w:pStyle w:val="Heading1"/>
        <w:keepNext/>
      </w:pPr>
      <w:r>
        <w:t>4. Privacy-preserving entity resolution redesign</w:t>
      </w:r>
    </w:p>
    <w:p>
      <w:pPr>
        <w:pStyle w:val="Heading2"/>
        <w:keepNext/>
      </w:pPr>
      <w:r>
        <w:t>4.1 Chosen design</w:t>
      </w:r>
    </w:p>
    <w:p>
      <w:r>
        <w:rPr>
          <w:i w:val="0"/>
        </w:rPr>
        <w:t>Chosen option: keep plaintext identity attributes at the institution and send encoded linkage representations to the central matching service. This is a privacy-minimizing design direction, not a claim of zero PII exposure or cryptographic proof of anonymity. The exact implementation must be validated against a threat model and tested for inference, frequency, and linkage attacks.</w:t>
      </w:r>
    </w:p>
    <w:p>
      <w:pPr>
        <w:pStyle w:val="Heading2"/>
        <w:keepNext/>
      </w:pPr>
      <w:r>
        <w:t>4.2 Two-stage matching</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c>
          <w:tcPr>
            <w:tcW w:type="dxa" w:w="2541"/>
            <w:vAlign w:val="center"/>
            <w:shd w:fill="DCEAF2"/>
          </w:tcPr>
          <w:p>
            <w:pPr>
              <w:spacing w:after="40" w:line="240" w:lineRule="auto"/>
            </w:pPr>
            <w:r>
              <w:t>Stage</w:t>
            </w:r>
          </w:p>
        </w:tc>
        <w:tc>
          <w:tcPr>
            <w:tcW w:type="dxa" w:w="2541"/>
            <w:vAlign w:val="center"/>
            <w:shd w:fill="DCEAF2"/>
          </w:tcPr>
          <w:p>
            <w:pPr>
              <w:spacing w:after="40" w:line="240" w:lineRule="auto"/>
            </w:pPr>
            <w:r>
              <w:t>Input</w:t>
            </w:r>
          </w:p>
        </w:tc>
        <w:tc>
          <w:tcPr>
            <w:tcW w:type="dxa" w:w="2541"/>
            <w:vAlign w:val="center"/>
            <w:shd w:fill="DCEAF2"/>
          </w:tcPr>
          <w:p>
            <w:pPr>
              <w:spacing w:after="40" w:line="240" w:lineRule="auto"/>
            </w:pPr>
            <w:r>
              <w:t>Operation</w:t>
            </w:r>
          </w:p>
        </w:tc>
        <w:tc>
          <w:tcPr>
            <w:tcW w:type="dxa" w:w="2541"/>
            <w:vAlign w:val="center"/>
            <w:shd w:fill="DCEAF2"/>
          </w:tcPr>
          <w:p>
            <w:pPr>
              <w:spacing w:after="40" w:line="240" w:lineRule="auto"/>
            </w:pPr>
            <w:r>
              <w:t>Output / handling</w:t>
            </w:r>
          </w:p>
        </w:tc>
      </w:tr>
      <w:tr>
        <w:tc>
          <w:tcPr>
            <w:tcW w:type="dxa" w:w="2541"/>
            <w:vAlign w:val="center"/>
          </w:tcPr>
          <w:p>
            <w:pPr>
              <w:spacing w:after="40" w:line="240" w:lineRule="auto"/>
            </w:pPr>
            <w:r>
              <w:t>Stage A: exact identifier</w:t>
            </w:r>
          </w:p>
        </w:tc>
        <w:tc>
          <w:tcPr>
            <w:tcW w:type="dxa" w:w="2541"/>
            <w:vAlign w:val="center"/>
          </w:tcPr>
          <w:p>
            <w:pPr>
              <w:spacing w:after="40" w:line="240" w:lineRule="auto"/>
            </w:pPr>
            <w:r>
              <w:t>Verified APAAR ID at the trusted institution</w:t>
            </w:r>
          </w:p>
        </w:tc>
        <w:tc>
          <w:tcPr>
            <w:tcW w:type="dxa" w:w="2541"/>
            <w:vAlign w:val="center"/>
          </w:tcPr>
          <w:p>
            <w:pPr>
              <w:spacing w:after="40" w:line="240" w:lineRule="auto"/>
            </w:pPr>
            <w:r>
              <w:t>Create a deterministic HMAC token using a server-held secret and a key/version scope. Do not use an unkeyed hash of a predictable identifier.</w:t>
            </w:r>
          </w:p>
        </w:tc>
        <w:tc>
          <w:tcPr>
            <w:tcW w:type="dxa" w:w="2541"/>
            <w:vAlign w:val="center"/>
          </w:tcPr>
          <w:p>
            <w:pPr>
              <w:spacing w:after="40" w:line="240" w:lineRule="auto"/>
            </w:pPr>
            <w:r>
              <w:t>Exact-token candidate linkage; never expose the HMAC key to clients. Treat the token as pseudonymous personal data.</w:t>
            </w:r>
          </w:p>
        </w:tc>
      </w:tr>
      <w:tr>
        <w:tc>
          <w:tcPr>
            <w:tcW w:type="dxa" w:w="2541"/>
            <w:vAlign w:val="center"/>
          </w:tcPr>
          <w:p>
            <w:pPr>
              <w:spacing w:after="40" w:line="240" w:lineRule="auto"/>
            </w:pPr>
            <w:r>
              <w:t>Stage B: PPRL candidate generation</w:t>
            </w:r>
          </w:p>
        </w:tc>
        <w:tc>
          <w:tcPr>
            <w:tcW w:type="dxa" w:w="2541"/>
            <w:vAlign w:val="center"/>
          </w:tcPr>
          <w:p>
            <w:pPr>
              <w:spacing w:after="40" w:line="240" w:lineRule="auto"/>
            </w:pPr>
            <w:r>
              <w:t>Name, full DOB, parent/guardian attributes and other approved linkage fields processed locally</w:t>
            </w:r>
          </w:p>
        </w:tc>
        <w:tc>
          <w:tcPr>
            <w:tcW w:type="dxa" w:w="2541"/>
            <w:vAlign w:val="center"/>
          </w:tcPr>
          <w:p>
            <w:pPr>
              <w:spacing w:after="40" w:line="240" w:lineRule="auto"/>
            </w:pPr>
            <w:r>
              <w:t>Normalize and encode selected fields into a documented Bloom-filter representation; apply secondary encoding or controlled blocking as justified by the threat model.</w:t>
            </w:r>
          </w:p>
        </w:tc>
        <w:tc>
          <w:tcPr>
            <w:tcW w:type="dxa" w:w="2541"/>
            <w:vAlign w:val="center"/>
          </w:tcPr>
          <w:p>
            <w:pPr>
              <w:spacing w:after="40" w:line="240" w:lineRule="auto"/>
            </w:pPr>
            <w:r>
              <w:t>Encoded representation and metadata sent to matcher; no plaintext identity fields stored in the central matching schema.</w:t>
            </w:r>
          </w:p>
        </w:tc>
      </w:tr>
      <w:tr>
        <w:tc>
          <w:tcPr>
            <w:tcW w:type="dxa" w:w="2541"/>
            <w:vAlign w:val="center"/>
          </w:tcPr>
          <w:p>
            <w:pPr>
              <w:spacing w:after="40" w:line="240" w:lineRule="auto"/>
            </w:pPr>
            <w:r>
              <w:t>Stage C: similarity</w:t>
            </w:r>
          </w:p>
        </w:tc>
        <w:tc>
          <w:tcPr>
            <w:tcW w:type="dxa" w:w="2541"/>
            <w:vAlign w:val="center"/>
          </w:tcPr>
          <w:p>
            <w:pPr>
              <w:spacing w:after="40" w:line="240" w:lineRule="auto"/>
            </w:pPr>
            <w:r>
              <w:t>Candidate pairs emitted by blocking</w:t>
            </w:r>
          </w:p>
        </w:tc>
        <w:tc>
          <w:tcPr>
            <w:tcW w:type="dxa" w:w="2541"/>
            <w:vAlign w:val="center"/>
          </w:tcPr>
          <w:p>
            <w:pPr>
              <w:spacing w:after="40" w:line="240" w:lineRule="auto"/>
            </w:pPr>
            <w:r>
              <w:t>Option 1: compare encoded filters using a documented measure such as Dice similarity. Option 2: use Jaro–Winkler on plaintext strings only inside a trusted local or explicitly authorized secure computation boundary.</w:t>
            </w:r>
          </w:p>
        </w:tc>
        <w:tc>
          <w:tcPr>
            <w:tcW w:type="dxa" w:w="2541"/>
            <w:vAlign w:val="center"/>
          </w:tcPr>
          <w:p>
            <w:pPr>
              <w:spacing w:after="40" w:line="240" w:lineRule="auto"/>
            </w:pPr>
            <w:r>
              <w:t>Score + method + version + reason metadata; do not call Jaro–Winkler directly on Bloom-filter bit arrays.</w:t>
            </w:r>
          </w:p>
        </w:tc>
      </w:tr>
      <w:tr>
        <w:tc>
          <w:tcPr>
            <w:tcW w:type="dxa" w:w="2541"/>
            <w:vAlign w:val="center"/>
          </w:tcPr>
          <w:p>
            <w:pPr>
              <w:spacing w:after="40" w:line="240" w:lineRule="auto"/>
            </w:pPr>
            <w:r>
              <w:t>Stage D: adjudication</w:t>
            </w:r>
          </w:p>
        </w:tc>
        <w:tc>
          <w:tcPr>
            <w:tcW w:type="dxa" w:w="2541"/>
            <w:vAlign w:val="center"/>
          </w:tcPr>
          <w:p>
            <w:pPr>
              <w:spacing w:after="40" w:line="240" w:lineRule="auto"/>
            </w:pPr>
            <w:r>
              <w:t>Candidate pair, programme metadata and evidence</w:t>
            </w:r>
          </w:p>
        </w:tc>
        <w:tc>
          <w:tcPr>
            <w:tcW w:type="dxa" w:w="2541"/>
            <w:vAlign w:val="center"/>
          </w:tcPr>
          <w:p>
            <w:pPr>
              <w:spacing w:after="40" w:line="240" w:lineRule="auto"/>
            </w:pPr>
            <w:r>
              <w:t>Apply versioned policy rules and route uncertain cases to a human reviewer.</w:t>
            </w:r>
          </w:p>
        </w:tc>
        <w:tc>
          <w:tcPr>
            <w:tcW w:type="dxa" w:w="2541"/>
            <w:vAlign w:val="center"/>
          </w:tcPr>
          <w:p>
            <w:pPr>
              <w:spacing w:after="40" w:line="240" w:lineRule="auto"/>
            </w:pPr>
            <w:r>
              <w:t>Possible match / dismissed / permitted overlap / escalated / confirmed after review; no automatic guilt finding.</w:t>
            </w:r>
          </w:p>
        </w:tc>
      </w:tr>
    </w:tbl>
    <w:p/>
    <w:p>
      <w:pPr>
        <w:pStyle w:val="Heading2"/>
        <w:keepNext/>
      </w:pPr>
      <w:r>
        <w:t>4.3 Similarity bands</w:t>
      </w:r>
    </w:p>
    <w:tbl>
      <w:tblPr>
        <w:tblStyle w:val="TableGrid"/>
        <w:tblW w:type="auto" w:w="0"/>
        <w:jc w:val="center"/>
        <w:tblLayout w:type="autofit"/>
        <w:tblLook w:firstColumn="1" w:firstRow="1" w:lastColumn="0" w:lastRow="0" w:noHBand="0" w:noVBand="1" w:val="04A0"/>
      </w:tblPr>
      <w:tblGrid>
        <w:gridCol w:w="3389"/>
        <w:gridCol w:w="3389"/>
        <w:gridCol w:w="3389"/>
      </w:tblGrid>
      <w:tr>
        <w:tc>
          <w:tcPr>
            <w:tcW w:type="dxa" w:w="3389"/>
            <w:vAlign w:val="center"/>
            <w:shd w:fill="DCEAF2"/>
          </w:tcPr>
          <w:p>
            <w:pPr>
              <w:spacing w:after="40" w:line="240" w:lineRule="auto"/>
            </w:pPr>
            <w:r>
              <w:t>Score band</w:t>
            </w:r>
          </w:p>
        </w:tc>
        <w:tc>
          <w:tcPr>
            <w:tcW w:type="dxa" w:w="3389"/>
            <w:vAlign w:val="center"/>
            <w:shd w:fill="DCEAF2"/>
          </w:tcPr>
          <w:p>
            <w:pPr>
              <w:spacing w:after="40" w:line="240" w:lineRule="auto"/>
            </w:pPr>
            <w:r>
              <w:t>System action</w:t>
            </w:r>
          </w:p>
        </w:tc>
        <w:tc>
          <w:tcPr>
            <w:tcW w:type="dxa" w:w="3389"/>
            <w:vAlign w:val="center"/>
            <w:shd w:fill="DCEAF2"/>
          </w:tcPr>
          <w:p>
            <w:pPr>
              <w:spacing w:after="40" w:line="240" w:lineRule="auto"/>
            </w:pPr>
            <w:r>
              <w:t>Caveat</w:t>
            </w:r>
          </w:p>
        </w:tc>
      </w:tr>
      <w:tr>
        <w:tc>
          <w:tcPr>
            <w:tcW w:type="dxa" w:w="3389"/>
            <w:vAlign w:val="center"/>
          </w:tcPr>
          <w:p>
            <w:pPr>
              <w:spacing w:after="40" w:line="240" w:lineRule="auto"/>
            </w:pPr>
            <w:r>
              <w:t>Score &lt; 0.78</w:t>
            </w:r>
          </w:p>
        </w:tc>
        <w:tc>
          <w:tcPr>
            <w:tcW w:type="dxa" w:w="3389"/>
            <w:vAlign w:val="center"/>
          </w:tcPr>
          <w:p>
            <w:pPr>
              <w:spacing w:after="40" w:line="240" w:lineRule="auto"/>
            </w:pPr>
            <w:r>
              <w:t>Do not auto-match; retain only if required by the documented candidate-generation policy.</w:t>
            </w:r>
          </w:p>
        </w:tc>
        <w:tc>
          <w:tcPr>
            <w:tcW w:type="dxa" w:w="3389"/>
            <w:vAlign w:val="center"/>
          </w:tcPr>
          <w:p>
            <w:pPr>
              <w:spacing w:after="40" w:line="240" w:lineRule="auto"/>
            </w:pPr>
            <w:r>
              <w:t>A low score does not prove records refer to different people.</w:t>
            </w:r>
          </w:p>
        </w:tc>
      </w:tr>
      <w:tr>
        <w:tc>
          <w:tcPr>
            <w:tcW w:type="dxa" w:w="3389"/>
            <w:vAlign w:val="center"/>
          </w:tcPr>
          <w:p>
            <w:pPr>
              <w:spacing w:after="40" w:line="240" w:lineRule="auto"/>
            </w:pPr>
            <w:r>
              <w:t>0.78 ≤ score &lt; 0.92</w:t>
            </w:r>
          </w:p>
        </w:tc>
        <w:tc>
          <w:tcPr>
            <w:tcW w:type="dxa" w:w="3389"/>
            <w:vAlign w:val="center"/>
          </w:tcPr>
          <w:p>
            <w:pPr>
              <w:spacing w:after="40" w:line="240" w:lineRule="auto"/>
            </w:pPr>
            <w:r>
              <w:t>Human review band.</w:t>
            </w:r>
          </w:p>
        </w:tc>
        <w:tc>
          <w:tcPr>
            <w:tcW w:type="dxa" w:w="3389"/>
            <w:vAlign w:val="center"/>
          </w:tcPr>
          <w:p>
            <w:pPr>
              <w:spacing w:after="40" w:line="240" w:lineRule="auto"/>
            </w:pPr>
            <w:r>
              <w:t>Show score provenance and the evidence fields that contributed; avoid exposing other institutions' plaintext.</w:t>
            </w:r>
          </w:p>
        </w:tc>
      </w:tr>
      <w:tr>
        <w:tc>
          <w:tcPr>
            <w:tcW w:type="dxa" w:w="3389"/>
            <w:vAlign w:val="center"/>
          </w:tcPr>
          <w:p>
            <w:pPr>
              <w:spacing w:after="40" w:line="240" w:lineRule="auto"/>
            </w:pPr>
            <w:r>
              <w:t>Score ≥ 0.92</w:t>
            </w:r>
          </w:p>
        </w:tc>
        <w:tc>
          <w:tcPr>
            <w:tcW w:type="dxa" w:w="3389"/>
            <w:vAlign w:val="center"/>
          </w:tcPr>
          <w:p>
            <w:pPr>
              <w:spacing w:after="40" w:line="240" w:lineRule="auto"/>
            </w:pPr>
            <w:r>
              <w:t>High-confidence candidate for expedited review or a narrowly scoped auto-match only after validation.</w:t>
            </w:r>
          </w:p>
        </w:tc>
        <w:tc>
          <w:tcPr>
            <w:tcW w:type="dxa" w:w="3389"/>
            <w:vAlign w:val="center"/>
          </w:tcPr>
          <w:p>
            <w:pPr>
              <w:spacing w:after="40" w:line="240" w:lineRule="auto"/>
            </w:pPr>
            <w:r>
              <w:t>Threshold is a design target, not a validated performance result. Confirmed identity and legal adjudication remain separate.</w:t>
            </w:r>
          </w:p>
        </w:tc>
      </w:tr>
    </w:tbl>
    <w:p/>
    <w:p>
      <w:r>
        <w:rPr>
          <w:i w:val="0"/>
        </w:rPr>
        <w:t>Thresholds must be calibrated using labelled, representative synthetic and—only with proper authority and safeguards—appropriately governed test data. The report must label precision, false-accept rate, and latency as targets on self-generated synthetic data until a reproducible benchmark has been run.</w:t>
      </w:r>
    </w:p>
    <w:p>
      <w:pPr>
        <w:pStyle w:val="Heading2"/>
        <w:keepNext/>
      </w:pPr>
      <w:r>
        <w:t>4.4 Full-phone linkage</w:t>
      </w:r>
    </w:p>
    <w:p>
      <w:r>
        <w:rPr>
          <w:i w:val="0"/>
        </w:rPr>
        <w:t>Do not use only the last four digits of a mobile number as the matching token. If mobile linkage is approved and necessary, process the full normalized number with HMAC-SHA-256 using a secret pepper held outside the database, version the key, and restrict access to the resulting token. This does not make the phone number collision-free: shared family numbers, recycled numbers, input errors, and key/version transitions can produce false links or missed links. Phone matching must be one signal, never a sole identity proof.</w:t>
      </w:r>
    </w:p>
    <w:p>
      <w:pPr>
        <w:pStyle w:val="Heading2"/>
        <w:keepNext/>
      </w:pPr>
      <w:r>
        <w:t>4.5 PPRL controls and honest claims</w:t>
      </w:r>
    </w:p>
    <w:p>
      <w:pPr>
        <w:pStyle w:val="ListBullet"/>
      </w:pPr>
      <w:r>
        <w:t>Bloom filters can leak information, especially when input fields have low entropy or an attacker can submit chosen records. Evaluate cryptanalysis and frequency attacks before production use.</w:t>
      </w:r>
    </w:p>
    <w:p>
      <w:pPr>
        <w:pStyle w:val="ListBullet"/>
      </w:pPr>
      <w:r>
        <w:t>Do not publish filter values or match endpoints openly; enforce institution authorization, query budgets, monitoring, and purpose limitation.</w:t>
      </w:r>
    </w:p>
    <w:p>
      <w:pPr>
        <w:pStyle w:val="ListBullet"/>
      </w:pPr>
      <w:r>
        <w:t>Use separate keys for APAAR HMAC, phone HMAC, and any other token purpose; rotate keys with a planned migration strategy.</w:t>
      </w:r>
    </w:p>
    <w:p>
      <w:pPr>
        <w:pStyle w:val="ListBullet"/>
      </w:pPr>
      <w:r>
        <w:t>Do not store raw name/DOB/parent fields in a central student_enrolments table if the design claims these remain local. Store local references and status metadata centrally instead.</w:t>
      </w:r>
    </w:p>
    <w:p>
      <w:pPr>
        <w:pStyle w:val="ListBullet"/>
      </w:pPr>
      <w:r>
        <w:t>Define what the central service may persist: encoded filter, key/version ID, institution-scoped pseudonymous record ID, candidate pair ID, score/method/version, status, and retention deadline.</w:t>
      </w:r>
    </w:p>
    <w:p>
      <w:pPr>
        <w:pStyle w:val="ListBullet"/>
      </w:pPr>
      <w:r>
        <w:t>Any central review process that requires plaintext must use a separately approved disclosure path with explicit access controls and audit—not a hidden bypass in the matcher.</w:t>
      </w:r>
    </w:p>
    <w:p>
      <w:pPr>
        <w:pStyle w:val="Heading1"/>
        <w:keepNext/>
      </w:pPr>
      <w:r>
        <w:t>5. Core domain model and storage</w:t>
      </w:r>
    </w:p>
    <w:p>
      <w:r>
        <w:rPr>
          <w:i w:val="0"/>
        </w:rPr>
        <w:t>The model below is a proposed minimum. It deliberately separates institutional identity attributes from central linkage metadata and separates raw evidence from derived decisions.</w:t>
      </w:r>
    </w:p>
    <w:tbl>
      <w:tblPr>
        <w:tblStyle w:val="TableGrid"/>
        <w:tblW w:type="auto" w:w="0"/>
        <w:jc w:val="center"/>
        <w:tblLayout w:type="autofit"/>
        <w:tblLook w:firstColumn="1" w:firstRow="1" w:lastColumn="0" w:lastRow="0" w:noHBand="0" w:noVBand="1" w:val="04A0"/>
      </w:tblPr>
      <w:tblGrid>
        <w:gridCol w:w="3389"/>
        <w:gridCol w:w="3389"/>
        <w:gridCol w:w="3389"/>
      </w:tblGrid>
      <w:tr>
        <w:tc>
          <w:tcPr>
            <w:tcW w:type="dxa" w:w="3389"/>
            <w:vAlign w:val="center"/>
            <w:shd w:fill="DCEAF2"/>
          </w:tcPr>
          <w:p>
            <w:pPr>
              <w:spacing w:after="40" w:line="240" w:lineRule="auto"/>
            </w:pPr>
            <w:r>
              <w:t>Entity</w:t>
            </w:r>
          </w:p>
        </w:tc>
        <w:tc>
          <w:tcPr>
            <w:tcW w:type="dxa" w:w="3389"/>
            <w:vAlign w:val="center"/>
            <w:shd w:fill="DCEAF2"/>
          </w:tcPr>
          <w:p>
            <w:pPr>
              <w:spacing w:after="40" w:line="240" w:lineRule="auto"/>
            </w:pPr>
            <w:r>
              <w:t>Key fields (illustrative)</w:t>
            </w:r>
          </w:p>
        </w:tc>
        <w:tc>
          <w:tcPr>
            <w:tcW w:type="dxa" w:w="3389"/>
            <w:vAlign w:val="center"/>
            <w:shd w:fill="DCEAF2"/>
          </w:tcPr>
          <w:p>
            <w:pPr>
              <w:spacing w:after="40" w:line="240" w:lineRule="auto"/>
            </w:pPr>
            <w:r>
              <w:t>Purpose / notes</w:t>
            </w:r>
          </w:p>
        </w:tc>
      </w:tr>
      <w:tr>
        <w:tc>
          <w:tcPr>
            <w:tcW w:type="dxa" w:w="3389"/>
            <w:vAlign w:val="center"/>
          </w:tcPr>
          <w:p>
            <w:pPr>
              <w:spacing w:after="40" w:line="240" w:lineRule="auto"/>
            </w:pPr>
            <w:r>
              <w:t>institutions</w:t>
            </w:r>
          </w:p>
        </w:tc>
        <w:tc>
          <w:tcPr>
            <w:tcW w:type="dxa" w:w="3389"/>
            <w:vAlign w:val="center"/>
          </w:tcPr>
          <w:p>
            <w:pPr>
              <w:spacing w:after="40" w:line="240" w:lineRule="auto"/>
            </w:pPr>
            <w:r>
              <w:t>institution_id, official_code, status, integration_profile_id</w:t>
            </w:r>
          </w:p>
        </w:tc>
        <w:tc>
          <w:tcPr>
            <w:tcW w:type="dxa" w:w="3389"/>
            <w:vAlign w:val="center"/>
          </w:tcPr>
          <w:p>
            <w:pPr>
              <w:spacing w:after="40" w:line="240" w:lineRule="auto"/>
            </w:pPr>
            <w:r>
              <w:t>Tenant boundary; authoritative codes must be verified against the applicable registry.</w:t>
            </w:r>
          </w:p>
        </w:tc>
      </w:tr>
      <w:tr>
        <w:tc>
          <w:tcPr>
            <w:tcW w:type="dxa" w:w="3389"/>
            <w:vAlign w:val="center"/>
          </w:tcPr>
          <w:p>
            <w:pPr>
              <w:spacing w:after="40" w:line="240" w:lineRule="auto"/>
            </w:pPr>
            <w:r>
              <w:t>users / role_assignments</w:t>
            </w:r>
          </w:p>
        </w:tc>
        <w:tc>
          <w:tcPr>
            <w:tcW w:type="dxa" w:w="3389"/>
            <w:vAlign w:val="center"/>
          </w:tcPr>
          <w:p>
            <w:pPr>
              <w:spacing w:after="40" w:line="240" w:lineRule="auto"/>
            </w:pPr>
            <w:r>
              <w:t>user_id, institution_id, role, scope, status</w:t>
            </w:r>
          </w:p>
        </w:tc>
        <w:tc>
          <w:tcPr>
            <w:tcW w:type="dxa" w:w="3389"/>
            <w:vAlign w:val="center"/>
          </w:tcPr>
          <w:p>
            <w:pPr>
              <w:spacing w:after="40" w:line="240" w:lineRule="auto"/>
            </w:pPr>
            <w:r>
              <w:t>RBAC/ABAC; every role assignment has a scope and lifecycle.</w:t>
            </w:r>
          </w:p>
        </w:tc>
      </w:tr>
      <w:tr>
        <w:tc>
          <w:tcPr>
            <w:tcW w:type="dxa" w:w="3389"/>
            <w:vAlign w:val="center"/>
          </w:tcPr>
          <w:p>
            <w:pPr>
              <w:spacing w:after="40" w:line="240" w:lineRule="auto"/>
            </w:pPr>
            <w:r>
              <w:t>approved_intake_snapshots</w:t>
            </w:r>
          </w:p>
        </w:tc>
        <w:tc>
          <w:tcPr>
            <w:tcW w:type="dxa" w:w="3389"/>
            <w:vAlign w:val="center"/>
          </w:tcPr>
          <w:p>
            <w:pPr>
              <w:spacing w:after="40" w:line="240" w:lineRule="auto"/>
            </w:pPr>
            <w:r>
              <w:t>snapshot_id, institution_id, course_id, academic_year, shift, mode, entry_level, approved_count, source_ref, effective_from/to, version</w:t>
            </w:r>
          </w:p>
        </w:tc>
        <w:tc>
          <w:tcPr>
            <w:tcW w:type="dxa" w:w="3389"/>
            <w:vAlign w:val="center"/>
          </w:tcPr>
          <w:p>
            <w:pPr>
              <w:spacing w:after="40" w:line="240" w:lineRule="auto"/>
            </w:pPr>
            <w:r>
              <w:t>Immutable approved-intake snapshot; source and effective date required.</w:t>
            </w:r>
          </w:p>
        </w:tc>
      </w:tr>
      <w:tr>
        <w:tc>
          <w:tcPr>
            <w:tcW w:type="dxa" w:w="3389"/>
            <w:vAlign w:val="center"/>
          </w:tcPr>
          <w:p>
            <w:pPr>
              <w:spacing w:after="40" w:line="240" w:lineRule="auto"/>
            </w:pPr>
            <w:r>
              <w:t>submission_batches</w:t>
            </w:r>
          </w:p>
        </w:tc>
        <w:tc>
          <w:tcPr>
            <w:tcW w:type="dxa" w:w="3389"/>
            <w:vAlign w:val="center"/>
          </w:tcPr>
          <w:p>
            <w:pPr>
              <w:spacing w:after="40" w:line="240" w:lineRule="auto"/>
            </w:pPr>
            <w:r>
              <w:t>batch_id, institution_id, uploader_id, checksum, schema_version, state, created_at, locked_at, parent_version_id</w:t>
            </w:r>
          </w:p>
        </w:tc>
        <w:tc>
          <w:tcPr>
            <w:tcW w:type="dxa" w:w="3389"/>
            <w:vAlign w:val="center"/>
          </w:tcPr>
          <w:p>
            <w:pPr>
              <w:spacing w:after="40" w:line="240" w:lineRule="auto"/>
            </w:pPr>
            <w:r>
              <w:t>Idempotent batch lifecycle and version history.</w:t>
            </w:r>
          </w:p>
        </w:tc>
      </w:tr>
      <w:tr>
        <w:tc>
          <w:tcPr>
            <w:tcW w:type="dxa" w:w="3389"/>
            <w:vAlign w:val="center"/>
          </w:tcPr>
          <w:p>
            <w:pPr>
              <w:spacing w:after="40" w:line="240" w:lineRule="auto"/>
            </w:pPr>
            <w:r>
              <w:t>staged_enrolments</w:t>
            </w:r>
          </w:p>
        </w:tc>
        <w:tc>
          <w:tcPr>
            <w:tcW w:type="dxa" w:w="3389"/>
            <w:vAlign w:val="center"/>
          </w:tcPr>
          <w:p>
            <w:pPr>
              <w:spacing w:after="40" w:line="240" w:lineRule="auto"/>
            </w:pPr>
            <w:r>
              <w:t>staged_record_id, batch_id, local_record_ref, course_id, academic_year, category, entry_level, identity_status, validation_state</w:t>
            </w:r>
          </w:p>
        </w:tc>
        <w:tc>
          <w:tcPr>
            <w:tcW w:type="dxa" w:w="3389"/>
            <w:vAlign w:val="center"/>
          </w:tcPr>
          <w:p>
            <w:pPr>
              <w:spacing w:after="40" w:line="240" w:lineRule="auto"/>
            </w:pPr>
            <w:r>
              <w:t>Staging representation; avoid central plaintext PII for PPRL-only flows.</w:t>
            </w:r>
          </w:p>
        </w:tc>
      </w:tr>
      <w:tr>
        <w:tc>
          <w:tcPr>
            <w:tcW w:type="dxa" w:w="3389"/>
            <w:vAlign w:val="center"/>
          </w:tcPr>
          <w:p>
            <w:pPr>
              <w:spacing w:after="40" w:line="240" w:lineRule="auto"/>
            </w:pPr>
            <w:r>
              <w:t>institution_identity_vault (institution side)</w:t>
            </w:r>
          </w:p>
        </w:tc>
        <w:tc>
          <w:tcPr>
            <w:tcW w:type="dxa" w:w="3389"/>
            <w:vAlign w:val="center"/>
          </w:tcPr>
          <w:p>
            <w:pPr>
              <w:spacing w:after="40" w:line="240" w:lineRule="auto"/>
            </w:pPr>
            <w:r>
              <w:t>local_record_ref, normalized_name, DOB, parent/guardian attributes, mobile number, local APAAR reference</w:t>
            </w:r>
          </w:p>
        </w:tc>
        <w:tc>
          <w:tcPr>
            <w:tcW w:type="dxa" w:w="3389"/>
            <w:vAlign w:val="center"/>
          </w:tcPr>
          <w:p>
            <w:pPr>
              <w:spacing w:after="40" w:line="240" w:lineRule="auto"/>
            </w:pPr>
            <w:r>
              <w:t>Trusted local store; access controlled and encrypted under institutional governance. Not the shared central matcher store.</w:t>
            </w:r>
          </w:p>
        </w:tc>
      </w:tr>
      <w:tr>
        <w:tc>
          <w:tcPr>
            <w:tcW w:type="dxa" w:w="3389"/>
            <w:vAlign w:val="center"/>
          </w:tcPr>
          <w:p>
            <w:pPr>
              <w:spacing w:after="40" w:line="240" w:lineRule="auto"/>
            </w:pPr>
            <w:r>
              <w:t>identity_linkage_tokens</w:t>
            </w:r>
          </w:p>
        </w:tc>
        <w:tc>
          <w:tcPr>
            <w:tcW w:type="dxa" w:w="3389"/>
            <w:vAlign w:val="center"/>
          </w:tcPr>
          <w:p>
            <w:pPr>
              <w:spacing w:after="40" w:line="240" w:lineRule="auto"/>
            </w:pPr>
            <w:r>
              <w:t>linkage_id, institution_id, local_record_ref, token_type, token_value, key_version, verified_state, created_at, expires_at</w:t>
            </w:r>
          </w:p>
        </w:tc>
        <w:tc>
          <w:tcPr>
            <w:tcW w:type="dxa" w:w="3389"/>
            <w:vAlign w:val="center"/>
          </w:tcPr>
          <w:p>
            <w:pPr>
              <w:spacing w:after="40" w:line="240" w:lineRule="auto"/>
            </w:pPr>
            <w:r>
              <w:t>Pseudonymous linkage; treat as personal data and protect accordingly.</w:t>
            </w:r>
          </w:p>
        </w:tc>
      </w:tr>
      <w:tr>
        <w:tc>
          <w:tcPr>
            <w:tcW w:type="dxa" w:w="3389"/>
            <w:vAlign w:val="center"/>
          </w:tcPr>
          <w:p>
            <w:pPr>
              <w:spacing w:after="40" w:line="240" w:lineRule="auto"/>
            </w:pPr>
            <w:r>
              <w:t>pprl_encodings</w:t>
            </w:r>
          </w:p>
        </w:tc>
        <w:tc>
          <w:tcPr>
            <w:tcW w:type="dxa" w:w="3389"/>
            <w:vAlign w:val="center"/>
          </w:tcPr>
          <w:p>
            <w:pPr>
              <w:spacing w:after="40" w:line="240" w:lineRule="auto"/>
            </w:pPr>
            <w:r>
              <w:t>encoding_id, institution_id, local_record_ref, encoding_type, encoding_value, algorithm_version, key_version, created_at, expires_at</w:t>
            </w:r>
          </w:p>
        </w:tc>
        <w:tc>
          <w:tcPr>
            <w:tcW w:type="dxa" w:w="3389"/>
            <w:vAlign w:val="center"/>
          </w:tcPr>
          <w:p>
            <w:pPr>
              <w:spacing w:after="40" w:line="240" w:lineRule="auto"/>
            </w:pPr>
            <w:r>
              <w:t>Encoded filters and secondary encodings only; no raw name/DOB fields.</w:t>
            </w:r>
          </w:p>
        </w:tc>
      </w:tr>
      <w:tr>
        <w:tc>
          <w:tcPr>
            <w:tcW w:type="dxa" w:w="3389"/>
            <w:vAlign w:val="center"/>
          </w:tcPr>
          <w:p>
            <w:pPr>
              <w:spacing w:after="40" w:line="240" w:lineRule="auto"/>
            </w:pPr>
            <w:r>
              <w:t>match_candidates</w:t>
            </w:r>
          </w:p>
        </w:tc>
        <w:tc>
          <w:tcPr>
            <w:tcW w:type="dxa" w:w="3389"/>
            <w:vAlign w:val="center"/>
          </w:tcPr>
          <w:p>
            <w:pPr>
              <w:spacing w:after="40" w:line="240" w:lineRule="auto"/>
            </w:pPr>
            <w:r>
              <w:t>candidate_id, linkage_a, linkage_b, method, score, threshold_version, evidence_summary, status, reviewer_id, resolution_code</w:t>
            </w:r>
          </w:p>
        </w:tc>
        <w:tc>
          <w:tcPr>
            <w:tcW w:type="dxa" w:w="3389"/>
            <w:vAlign w:val="center"/>
          </w:tcPr>
          <w:p>
            <w:pPr>
              <w:spacing w:after="40" w:line="240" w:lineRule="auto"/>
            </w:pPr>
            <w:r>
              <w:t>Candidate is not a violation; store score and method version.</w:t>
            </w:r>
          </w:p>
        </w:tc>
      </w:tr>
      <w:tr>
        <w:tc>
          <w:tcPr>
            <w:tcW w:type="dxa" w:w="3389"/>
            <w:vAlign w:val="center"/>
          </w:tcPr>
          <w:p>
            <w:pPr>
              <w:spacing w:after="40" w:line="240" w:lineRule="auto"/>
            </w:pPr>
            <w:r>
              <w:t>policy_packages</w:t>
            </w:r>
          </w:p>
        </w:tc>
        <w:tc>
          <w:tcPr>
            <w:tcW w:type="dxa" w:w="3389"/>
            <w:vAlign w:val="center"/>
          </w:tcPr>
          <w:p>
            <w:pPr>
              <w:spacing w:after="40" w:line="240" w:lineRule="auto"/>
            </w:pPr>
            <w:r>
              <w:t>policy_id, version, jurisdiction, effective_from/to, source_reference, checksum, status</w:t>
            </w:r>
          </w:p>
        </w:tc>
        <w:tc>
          <w:tcPr>
            <w:tcW w:type="dxa" w:w="3389"/>
            <w:vAlign w:val="center"/>
          </w:tcPr>
          <w:p>
            <w:pPr>
              <w:spacing w:after="40" w:line="240" w:lineRule="auto"/>
            </w:pPr>
            <w:r>
              <w:t>Versioned rule package; draft/published/retired lifecycle.</w:t>
            </w:r>
          </w:p>
        </w:tc>
      </w:tr>
      <w:tr>
        <w:tc>
          <w:tcPr>
            <w:tcW w:type="dxa" w:w="3389"/>
            <w:vAlign w:val="center"/>
          </w:tcPr>
          <w:p>
            <w:pPr>
              <w:spacing w:after="40" w:line="240" w:lineRule="auto"/>
            </w:pPr>
            <w:r>
              <w:t>intake_reconciliations</w:t>
            </w:r>
          </w:p>
        </w:tc>
        <w:tc>
          <w:tcPr>
            <w:tcW w:type="dxa" w:w="3389"/>
            <w:vAlign w:val="center"/>
          </w:tcPr>
          <w:p>
            <w:pPr>
              <w:spacing w:after="40" w:line="240" w:lineRule="auto"/>
            </w:pPr>
            <w:r>
              <w:t>reconciliation_id, batch_id, intake_snapshot_id, policy_version, counts_json, exceptions_json, result_state</w:t>
            </w:r>
          </w:p>
        </w:tc>
        <w:tc>
          <w:tcPr>
            <w:tcW w:type="dxa" w:w="3389"/>
            <w:vAlign w:val="center"/>
          </w:tcPr>
          <w:p>
            <w:pPr>
              <w:spacing w:after="40" w:line="240" w:lineRule="auto"/>
            </w:pPr>
            <w:r>
              <w:t>Deterministic outputs and reproducibility metadata.</w:t>
            </w:r>
          </w:p>
        </w:tc>
      </w:tr>
      <w:tr>
        <w:tc>
          <w:tcPr>
            <w:tcW w:type="dxa" w:w="3389"/>
            <w:vAlign w:val="center"/>
          </w:tcPr>
          <w:p>
            <w:pPr>
              <w:spacing w:after="40" w:line="240" w:lineRule="auto"/>
            </w:pPr>
            <w:r>
              <w:t>adjudication_cases</w:t>
            </w:r>
          </w:p>
        </w:tc>
        <w:tc>
          <w:tcPr>
            <w:tcW w:type="dxa" w:w="3389"/>
            <w:vAlign w:val="center"/>
          </w:tcPr>
          <w:p>
            <w:pPr>
              <w:spacing w:after="40" w:line="240" w:lineRule="auto"/>
            </w:pPr>
            <w:r>
              <w:t>case_id, candidate_id, policy_version, evidence_refs, outcome, rationale, reviewer, timestamps</w:t>
            </w:r>
          </w:p>
        </w:tc>
        <w:tc>
          <w:tcPr>
            <w:tcW w:type="dxa" w:w="3389"/>
            <w:vAlign w:val="center"/>
          </w:tcPr>
          <w:p>
            <w:pPr>
              <w:spacing w:after="40" w:line="240" w:lineRule="auto"/>
            </w:pPr>
            <w:r>
              <w:t>Policy outcome with human decision and appeal/correction path.</w:t>
            </w:r>
          </w:p>
        </w:tc>
      </w:tr>
      <w:tr>
        <w:tc>
          <w:tcPr>
            <w:tcW w:type="dxa" w:w="3389"/>
            <w:vAlign w:val="center"/>
          </w:tcPr>
          <w:p>
            <w:pPr>
              <w:spacing w:after="40" w:line="240" w:lineRule="auto"/>
            </w:pPr>
            <w:r>
              <w:t>verification_requests</w:t>
            </w:r>
          </w:p>
        </w:tc>
        <w:tc>
          <w:tcPr>
            <w:tcW w:type="dxa" w:w="3389"/>
            <w:vAlign w:val="center"/>
          </w:tcPr>
          <w:p>
            <w:pPr>
              <w:spacing w:after="40" w:line="240" w:lineRule="auto"/>
            </w:pPr>
            <w:r>
              <w:t>request_id, requester_id, purpose, scope, subject_link, authorization_result, consent_or_basis_ref, expiry, status</w:t>
            </w:r>
          </w:p>
        </w:tc>
        <w:tc>
          <w:tcPr>
            <w:tcW w:type="dxa" w:w="3389"/>
            <w:vAlign w:val="center"/>
          </w:tcPr>
          <w:p>
            <w:pPr>
              <w:spacing w:after="40" w:line="240" w:lineRule="auto"/>
            </w:pPr>
            <w:r>
              <w:t>Purpose-bound external verification; minimum data release.</w:t>
            </w:r>
          </w:p>
        </w:tc>
      </w:tr>
      <w:tr>
        <w:tc>
          <w:tcPr>
            <w:tcW w:type="dxa" w:w="3389"/>
            <w:vAlign w:val="center"/>
          </w:tcPr>
          <w:p>
            <w:pPr>
              <w:spacing w:after="40" w:line="240" w:lineRule="auto"/>
            </w:pPr>
            <w:r>
              <w:t>consent_and_authority_events</w:t>
            </w:r>
          </w:p>
        </w:tc>
        <w:tc>
          <w:tcPr>
            <w:tcW w:type="dxa" w:w="3389"/>
            <w:vAlign w:val="center"/>
          </w:tcPr>
          <w:p>
            <w:pPr>
              <w:spacing w:after="40" w:line="240" w:lineRule="auto"/>
            </w:pPr>
            <w:r>
              <w:t>event_id, subject_ref, purpose, notice_version, action, timestamp, evidence_ref, expiry/withdrawal</w:t>
            </w:r>
          </w:p>
        </w:tc>
        <w:tc>
          <w:tcPr>
            <w:tcW w:type="dxa" w:w="3389"/>
            <w:vAlign w:val="center"/>
          </w:tcPr>
          <w:p>
            <w:pPr>
              <w:spacing w:after="40" w:line="240" w:lineRule="auto"/>
            </w:pPr>
            <w:r>
              <w:t>Record consent where required and distinguish it from other lawful authority.</w:t>
            </w:r>
          </w:p>
        </w:tc>
      </w:tr>
      <w:tr>
        <w:tc>
          <w:tcPr>
            <w:tcW w:type="dxa" w:w="3389"/>
            <w:vAlign w:val="center"/>
          </w:tcPr>
          <w:p>
            <w:pPr>
              <w:spacing w:after="40" w:line="240" w:lineRule="auto"/>
            </w:pPr>
            <w:r>
              <w:t>audit_events</w:t>
            </w:r>
          </w:p>
        </w:tc>
        <w:tc>
          <w:tcPr>
            <w:tcW w:type="dxa" w:w="3389"/>
            <w:vAlign w:val="center"/>
          </w:tcPr>
          <w:p>
            <w:pPr>
              <w:spacing w:after="40" w:line="240" w:lineRule="auto"/>
            </w:pPr>
            <w:r>
              <w:t>event_id, actor, tenant, action, object_ref, timestamp, correlation_id, previous_hash, event_hash</w:t>
            </w:r>
          </w:p>
        </w:tc>
        <w:tc>
          <w:tcPr>
            <w:tcW w:type="dxa" w:w="3389"/>
            <w:vAlign w:val="center"/>
          </w:tcPr>
          <w:p>
            <w:pPr>
              <w:spacing w:after="40" w:line="240" w:lineRule="auto"/>
            </w:pPr>
            <w:r>
              <w:t>Append-only application audit chain; hash chaining alone does not prevent a privileged attacker from rewriting all events.</w:t>
            </w:r>
          </w:p>
        </w:tc>
      </w:tr>
      <w:tr>
        <w:tc>
          <w:tcPr>
            <w:tcW w:type="dxa" w:w="3389"/>
            <w:vAlign w:val="center"/>
          </w:tcPr>
          <w:p>
            <w:pPr>
              <w:spacing w:after="40" w:line="240" w:lineRule="auto"/>
            </w:pPr>
            <w:r>
              <w:t>integration_jobs</w:t>
            </w:r>
          </w:p>
        </w:tc>
        <w:tc>
          <w:tcPr>
            <w:tcW w:type="dxa" w:w="3389"/>
            <w:vAlign w:val="center"/>
          </w:tcPr>
          <w:p>
            <w:pPr>
              <w:spacing w:after="40" w:line="240" w:lineRule="auto"/>
            </w:pPr>
            <w:r>
              <w:t>job_id, adapter, external_correlation_id, request_digest, state, retry_count, response_ref, timestamps</w:t>
            </w:r>
          </w:p>
        </w:tc>
        <w:tc>
          <w:tcPr>
            <w:tcW w:type="dxa" w:w="3389"/>
            <w:vAlign w:val="center"/>
          </w:tcPr>
          <w:p>
            <w:pPr>
              <w:spacing w:after="40" w:line="240" w:lineRule="auto"/>
            </w:pPr>
            <w:r>
              <w:t>Retryable adapter jobs; secrets and full payloads kept out of general logs.</w:t>
            </w:r>
          </w:p>
        </w:tc>
      </w:tr>
    </w:tbl>
    <w:p/>
    <w:p>
      <w:pPr>
        <w:pStyle w:val="Heading2"/>
        <w:keepNext/>
      </w:pPr>
      <w:r>
        <w:t>5.1 Important schema rules</w:t>
      </w:r>
    </w:p>
    <w:p>
      <w:pPr>
        <w:pStyle w:val="ListBullet"/>
      </w:pPr>
      <w:r>
        <w:t>Use UUIDs or other non-semantic internal IDs; do not use APAAR as the universal database primary key.</w:t>
      </w:r>
    </w:p>
    <w:p>
      <w:pPr>
        <w:pStyle w:val="ListBullet"/>
      </w:pPr>
      <w:r>
        <w:t>Represent missing, pending, exempt, verified, and mismatch states explicitly rather than overloading NULL.</w:t>
      </w:r>
    </w:p>
    <w:p>
      <w:pPr>
        <w:pStyle w:val="ListBullet"/>
      </w:pPr>
      <w:r>
        <w:t>Keep raw uploaded files in a restricted quarantine/object store with retention limits; do not attach them to audit logs.</w:t>
      </w:r>
    </w:p>
    <w:p>
      <w:pPr>
        <w:pStyle w:val="ListBullet"/>
      </w:pPr>
      <w:r>
        <w:t>Use foreign keys, unique constraints, optimistic concurrency/version numbers, and idempotency keys.</w:t>
      </w:r>
    </w:p>
    <w:p>
      <w:pPr>
        <w:pStyle w:val="ListBullet"/>
      </w:pPr>
      <w:r>
        <w:t>Use tenant-scoped authorization in application services and database policy as defense in depth.</w:t>
      </w:r>
    </w:p>
    <w:p>
      <w:pPr>
        <w:pStyle w:val="ListBullet"/>
      </w:pPr>
      <w:r>
        <w:t>Never store HMAC secrets, API client secrets, private signing keys, or peppers in source code or ordinary database tables.</w:t>
      </w:r>
    </w:p>
    <w:p>
      <w:pPr>
        <w:pStyle w:val="Heading1"/>
        <w:keepNext/>
      </w:pPr>
      <w:r>
        <w:t>6. Intake compiler and regulatory policy engine</w:t>
      </w:r>
    </w:p>
    <w:p>
      <w:pPr>
        <w:pStyle w:val="Heading2"/>
        <w:keepNext/>
      </w:pPr>
      <w:r>
        <w:t>6.1 Deterministic computation</w:t>
      </w:r>
    </w:p>
    <w:p>
      <w:r>
        <w:rPr>
          <w:i w:val="0"/>
        </w:rPr>
        <w:t>The intake compiler should be a pure, deterministic service: given a batch snapshot, approved-intake snapshot, and policy version, it produces the same counts, exceptions, and explanation. It must not call an LLM or an external API to decide seat arithmetic.</w:t>
      </w:r>
    </w:p>
    <w:p>
      <w:pPr>
        <w:pStyle w:val="ListNumber"/>
      </w:pPr>
      <w:r>
        <w:t>Resolve each staged record to the correct institution, course/programme, academic year, shift, delivery mode, entry level, and admission category.</w:t>
      </w:r>
    </w:p>
    <w:p>
      <w:pPr>
        <w:pStyle w:val="ListNumber"/>
      </w:pPr>
      <w:r>
        <w:t>Validate that the relevant approved-intake snapshot exists and is effective for the submission period.</w:t>
      </w:r>
    </w:p>
    <w:p>
      <w:pPr>
        <w:pStyle w:val="ListNumber"/>
      </w:pPr>
      <w:r>
        <w:t>Compute category counts and total counts from staged records; do not trust client-supplied aggregate counts.</w:t>
      </w:r>
    </w:p>
    <w:p>
      <w:pPr>
        <w:pStyle w:val="ListNumber"/>
      </w:pPr>
      <w:r>
        <w:t>Apply only policy rules that are explicitly configured and sourced for the institution, state/jurisdiction, programme type, and year.</w:t>
      </w:r>
    </w:p>
    <w:p>
      <w:pPr>
        <w:pStyle w:val="ListNumber"/>
      </w:pPr>
      <w:r>
        <w:t>Produce separate results for schema errors, missing approval, count mismatch, quota/capacity exception, and policy violation candidate.</w:t>
      </w:r>
    </w:p>
    <w:p>
      <w:pPr>
        <w:pStyle w:val="ListNumber"/>
      </w:pPr>
      <w:r>
        <w:t>Attach the policy version, source reference, inputs checksum, calculation version, and human-readable explanation.</w:t>
      </w:r>
    </w:p>
    <w:p>
      <w:pPr>
        <w:pStyle w:val="ListNumber"/>
      </w:pPr>
      <w:r>
        <w:t>Block final lock only for configured hard-stop conditions; permit independent records to progress when the policy permits case-level holds.</w:t>
      </w:r>
    </w:p>
    <w:p>
      <w:pPr>
        <w:pStyle w:val="Heading2"/>
        <w:keepNext/>
      </w:pPr>
      <w:r>
        <w:t>6.2 Policy package lifecycle</w:t>
      </w:r>
    </w:p>
    <w:tbl>
      <w:tblPr>
        <w:tblStyle w:val="TableGrid"/>
        <w:tblW w:type="auto" w:w="0"/>
        <w:jc w:val="center"/>
        <w:tblLayout w:type="autofit"/>
        <w:tblLook w:firstColumn="1" w:firstRow="1" w:lastColumn="0" w:lastRow="0" w:noHBand="0" w:noVBand="1" w:val="04A0"/>
      </w:tblPr>
      <w:tblGrid>
        <w:gridCol w:w="5083"/>
        <w:gridCol w:w="5083"/>
      </w:tblGrid>
      <w:tr>
        <w:tc>
          <w:tcPr>
            <w:tcW w:type="dxa" w:w="5083"/>
            <w:vAlign w:val="center"/>
            <w:shd w:fill="DCEAF2"/>
          </w:tcPr>
          <w:p>
            <w:pPr>
              <w:spacing w:after="40" w:line="240" w:lineRule="auto"/>
            </w:pPr>
            <w:r>
              <w:t>State</w:t>
            </w:r>
          </w:p>
        </w:tc>
        <w:tc>
          <w:tcPr>
            <w:tcW w:type="dxa" w:w="5083"/>
            <w:vAlign w:val="center"/>
            <w:shd w:fill="DCEAF2"/>
          </w:tcPr>
          <w:p>
            <w:pPr>
              <w:spacing w:after="40" w:line="240" w:lineRule="auto"/>
            </w:pPr>
            <w:r>
              <w:t>Control</w:t>
            </w:r>
          </w:p>
        </w:tc>
      </w:tr>
      <w:tr>
        <w:tc>
          <w:tcPr>
            <w:tcW w:type="dxa" w:w="5083"/>
            <w:vAlign w:val="center"/>
          </w:tcPr>
          <w:p>
            <w:pPr>
              <w:spacing w:after="40" w:line="240" w:lineRule="auto"/>
            </w:pPr>
            <w:r>
              <w:t>Draft</w:t>
            </w:r>
          </w:p>
        </w:tc>
        <w:tc>
          <w:tcPr>
            <w:tcW w:type="dxa" w:w="5083"/>
            <w:vAlign w:val="center"/>
          </w:tcPr>
          <w:p>
            <w:pPr>
              <w:spacing w:after="40" w:line="240" w:lineRule="auto"/>
            </w:pPr>
            <w:r>
              <w:t>Editable only by authorized policy maintainers; not used for live decisions.</w:t>
            </w:r>
          </w:p>
        </w:tc>
      </w:tr>
      <w:tr>
        <w:tc>
          <w:tcPr>
            <w:tcW w:type="dxa" w:w="5083"/>
            <w:vAlign w:val="center"/>
          </w:tcPr>
          <w:p>
            <w:pPr>
              <w:spacing w:after="40" w:line="240" w:lineRule="auto"/>
            </w:pPr>
            <w:r>
              <w:t>Reviewed</w:t>
            </w:r>
          </w:p>
        </w:tc>
        <w:tc>
          <w:tcPr>
            <w:tcW w:type="dxa" w:w="5083"/>
            <w:vAlign w:val="center"/>
          </w:tcPr>
          <w:p>
            <w:pPr>
              <w:spacing w:after="40" w:line="240" w:lineRule="auto"/>
            </w:pPr>
            <w:r>
              <w:t>Second-person review of source reference, effective dates, boundary conditions, and test cases.</w:t>
            </w:r>
          </w:p>
        </w:tc>
      </w:tr>
      <w:tr>
        <w:tc>
          <w:tcPr>
            <w:tcW w:type="dxa" w:w="5083"/>
            <w:vAlign w:val="center"/>
          </w:tcPr>
          <w:p>
            <w:pPr>
              <w:spacing w:after="40" w:line="240" w:lineRule="auto"/>
            </w:pPr>
            <w:r>
              <w:t>Published</w:t>
            </w:r>
          </w:p>
        </w:tc>
        <w:tc>
          <w:tcPr>
            <w:tcW w:type="dxa" w:w="5083"/>
            <w:vAlign w:val="center"/>
          </w:tcPr>
          <w:p>
            <w:pPr>
              <w:spacing w:after="40" w:line="240" w:lineRule="auto"/>
            </w:pPr>
            <w:r>
              <w:t>Immutable version with checksum, publisher, approval record, and effective date.</w:t>
            </w:r>
          </w:p>
        </w:tc>
      </w:tr>
      <w:tr>
        <w:tc>
          <w:tcPr>
            <w:tcW w:type="dxa" w:w="5083"/>
            <w:vAlign w:val="center"/>
          </w:tcPr>
          <w:p>
            <w:pPr>
              <w:spacing w:after="40" w:line="240" w:lineRule="auto"/>
            </w:pPr>
            <w:r>
              <w:t>Superseded</w:t>
            </w:r>
          </w:p>
        </w:tc>
        <w:tc>
          <w:tcPr>
            <w:tcW w:type="dxa" w:w="5083"/>
            <w:vAlign w:val="center"/>
          </w:tcPr>
          <w:p>
            <w:pPr>
              <w:spacing w:after="40" w:line="240" w:lineRule="auto"/>
            </w:pPr>
            <w:r>
              <w:t>New decisions use the newer effective version; historical decisions retain the old version.</w:t>
            </w:r>
          </w:p>
        </w:tc>
      </w:tr>
      <w:tr>
        <w:tc>
          <w:tcPr>
            <w:tcW w:type="dxa" w:w="5083"/>
            <w:vAlign w:val="center"/>
          </w:tcPr>
          <w:p>
            <w:pPr>
              <w:spacing w:after="40" w:line="240" w:lineRule="auto"/>
            </w:pPr>
            <w:r>
              <w:t>Retired</w:t>
            </w:r>
          </w:p>
        </w:tc>
        <w:tc>
          <w:tcPr>
            <w:tcW w:type="dxa" w:w="5083"/>
            <w:vAlign w:val="center"/>
          </w:tcPr>
          <w:p>
            <w:pPr>
              <w:spacing w:after="40" w:line="240" w:lineRule="auto"/>
            </w:pPr>
            <w:r>
              <w:t>Cannot be selected for new decisions except in an explicitly authorized replay/reconstruction.</w:t>
            </w:r>
          </w:p>
        </w:tc>
      </w:tr>
    </w:tbl>
    <w:p/>
    <w:p>
      <w:r>
        <w:rPr>
          <w:i w:val="0"/>
        </w:rPr>
        <w:t>Do not hardcode quota percentages, vacancy spillovers, or penalty formulas based solely on the research narrative. Each formula and its applicability must be verified against the relevant official AICTE handbook, official state counselling rules where applicable, and the precise programme/year context. Unverified policy rules must be marked [VERIFY] and disabled in production mode.</w:t>
      </w:r>
    </w:p>
    <w:p>
      <w:pPr>
        <w:pStyle w:val="Heading1"/>
        <w:keepNext/>
      </w:pPr>
      <w:r>
        <w:t>7. UGC/concurrency adjudication workflow</w:t>
      </w:r>
    </w:p>
    <w:p>
      <w:r>
        <w:rPr>
          <w:i w:val="0"/>
        </w:rPr>
        <w:t>A duplicate candidate is a signal that two records may refer to one person. A policy decision requires additional context. The adjudicator should evaluate the applicable policy package and the evidence available, and should produce an explainable outcome rather than a binary duplicate flag.</w:t>
      </w:r>
    </w:p>
    <w:tbl>
      <w:tblPr>
        <w:tblStyle w:val="TableGrid"/>
        <w:tblW w:type="auto" w:w="0"/>
        <w:jc w:val="center"/>
        <w:tblLayout w:type="autofit"/>
        <w:tblLook w:firstColumn="1" w:firstRow="1" w:lastColumn="0" w:lastRow="0" w:noHBand="0" w:noVBand="1" w:val="04A0"/>
      </w:tblPr>
      <w:tblGrid>
        <w:gridCol w:w="3389"/>
        <w:gridCol w:w="3389"/>
        <w:gridCol w:w="3389"/>
      </w:tblGrid>
      <w:tr>
        <w:tc>
          <w:tcPr>
            <w:tcW w:type="dxa" w:w="3389"/>
            <w:vAlign w:val="center"/>
            <w:shd w:fill="DCEAF2"/>
          </w:tcPr>
          <w:p>
            <w:pPr>
              <w:spacing w:after="40" w:line="240" w:lineRule="auto"/>
            </w:pPr>
            <w:r>
              <w:t>Case state</w:t>
            </w:r>
          </w:p>
        </w:tc>
        <w:tc>
          <w:tcPr>
            <w:tcW w:type="dxa" w:w="3389"/>
            <w:vAlign w:val="center"/>
            <w:shd w:fill="DCEAF2"/>
          </w:tcPr>
          <w:p>
            <w:pPr>
              <w:spacing w:after="40" w:line="240" w:lineRule="auto"/>
            </w:pPr>
            <w:r>
              <w:t>Meaning</w:t>
            </w:r>
          </w:p>
        </w:tc>
        <w:tc>
          <w:tcPr>
            <w:tcW w:type="dxa" w:w="3389"/>
            <w:vAlign w:val="center"/>
            <w:shd w:fill="DCEAF2"/>
          </w:tcPr>
          <w:p>
            <w:pPr>
              <w:spacing w:after="40" w:line="240" w:lineRule="auto"/>
            </w:pPr>
            <w:r>
              <w:t>Allowed next action</w:t>
            </w:r>
          </w:p>
        </w:tc>
      </w:tr>
      <w:tr>
        <w:tc>
          <w:tcPr>
            <w:tcW w:type="dxa" w:w="3389"/>
            <w:vAlign w:val="center"/>
          </w:tcPr>
          <w:p>
            <w:pPr>
              <w:spacing w:after="40" w:line="240" w:lineRule="auto"/>
            </w:pPr>
            <w:r>
              <w:t>NEW_CANDIDATE</w:t>
            </w:r>
          </w:p>
        </w:tc>
        <w:tc>
          <w:tcPr>
            <w:tcW w:type="dxa" w:w="3389"/>
            <w:vAlign w:val="center"/>
          </w:tcPr>
          <w:p>
            <w:pPr>
              <w:spacing w:after="40" w:line="240" w:lineRule="auto"/>
            </w:pPr>
            <w:r>
              <w:t>Possible same-person records emitted by matching</w:t>
            </w:r>
          </w:p>
        </w:tc>
        <w:tc>
          <w:tcPr>
            <w:tcW w:type="dxa" w:w="3389"/>
            <w:vAlign w:val="center"/>
          </w:tcPr>
          <w:p>
            <w:pPr>
              <w:spacing w:after="40" w:line="240" w:lineRule="auto"/>
            </w:pPr>
            <w:r>
              <w:t>Collect permitted programme metadata and queue for assessment.</w:t>
            </w:r>
          </w:p>
        </w:tc>
      </w:tr>
      <w:tr>
        <w:tc>
          <w:tcPr>
            <w:tcW w:type="dxa" w:w="3389"/>
            <w:vAlign w:val="center"/>
          </w:tcPr>
          <w:p>
            <w:pPr>
              <w:spacing w:after="40" w:line="240" w:lineRule="auto"/>
            </w:pPr>
            <w:r>
              <w:t>NEEDS_DATA</w:t>
            </w:r>
          </w:p>
        </w:tc>
        <w:tc>
          <w:tcPr>
            <w:tcW w:type="dxa" w:w="3389"/>
            <w:vAlign w:val="center"/>
          </w:tcPr>
          <w:p>
            <w:pPr>
              <w:spacing w:after="40" w:line="240" w:lineRule="auto"/>
            </w:pPr>
            <w:r>
              <w:t>Required schedule, mode, or programme metadata is absent</w:t>
            </w:r>
          </w:p>
        </w:tc>
        <w:tc>
          <w:tcPr>
            <w:tcW w:type="dxa" w:w="3389"/>
            <w:vAlign w:val="center"/>
          </w:tcPr>
          <w:p>
            <w:pPr>
              <w:spacing w:after="40" w:line="240" w:lineRule="auto"/>
            </w:pPr>
            <w:r>
              <w:t>Request correction; do not infer violation from missing data.</w:t>
            </w:r>
          </w:p>
        </w:tc>
      </w:tr>
      <w:tr>
        <w:tc>
          <w:tcPr>
            <w:tcW w:type="dxa" w:w="3389"/>
            <w:vAlign w:val="center"/>
          </w:tcPr>
          <w:p>
            <w:pPr>
              <w:spacing w:after="40" w:line="240" w:lineRule="auto"/>
            </w:pPr>
            <w:r>
              <w:t>POTENTIALLY_PERMITTED</w:t>
            </w:r>
          </w:p>
        </w:tc>
        <w:tc>
          <w:tcPr>
            <w:tcW w:type="dxa" w:w="3389"/>
            <w:vAlign w:val="center"/>
          </w:tcPr>
          <w:p>
            <w:pPr>
              <w:spacing w:after="40" w:line="240" w:lineRule="auto"/>
            </w:pPr>
            <w:r>
              <w:t>Known facts appear consistent with a permitted combination</w:t>
            </w:r>
          </w:p>
        </w:tc>
        <w:tc>
          <w:tcPr>
            <w:tcW w:type="dxa" w:w="3389"/>
            <w:vAlign w:val="center"/>
          </w:tcPr>
          <w:p>
            <w:pPr>
              <w:spacing w:after="40" w:line="240" w:lineRule="auto"/>
            </w:pPr>
            <w:r>
              <w:t>Reviewer confirms or requests additional evidence.</w:t>
            </w:r>
          </w:p>
        </w:tc>
      </w:tr>
      <w:tr>
        <w:tc>
          <w:tcPr>
            <w:tcW w:type="dxa" w:w="3389"/>
            <w:vAlign w:val="center"/>
          </w:tcPr>
          <w:p>
            <w:pPr>
              <w:spacing w:after="40" w:line="240" w:lineRule="auto"/>
            </w:pPr>
            <w:r>
              <w:t>POTENTIAL_CONFLICT</w:t>
            </w:r>
          </w:p>
        </w:tc>
        <w:tc>
          <w:tcPr>
            <w:tcW w:type="dxa" w:w="3389"/>
            <w:vAlign w:val="center"/>
          </w:tcPr>
          <w:p>
            <w:pPr>
              <w:spacing w:after="40" w:line="240" w:lineRule="auto"/>
            </w:pPr>
            <w:r>
              <w:t>Known facts indicate a possible policy conflict</w:t>
            </w:r>
          </w:p>
        </w:tc>
        <w:tc>
          <w:tcPr>
            <w:tcW w:type="dxa" w:w="3389"/>
            <w:vAlign w:val="center"/>
          </w:tcPr>
          <w:p>
            <w:pPr>
              <w:spacing w:after="40" w:line="240" w:lineRule="auto"/>
            </w:pPr>
            <w:r>
              <w:t>Human review with rule-specific explanation.</w:t>
            </w:r>
          </w:p>
        </w:tc>
      </w:tr>
      <w:tr>
        <w:tc>
          <w:tcPr>
            <w:tcW w:type="dxa" w:w="3389"/>
            <w:vAlign w:val="center"/>
          </w:tcPr>
          <w:p>
            <w:pPr>
              <w:spacing w:after="40" w:line="240" w:lineRule="auto"/>
            </w:pPr>
            <w:r>
              <w:t>PERMITTED_AFTER_REVIEW</w:t>
            </w:r>
          </w:p>
        </w:tc>
        <w:tc>
          <w:tcPr>
            <w:tcW w:type="dxa" w:w="3389"/>
            <w:vAlign w:val="center"/>
          </w:tcPr>
          <w:p>
            <w:pPr>
              <w:spacing w:after="40" w:line="240" w:lineRule="auto"/>
            </w:pPr>
            <w:r>
              <w:t>Reviewer documents that the combination is permitted</w:t>
            </w:r>
          </w:p>
        </w:tc>
        <w:tc>
          <w:tcPr>
            <w:tcW w:type="dxa" w:w="3389"/>
            <w:vAlign w:val="center"/>
          </w:tcPr>
          <w:p>
            <w:pPr>
              <w:spacing w:after="40" w:line="240" w:lineRule="auto"/>
            </w:pPr>
            <w:r>
              <w:t>Close with rationale and source/policy version.</w:t>
            </w:r>
          </w:p>
        </w:tc>
      </w:tr>
      <w:tr>
        <w:tc>
          <w:tcPr>
            <w:tcW w:type="dxa" w:w="3389"/>
            <w:vAlign w:val="center"/>
          </w:tcPr>
          <w:p>
            <w:pPr>
              <w:spacing w:after="40" w:line="240" w:lineRule="auto"/>
            </w:pPr>
            <w:r>
              <w:t>CONFIRMED_VIOLATION</w:t>
            </w:r>
          </w:p>
        </w:tc>
        <w:tc>
          <w:tcPr>
            <w:tcW w:type="dxa" w:w="3389"/>
            <w:vAlign w:val="center"/>
          </w:tcPr>
          <w:p>
            <w:pPr>
              <w:spacing w:after="40" w:line="240" w:lineRule="auto"/>
            </w:pPr>
            <w:r>
              <w:t>Authorized reviewer determines a violation under an applicable rule</w:t>
            </w:r>
          </w:p>
        </w:tc>
        <w:tc>
          <w:tcPr>
            <w:tcW w:type="dxa" w:w="3389"/>
            <w:vAlign w:val="center"/>
          </w:tcPr>
          <w:p>
            <w:pPr>
              <w:spacing w:after="40" w:line="240" w:lineRule="auto"/>
            </w:pPr>
            <w:r>
              <w:t>Escalate through the authorized regulatory process; do not auto-impose a penalty unless an official process explicitly authorizes it.</w:t>
            </w:r>
          </w:p>
        </w:tc>
      </w:tr>
      <w:tr>
        <w:tc>
          <w:tcPr>
            <w:tcW w:type="dxa" w:w="3389"/>
            <w:vAlign w:val="center"/>
          </w:tcPr>
          <w:p>
            <w:pPr>
              <w:spacing w:after="40" w:line="240" w:lineRule="auto"/>
            </w:pPr>
            <w:r>
              <w:t>DISMISSED_FALSE_MATCH</w:t>
            </w:r>
          </w:p>
        </w:tc>
        <w:tc>
          <w:tcPr>
            <w:tcW w:type="dxa" w:w="3389"/>
            <w:vAlign w:val="center"/>
          </w:tcPr>
          <w:p>
            <w:pPr>
              <w:spacing w:after="40" w:line="240" w:lineRule="auto"/>
            </w:pPr>
            <w:r>
              <w:t>Records are determined to refer to different people</w:t>
            </w:r>
          </w:p>
        </w:tc>
        <w:tc>
          <w:tcPr>
            <w:tcW w:type="dxa" w:w="3389"/>
            <w:vAlign w:val="center"/>
          </w:tcPr>
          <w:p>
            <w:pPr>
              <w:spacing w:after="40" w:line="240" w:lineRule="auto"/>
            </w:pPr>
            <w:r>
              <w:t>Close case and record the correction signal for quality monitoring.</w:t>
            </w:r>
          </w:p>
        </w:tc>
      </w:tr>
    </w:tbl>
    <w:p/>
    <w:p>
      <w:r>
        <w:rPr>
          <w:i w:val="0"/>
        </w:rPr>
        <w:t>All rule mappings and current UGC guidance require primary-source confirmation before production use. The architecture must allow rule changes without database schema rewrites.</w:t>
      </w:r>
    </w:p>
    <w:p>
      <w:pPr>
        <w:pStyle w:val="Heading1"/>
        <w:keepNext/>
      </w:pPr>
      <w:r>
        <w:t>8. DPDP, minors, consent, and third-party verification</w:t>
      </w:r>
    </w:p>
    <w:p>
      <w:r>
        <w:rPr>
          <w:i w:val="0"/>
        </w:rPr>
        <w:t>This section is an engineering control design, not a legal opinion. Exact obligations must be checked against the official Act, notified Rules, commencement provisions, and applicable exemptions.</w:t>
      </w:r>
    </w:p>
    <w:p>
      <w:pPr>
        <w:pStyle w:val="ListBullet"/>
      </w:pPr>
      <w:r>
        <w:t>Make the purpose and data fields visible before collection; use a versioned notice and a selectable Eighth Schedule language option. Do not describe translation into all 22 languages as an achieved legal requirement unless confirmed.</w:t>
      </w:r>
    </w:p>
    <w:p>
      <w:pPr>
        <w:pStyle w:val="ListBullet"/>
      </w:pPr>
      <w:r>
        <w:t>Model consent as purpose-specific and revocable where consent is the applicable basis. Withdrawal should be as easy as giving consent; do not hardcode a 'two-click' rule as a statutory requirement.</w:t>
      </w:r>
    </w:p>
    <w:p>
      <w:pPr>
        <w:pStyle w:val="ListBullet"/>
      </w:pPr>
      <w:r>
        <w:t>Do not assume every processing operation is consent-based. For statutory/State processing, evaluate the applicable Act provisions and Rules against the actual authority and purpose; do not cite notice-only rules as the legal basis.</w:t>
      </w:r>
    </w:p>
    <w:p>
      <w:pPr>
        <w:pStyle w:val="ListBullet"/>
      </w:pPr>
      <w:r>
        <w:t>Apply any educational-institution exemption narrowly to the eligible core academic processing described by the official legal text. Do not automatically extend it to employer, scholarship, or other third-party sharing.</w:t>
      </w:r>
    </w:p>
    <w:p>
      <w:pPr>
        <w:pStyle w:val="ListBullet"/>
      </w:pPr>
      <w:r>
        <w:t>For minors, implement age/guardian workflows according to the verified applicable rule and exemption. Separate core academic administration from optional external disclosure.</w:t>
      </w:r>
    </w:p>
    <w:p>
      <w:pPr>
        <w:pStyle w:val="ListBullet"/>
      </w:pPr>
      <w:r>
        <w:t>Before third-party verification, authenticate the requester, validate their stated purpose, minimize the claim set, check the applicable authority/consent condition, set expiry, rate-limit requests, and audit the result.</w:t>
      </w:r>
    </w:p>
    <w:p>
      <w:pPr>
        <w:pStyle w:val="ListBullet"/>
      </w:pPr>
      <w:r>
        <w:t>Support data correction, withdrawal, grievance handling, retention schedules, erasure/deletion workflows, legal holds, and a record of completed actions.</w:t>
      </w:r>
    </w:p>
    <w:p>
      <w:pPr>
        <w:pStyle w:val="ListBullet"/>
      </w:pPr>
      <w:r>
        <w:t>Do not implement the Rule 8/48-hour erasure notice as a universal platform obligation; if retained as a product feature beyond applicable scope, label it as a voluntary design choice pending legal review.</w:t>
      </w:r>
    </w:p>
    <w:p>
      <w:r>
        <w:rPr>
          <w:i w:val="0"/>
        </w:rPr>
        <w:t>Legal verification checklist: official Gazette version and commencement schedule; precise Rule 3 notice wording; Rule 5 statutory/State processing mapping; applicable educational-institution exemption; minors and third-party disclosure treatment; retention and erasure requirements; and any sector-specific AICTE/UGC requirements. Mark unresolved points [VERIFY].</w:t>
      </w:r>
    </w:p>
    <w:p>
      <w:pPr>
        <w:pStyle w:val="Heading1"/>
        <w:keepNext/>
      </w:pPr>
      <w:r>
        <w:t>9. Security, audit, and operational controls</w:t>
      </w:r>
    </w:p>
    <w:tbl>
      <w:tblPr>
        <w:tblStyle w:val="TableGrid"/>
        <w:tblW w:type="auto" w:w="0"/>
        <w:jc w:val="center"/>
        <w:tblLayout w:type="autofit"/>
        <w:tblLook w:firstColumn="1" w:firstRow="1" w:lastColumn="0" w:lastRow="0" w:noHBand="0" w:noVBand="1" w:val="04A0"/>
      </w:tblPr>
      <w:tblGrid>
        <w:gridCol w:w="5083"/>
        <w:gridCol w:w="5083"/>
      </w:tblGrid>
      <w:tr>
        <w:tc>
          <w:tcPr>
            <w:tcW w:type="dxa" w:w="5083"/>
            <w:vAlign w:val="center"/>
            <w:shd w:fill="DCEAF2"/>
          </w:tcPr>
          <w:p>
            <w:pPr>
              <w:spacing w:after="40" w:line="240" w:lineRule="auto"/>
            </w:pPr>
            <w:r>
              <w:t>Control</w:t>
            </w:r>
          </w:p>
        </w:tc>
        <w:tc>
          <w:tcPr>
            <w:tcW w:type="dxa" w:w="5083"/>
            <w:vAlign w:val="center"/>
            <w:shd w:fill="DCEAF2"/>
          </w:tcPr>
          <w:p>
            <w:pPr>
              <w:spacing w:after="40" w:line="240" w:lineRule="auto"/>
            </w:pPr>
            <w:r>
              <w:t>Minimum design</w:t>
            </w:r>
          </w:p>
        </w:tc>
      </w:tr>
      <w:tr>
        <w:tc>
          <w:tcPr>
            <w:tcW w:type="dxa" w:w="5083"/>
            <w:vAlign w:val="center"/>
          </w:tcPr>
          <w:p>
            <w:pPr>
              <w:spacing w:after="40" w:line="240" w:lineRule="auto"/>
            </w:pPr>
            <w:r>
              <w:t>Authentication</w:t>
            </w:r>
          </w:p>
        </w:tc>
        <w:tc>
          <w:tcPr>
            <w:tcW w:type="dxa" w:w="5083"/>
            <w:vAlign w:val="center"/>
          </w:tcPr>
          <w:p>
            <w:pPr>
              <w:spacing w:after="40" w:line="240" w:lineRule="auto"/>
            </w:pPr>
            <w:r>
              <w:t>OIDC/OAuth-compatible authentication; MFA for privileged users; no shared accounts.</w:t>
            </w:r>
          </w:p>
        </w:tc>
      </w:tr>
      <w:tr>
        <w:tc>
          <w:tcPr>
            <w:tcW w:type="dxa" w:w="5083"/>
            <w:vAlign w:val="center"/>
          </w:tcPr>
          <w:p>
            <w:pPr>
              <w:spacing w:after="40" w:line="240" w:lineRule="auto"/>
            </w:pPr>
            <w:r>
              <w:t>Authorization</w:t>
            </w:r>
          </w:p>
        </w:tc>
        <w:tc>
          <w:tcPr>
            <w:tcW w:type="dxa" w:w="5083"/>
            <w:vAlign w:val="center"/>
          </w:tcPr>
          <w:p>
            <w:pPr>
              <w:spacing w:after="40" w:line="240" w:lineRule="auto"/>
            </w:pPr>
            <w:r>
              <w:t>RBAC plus attribute/tenant scoping; deny by default; authorization on every object and export.</w:t>
            </w:r>
          </w:p>
        </w:tc>
      </w:tr>
      <w:tr>
        <w:tc>
          <w:tcPr>
            <w:tcW w:type="dxa" w:w="5083"/>
            <w:vAlign w:val="center"/>
          </w:tcPr>
          <w:p>
            <w:pPr>
              <w:spacing w:after="40" w:line="240" w:lineRule="auto"/>
            </w:pPr>
            <w:r>
              <w:t>Encryption</w:t>
            </w:r>
          </w:p>
        </w:tc>
        <w:tc>
          <w:tcPr>
            <w:tcW w:type="dxa" w:w="5083"/>
            <w:vAlign w:val="center"/>
          </w:tcPr>
          <w:p>
            <w:pPr>
              <w:spacing w:after="40" w:line="240" w:lineRule="auto"/>
            </w:pPr>
            <w:r>
              <w:t>TLS in transit; managed encryption at rest; separate secrets/key management; key rotation procedures.</w:t>
            </w:r>
          </w:p>
        </w:tc>
      </w:tr>
      <w:tr>
        <w:tc>
          <w:tcPr>
            <w:tcW w:type="dxa" w:w="5083"/>
            <w:vAlign w:val="center"/>
          </w:tcPr>
          <w:p>
            <w:pPr>
              <w:spacing w:after="40" w:line="240" w:lineRule="auto"/>
            </w:pPr>
            <w:r>
              <w:t>Audit</w:t>
            </w:r>
          </w:p>
        </w:tc>
        <w:tc>
          <w:tcPr>
            <w:tcW w:type="dxa" w:w="5083"/>
            <w:vAlign w:val="center"/>
          </w:tcPr>
          <w:p>
            <w:pPr>
              <w:spacing w:after="40" w:line="240" w:lineRule="auto"/>
            </w:pPr>
            <w:r>
              <w:t>Append-only event log with actor, tenant, object reference, action, timestamp, correlation ID, and prior/current hashes; privileged changes separately monitored.</w:t>
            </w:r>
          </w:p>
        </w:tc>
      </w:tr>
      <w:tr>
        <w:tc>
          <w:tcPr>
            <w:tcW w:type="dxa" w:w="5083"/>
            <w:vAlign w:val="center"/>
          </w:tcPr>
          <w:p>
            <w:pPr>
              <w:spacing w:after="40" w:line="240" w:lineRule="auto"/>
            </w:pPr>
            <w:r>
              <w:t>Data minimization</w:t>
            </w:r>
          </w:p>
        </w:tc>
        <w:tc>
          <w:tcPr>
            <w:tcW w:type="dxa" w:w="5083"/>
            <w:vAlign w:val="center"/>
          </w:tcPr>
          <w:p>
            <w:pPr>
              <w:spacing w:after="40" w:line="240" w:lineRule="auto"/>
            </w:pPr>
            <w:r>
              <w:t>No raw PII in general logs, analytics, error traces, or central PPRL storage; redact exports by default.</w:t>
            </w:r>
          </w:p>
        </w:tc>
      </w:tr>
      <w:tr>
        <w:tc>
          <w:tcPr>
            <w:tcW w:type="dxa" w:w="5083"/>
            <w:vAlign w:val="center"/>
          </w:tcPr>
          <w:p>
            <w:pPr>
              <w:spacing w:after="40" w:line="240" w:lineRule="auto"/>
            </w:pPr>
            <w:r>
              <w:t>Abuse prevention</w:t>
            </w:r>
          </w:p>
        </w:tc>
        <w:tc>
          <w:tcPr>
            <w:tcW w:type="dxa" w:w="5083"/>
            <w:vAlign w:val="center"/>
          </w:tcPr>
          <w:p>
            <w:pPr>
              <w:spacing w:after="40" w:line="240" w:lineRule="auto"/>
            </w:pPr>
            <w:r>
              <w:t>Rate limits on matching and verification endpoints, query budgets, anomaly alerts, lockout/review for scraping-like behavior.</w:t>
            </w:r>
          </w:p>
        </w:tc>
      </w:tr>
      <w:tr>
        <w:tc>
          <w:tcPr>
            <w:tcW w:type="dxa" w:w="5083"/>
            <w:vAlign w:val="center"/>
          </w:tcPr>
          <w:p>
            <w:pPr>
              <w:spacing w:after="40" w:line="240" w:lineRule="auto"/>
            </w:pPr>
            <w:r>
              <w:t>Backups</w:t>
            </w:r>
          </w:p>
        </w:tc>
        <w:tc>
          <w:tcPr>
            <w:tcW w:type="dxa" w:w="5083"/>
            <w:vAlign w:val="center"/>
          </w:tcPr>
          <w:p>
            <w:pPr>
              <w:spacing w:after="40" w:line="240" w:lineRule="auto"/>
            </w:pPr>
            <w:r>
              <w:t>Encrypted backups, restore drills, defined RPO/RTO, access controls, and retention.</w:t>
            </w:r>
          </w:p>
        </w:tc>
      </w:tr>
      <w:tr>
        <w:tc>
          <w:tcPr>
            <w:tcW w:type="dxa" w:w="5083"/>
            <w:vAlign w:val="center"/>
          </w:tcPr>
          <w:p>
            <w:pPr>
              <w:spacing w:after="40" w:line="240" w:lineRule="auto"/>
            </w:pPr>
            <w:r>
              <w:t>Incident response</w:t>
            </w:r>
          </w:p>
        </w:tc>
        <w:tc>
          <w:tcPr>
            <w:tcW w:type="dxa" w:w="5083"/>
            <w:vAlign w:val="center"/>
          </w:tcPr>
          <w:p>
            <w:pPr>
              <w:spacing w:after="40" w:line="240" w:lineRule="auto"/>
            </w:pPr>
            <w:r>
              <w:t>Documented triage, containment, evidence preservation, notification assessment, recovery, and post-incident review.</w:t>
            </w:r>
          </w:p>
        </w:tc>
      </w:tr>
      <w:tr>
        <w:tc>
          <w:tcPr>
            <w:tcW w:type="dxa" w:w="5083"/>
            <w:vAlign w:val="center"/>
          </w:tcPr>
          <w:p>
            <w:pPr>
              <w:spacing w:after="40" w:line="240" w:lineRule="auto"/>
            </w:pPr>
            <w:r>
              <w:t>Secure development</w:t>
            </w:r>
          </w:p>
        </w:tc>
        <w:tc>
          <w:tcPr>
            <w:tcW w:type="dxa" w:w="5083"/>
            <w:vAlign w:val="center"/>
          </w:tcPr>
          <w:p>
            <w:pPr>
              <w:spacing w:after="40" w:line="240" w:lineRule="auto"/>
            </w:pPr>
            <w:r>
              <w:t>Dependency scanning, secret scanning, SAST, code review, threat modelling, API tests, and repeatable builds.</w:t>
            </w:r>
          </w:p>
        </w:tc>
      </w:tr>
      <w:tr>
        <w:tc>
          <w:tcPr>
            <w:tcW w:type="dxa" w:w="5083"/>
            <w:vAlign w:val="center"/>
          </w:tcPr>
          <w:p>
            <w:pPr>
              <w:spacing w:after="40" w:line="240" w:lineRule="auto"/>
            </w:pPr>
            <w:r>
              <w:t>Data lifecycle</w:t>
            </w:r>
          </w:p>
        </w:tc>
        <w:tc>
          <w:tcPr>
            <w:tcW w:type="dxa" w:w="5083"/>
            <w:vAlign w:val="center"/>
          </w:tcPr>
          <w:p>
            <w:pPr>
              <w:spacing w:after="40" w:line="240" w:lineRule="auto"/>
            </w:pPr>
            <w:r>
              <w:t>Retention by record class, scheduled purge, deletion evidence, and controlled exceptions for legal holds.</w:t>
            </w:r>
          </w:p>
        </w:tc>
      </w:tr>
    </w:tbl>
    <w:p/>
    <w:p>
      <w:r>
        <w:rPr>
          <w:i w:val="0"/>
        </w:rPr>
        <w:t>A SHA-256 hash chain can make tampering detectable under defined assumptions; it does not alone guarantee immutability if an attacker can rewrite the database and recompute the chain. Protect audit checkpoints with separate permissions and, where justified, external signed checkpoints.</w:t>
      </w:r>
    </w:p>
    <w:p>
      <w:pPr>
        <w:pStyle w:val="Heading1"/>
        <w:keepNext/>
      </w:pPr>
      <w:r>
        <w:t>10. API and integration design</w:t>
      </w:r>
    </w:p>
    <w:p>
      <w:r>
        <w:rPr>
          <w:i w:val="0"/>
        </w:rPr>
        <w:t>Use internal interfaces that are independent of any single government or campus ERP vendor. External adapters should translate to the official schema only after that schema and access path are confirmed.</w:t>
      </w:r>
    </w:p>
    <w:tbl>
      <w:tblPr>
        <w:tblStyle w:val="TableGrid"/>
        <w:tblW w:type="auto" w:w="0"/>
        <w:jc w:val="center"/>
        <w:tblLayout w:type="autofit"/>
        <w:tblLook w:firstColumn="1" w:firstRow="1" w:lastColumn="0" w:lastRow="0" w:noHBand="0" w:noVBand="1" w:val="04A0"/>
      </w:tblPr>
      <w:tblGrid>
        <w:gridCol w:w="3389"/>
        <w:gridCol w:w="3389"/>
        <w:gridCol w:w="3389"/>
      </w:tblGrid>
      <w:tr>
        <w:tc>
          <w:tcPr>
            <w:tcW w:type="dxa" w:w="3389"/>
            <w:vAlign w:val="center"/>
            <w:shd w:fill="DCEAF2"/>
          </w:tcPr>
          <w:p>
            <w:pPr>
              <w:spacing w:after="40" w:line="240" w:lineRule="auto"/>
            </w:pPr>
            <w:r>
              <w:t>Internal API family</w:t>
            </w:r>
          </w:p>
        </w:tc>
        <w:tc>
          <w:tcPr>
            <w:tcW w:type="dxa" w:w="3389"/>
            <w:vAlign w:val="center"/>
            <w:shd w:fill="DCEAF2"/>
          </w:tcPr>
          <w:p>
            <w:pPr>
              <w:spacing w:after="40" w:line="240" w:lineRule="auto"/>
            </w:pPr>
            <w:r>
              <w:t>Example operations</w:t>
            </w:r>
          </w:p>
        </w:tc>
        <w:tc>
          <w:tcPr>
            <w:tcW w:type="dxa" w:w="3389"/>
            <w:vAlign w:val="center"/>
            <w:shd w:fill="DCEAF2"/>
          </w:tcPr>
          <w:p>
            <w:pPr>
              <w:spacing w:after="40" w:line="240" w:lineRule="auto"/>
            </w:pPr>
            <w:r>
              <w:t>Rules</w:t>
            </w:r>
          </w:p>
        </w:tc>
      </w:tr>
      <w:tr>
        <w:tc>
          <w:tcPr>
            <w:tcW w:type="dxa" w:w="3389"/>
            <w:vAlign w:val="center"/>
          </w:tcPr>
          <w:p>
            <w:pPr>
              <w:spacing w:after="40" w:line="240" w:lineRule="auto"/>
            </w:pPr>
            <w:r>
              <w:t>Institutions/courses</w:t>
            </w:r>
          </w:p>
        </w:tc>
        <w:tc>
          <w:tcPr>
            <w:tcW w:type="dxa" w:w="3389"/>
            <w:vAlign w:val="center"/>
          </w:tcPr>
          <w:p>
            <w:pPr>
              <w:spacing w:after="40" w:line="240" w:lineRule="auto"/>
            </w:pPr>
            <w:r>
              <w:t>GET /institutions/{id}; GET /approved-intake?year=...</w:t>
            </w:r>
          </w:p>
        </w:tc>
        <w:tc>
          <w:tcPr>
            <w:tcW w:type="dxa" w:w="3389"/>
            <w:vAlign w:val="center"/>
          </w:tcPr>
          <w:p>
            <w:pPr>
              <w:spacing w:after="40" w:line="240" w:lineRule="auto"/>
            </w:pPr>
            <w:r>
              <w:t>Scope by institution; source and effective date on all intake records.</w:t>
            </w:r>
          </w:p>
        </w:tc>
      </w:tr>
      <w:tr>
        <w:tc>
          <w:tcPr>
            <w:tcW w:type="dxa" w:w="3389"/>
            <w:vAlign w:val="center"/>
          </w:tcPr>
          <w:p>
            <w:pPr>
              <w:spacing w:after="40" w:line="240" w:lineRule="auto"/>
            </w:pPr>
            <w:r>
              <w:t>Batches</w:t>
            </w:r>
          </w:p>
        </w:tc>
        <w:tc>
          <w:tcPr>
            <w:tcW w:type="dxa" w:w="3389"/>
            <w:vAlign w:val="center"/>
          </w:tcPr>
          <w:p>
            <w:pPr>
              <w:spacing w:after="40" w:line="240" w:lineRule="auto"/>
            </w:pPr>
            <w:r>
              <w:t>POST /batches; POST /batches/{id}/validate; POST /batches/{id}/commit</w:t>
            </w:r>
          </w:p>
        </w:tc>
        <w:tc>
          <w:tcPr>
            <w:tcW w:type="dxa" w:w="3389"/>
            <w:vAlign w:val="center"/>
          </w:tcPr>
          <w:p>
            <w:pPr>
              <w:spacing w:after="40" w:line="240" w:lineRule="auto"/>
            </w:pPr>
            <w:r>
              <w:t>Idempotency key, checksum, schema version, row-level errors, explicit state transitions.</w:t>
            </w:r>
          </w:p>
        </w:tc>
      </w:tr>
      <w:tr>
        <w:tc>
          <w:tcPr>
            <w:tcW w:type="dxa" w:w="3389"/>
            <w:vAlign w:val="center"/>
          </w:tcPr>
          <w:p>
            <w:pPr>
              <w:spacing w:after="40" w:line="240" w:lineRule="auto"/>
            </w:pPr>
            <w:r>
              <w:t>Reconciliation</w:t>
            </w:r>
          </w:p>
        </w:tc>
        <w:tc>
          <w:tcPr>
            <w:tcW w:type="dxa" w:w="3389"/>
            <w:vAlign w:val="center"/>
          </w:tcPr>
          <w:p>
            <w:pPr>
              <w:spacing w:after="40" w:line="240" w:lineRule="auto"/>
            </w:pPr>
            <w:r>
              <w:t>POST /batches/{id}/reconcile; GET /reconciliations/{id}</w:t>
            </w:r>
          </w:p>
        </w:tc>
        <w:tc>
          <w:tcPr>
            <w:tcW w:type="dxa" w:w="3389"/>
            <w:vAlign w:val="center"/>
          </w:tcPr>
          <w:p>
            <w:pPr>
              <w:spacing w:after="40" w:line="240" w:lineRule="auto"/>
            </w:pPr>
            <w:r>
              <w:t>Deterministic result; input snapshot and policy version included.</w:t>
            </w:r>
          </w:p>
        </w:tc>
      </w:tr>
      <w:tr>
        <w:tc>
          <w:tcPr>
            <w:tcW w:type="dxa" w:w="3389"/>
            <w:vAlign w:val="center"/>
          </w:tcPr>
          <w:p>
            <w:pPr>
              <w:spacing w:after="40" w:line="240" w:lineRule="auto"/>
            </w:pPr>
            <w:r>
              <w:t>Identity linkage</w:t>
            </w:r>
          </w:p>
        </w:tc>
        <w:tc>
          <w:tcPr>
            <w:tcW w:type="dxa" w:w="3389"/>
            <w:vAlign w:val="center"/>
          </w:tcPr>
          <w:p>
            <w:pPr>
              <w:spacing w:after="40" w:line="240" w:lineRule="auto"/>
            </w:pPr>
            <w:r>
              <w:t>POST /linkage-tokens; POST /match-jobs; GET /match-jobs/{id}</w:t>
            </w:r>
          </w:p>
        </w:tc>
        <w:tc>
          <w:tcPr>
            <w:tcW w:type="dxa" w:w="3389"/>
            <w:vAlign w:val="center"/>
          </w:tcPr>
          <w:p>
            <w:pPr>
              <w:spacing w:after="40" w:line="240" w:lineRule="auto"/>
            </w:pPr>
            <w:r>
              <w:t>No raw PII in central matching API for the chosen PPRL design; purpose and institution scope required.</w:t>
            </w:r>
          </w:p>
        </w:tc>
      </w:tr>
      <w:tr>
        <w:tc>
          <w:tcPr>
            <w:tcW w:type="dxa" w:w="3389"/>
            <w:vAlign w:val="center"/>
          </w:tcPr>
          <w:p>
            <w:pPr>
              <w:spacing w:after="40" w:line="240" w:lineRule="auto"/>
            </w:pPr>
            <w:r>
              <w:t>Review cases</w:t>
            </w:r>
          </w:p>
        </w:tc>
        <w:tc>
          <w:tcPr>
            <w:tcW w:type="dxa" w:w="3389"/>
            <w:vAlign w:val="center"/>
          </w:tcPr>
          <w:p>
            <w:pPr>
              <w:spacing w:after="40" w:line="240" w:lineRule="auto"/>
            </w:pPr>
            <w:r>
              <w:t>GET /cases; POST /cases/{id}/decision</w:t>
            </w:r>
          </w:p>
        </w:tc>
        <w:tc>
          <w:tcPr>
            <w:tcW w:type="dxa" w:w="3389"/>
            <w:vAlign w:val="center"/>
          </w:tcPr>
          <w:p>
            <w:pPr>
              <w:spacing w:after="40" w:line="240" w:lineRule="auto"/>
            </w:pPr>
            <w:r>
              <w:t>Role-scoped queue, reason codes, reviewer identity, policy version, immutable decision history.</w:t>
            </w:r>
          </w:p>
        </w:tc>
      </w:tr>
      <w:tr>
        <w:tc>
          <w:tcPr>
            <w:tcW w:type="dxa" w:w="3389"/>
            <w:vAlign w:val="center"/>
          </w:tcPr>
          <w:p>
            <w:pPr>
              <w:spacing w:after="40" w:line="240" w:lineRule="auto"/>
            </w:pPr>
            <w:r>
              <w:t>Verification</w:t>
            </w:r>
          </w:p>
        </w:tc>
        <w:tc>
          <w:tcPr>
            <w:tcW w:type="dxa" w:w="3389"/>
            <w:vAlign w:val="center"/>
          </w:tcPr>
          <w:p>
            <w:pPr>
              <w:spacing w:after="40" w:line="240" w:lineRule="auto"/>
            </w:pPr>
            <w:r>
              <w:t>POST /verification-requests; GET /verification-requests/{id}</w:t>
            </w:r>
          </w:p>
        </w:tc>
        <w:tc>
          <w:tcPr>
            <w:tcW w:type="dxa" w:w="3389"/>
            <w:vAlign w:val="center"/>
          </w:tcPr>
          <w:p>
            <w:pPr>
              <w:spacing w:after="40" w:line="240" w:lineRule="auto"/>
            </w:pPr>
            <w:r>
              <w:t>Requester authentication, purpose, scope, authorization/consent result, expiry, minimum disclosure.</w:t>
            </w:r>
          </w:p>
        </w:tc>
      </w:tr>
      <w:tr>
        <w:tc>
          <w:tcPr>
            <w:tcW w:type="dxa" w:w="3389"/>
            <w:vAlign w:val="center"/>
          </w:tcPr>
          <w:p>
            <w:pPr>
              <w:spacing w:after="40" w:line="240" w:lineRule="auto"/>
            </w:pPr>
            <w:r>
              <w:t>Policy management</w:t>
            </w:r>
          </w:p>
        </w:tc>
        <w:tc>
          <w:tcPr>
            <w:tcW w:type="dxa" w:w="3389"/>
            <w:vAlign w:val="center"/>
          </w:tcPr>
          <w:p>
            <w:pPr>
              <w:spacing w:after="40" w:line="240" w:lineRule="auto"/>
            </w:pPr>
            <w:r>
              <w:t>GET /policies; POST /policies/{id}/versions; POST /policies/{id}/publish</w:t>
            </w:r>
          </w:p>
        </w:tc>
        <w:tc>
          <w:tcPr>
            <w:tcW w:type="dxa" w:w="3389"/>
            <w:vAlign w:val="center"/>
          </w:tcPr>
          <w:p>
            <w:pPr>
              <w:spacing w:after="40" w:line="240" w:lineRule="auto"/>
            </w:pPr>
            <w:r>
              <w:t>Separate privileged role, dual review, immutable published versions.</w:t>
            </w:r>
          </w:p>
        </w:tc>
      </w:tr>
      <w:tr>
        <w:tc>
          <w:tcPr>
            <w:tcW w:type="dxa" w:w="3389"/>
            <w:vAlign w:val="center"/>
          </w:tcPr>
          <w:p>
            <w:pPr>
              <w:spacing w:after="40" w:line="240" w:lineRule="auto"/>
            </w:pPr>
            <w:r>
              <w:t>Exports</w:t>
            </w:r>
          </w:p>
        </w:tc>
        <w:tc>
          <w:tcPr>
            <w:tcW w:type="dxa" w:w="3389"/>
            <w:vAlign w:val="center"/>
          </w:tcPr>
          <w:p>
            <w:pPr>
              <w:spacing w:after="40" w:line="240" w:lineRule="auto"/>
            </w:pPr>
            <w:r>
              <w:t>POST /exports; GET /exports/{id}</w:t>
            </w:r>
          </w:p>
        </w:tc>
        <w:tc>
          <w:tcPr>
            <w:tcW w:type="dxa" w:w="3389"/>
            <w:vAlign w:val="center"/>
          </w:tcPr>
          <w:p>
            <w:pPr>
              <w:spacing w:after="40" w:line="240" w:lineRule="auto"/>
            </w:pPr>
            <w:r>
              <w:t>Column allowlist, purpose, expiry, audit, no unrestricted bulk download.</w:t>
            </w:r>
          </w:p>
        </w:tc>
      </w:tr>
    </w:tbl>
    <w:p/>
    <w:p>
      <w:r>
        <w:rPr>
          <w:i w:val="0"/>
        </w:rPr>
        <w:t>Use consistent error codes such as INVALID_SCHEMA, UNKNOWN_APPROVAL_SNAPSHOT, POLICY_VERSION_REQUIRED, CONSENT_OR_AUTHORITY_REQUIRED, TENANT_SCOPE_DENIED, IDEMPOTENCY_CONFLICT, and MATCH_REVIEW_REQUIRED. These are proposed internal codes, not external API standards.</w:t>
      </w:r>
    </w:p>
    <w:p>
      <w:pPr>
        <w:pStyle w:val="Heading2"/>
        <w:keepNext/>
      </w:pPr>
      <w:r>
        <w:t>10.1 Adapter states</w:t>
      </w:r>
    </w:p>
    <w:p>
      <w:pPr>
        <w:pStyle w:val="ListBullet"/>
      </w:pPr>
      <w:r>
        <w:t>MOCKED — simulated for demo only.</w:t>
      </w:r>
    </w:p>
    <w:p>
      <w:pPr>
        <w:pStyle w:val="ListBullet"/>
      </w:pPr>
      <w:r>
        <w:t>CONFIGURED — credentials and mapping entered, but not yet end-to-end verified.</w:t>
      </w:r>
    </w:p>
    <w:p>
      <w:pPr>
        <w:pStyle w:val="ListBullet"/>
      </w:pPr>
      <w:r>
        <w:t>TESTED — successful integration tests against an authorized test environment.</w:t>
      </w:r>
    </w:p>
    <w:p>
      <w:pPr>
        <w:pStyle w:val="ListBullet"/>
      </w:pPr>
      <w:r>
        <w:t>PRODUCTION_VERIFIED — authorized production access and operational controls have been verified.</w:t>
      </w:r>
    </w:p>
    <w:p>
      <w:pPr>
        <w:pStyle w:val="ListBullet"/>
      </w:pPr>
      <w:r>
        <w:t>DISABLED — no live calls permitted.</w:t>
      </w:r>
    </w:p>
    <w:p>
      <w:pPr>
        <w:pStyle w:val="Heading1"/>
        <w:keepNext/>
      </w:pPr>
      <w:r>
        <w:t>11. Recommended implementation plan</w:t>
      </w:r>
    </w:p>
    <w:tbl>
      <w:tblPr>
        <w:tblStyle w:val="TableGrid"/>
        <w:tblW w:type="auto" w:w="0"/>
        <w:jc w:val="center"/>
        <w:tblLayout w:type="autofit"/>
        <w:tblLook w:firstColumn="1" w:firstRow="1" w:lastColumn="0" w:lastRow="0" w:noHBand="0" w:noVBand="1" w:val="04A0"/>
      </w:tblPr>
      <w:tblGrid>
        <w:gridCol w:w="3389"/>
        <w:gridCol w:w="3389"/>
        <w:gridCol w:w="3389"/>
      </w:tblGrid>
      <w:tr>
        <w:tc>
          <w:tcPr>
            <w:tcW w:type="dxa" w:w="3389"/>
            <w:vAlign w:val="center"/>
            <w:shd w:fill="DCEAF2"/>
          </w:tcPr>
          <w:p>
            <w:pPr>
              <w:spacing w:after="40" w:line="240" w:lineRule="auto"/>
            </w:pPr>
            <w:r>
              <w:t>Tier</w:t>
            </w:r>
          </w:p>
        </w:tc>
        <w:tc>
          <w:tcPr>
            <w:tcW w:type="dxa" w:w="3389"/>
            <w:vAlign w:val="center"/>
            <w:shd w:fill="DCEAF2"/>
          </w:tcPr>
          <w:p>
            <w:pPr>
              <w:spacing w:after="40" w:line="240" w:lineRule="auto"/>
            </w:pPr>
            <w:r>
              <w:t>Build scope</w:t>
            </w:r>
          </w:p>
        </w:tc>
        <w:tc>
          <w:tcPr>
            <w:tcW w:type="dxa" w:w="3389"/>
            <w:vAlign w:val="center"/>
            <w:shd w:fill="DCEAF2"/>
          </w:tcPr>
          <w:p>
            <w:pPr>
              <w:spacing w:after="40" w:line="240" w:lineRule="auto"/>
            </w:pPr>
            <w:r>
              <w:t>Definition of done</w:t>
            </w:r>
          </w:p>
        </w:tc>
      </w:tr>
      <w:tr>
        <w:tc>
          <w:tcPr>
            <w:tcW w:type="dxa" w:w="3389"/>
            <w:vAlign w:val="center"/>
          </w:tcPr>
          <w:p>
            <w:pPr>
              <w:spacing w:after="40" w:line="240" w:lineRule="auto"/>
            </w:pPr>
            <w:r>
              <w:t>Tier 1 — required demo</w:t>
            </w:r>
          </w:p>
        </w:tc>
        <w:tc>
          <w:tcPr>
            <w:tcW w:type="dxa" w:w="3389"/>
            <w:vAlign w:val="center"/>
          </w:tcPr>
          <w:p>
            <w:pPr>
              <w:spacing w:after="40" w:line="240" w:lineRule="auto"/>
            </w:pPr>
            <w:r>
              <w:t>Institution login/role scope; approved-intake fixture; roster upload/staging; schema validation; deterministic reconciliation; batch lock/versioning; basic discrepancy queue; audit trail; synthetic data; mock adapters.</w:t>
            </w:r>
          </w:p>
        </w:tc>
        <w:tc>
          <w:tcPr>
            <w:tcW w:type="dxa" w:w="3389"/>
            <w:vAlign w:val="center"/>
          </w:tcPr>
          <w:p>
            <w:pPr>
              <w:spacing w:after="40" w:line="240" w:lineRule="auto"/>
            </w:pPr>
            <w:r>
              <w:t>End-to-end demo runs offline from fixture data, test suite covers boundary conditions, and no claim of live government integration is made.</w:t>
            </w:r>
          </w:p>
        </w:tc>
      </w:tr>
      <w:tr>
        <w:tc>
          <w:tcPr>
            <w:tcW w:type="dxa" w:w="3389"/>
            <w:vAlign w:val="center"/>
          </w:tcPr>
          <w:p>
            <w:pPr>
              <w:spacing w:after="40" w:line="240" w:lineRule="auto"/>
            </w:pPr>
            <w:r>
              <w:t>Tier 1.5 — identity proof</w:t>
            </w:r>
          </w:p>
        </w:tc>
        <w:tc>
          <w:tcPr>
            <w:tcW w:type="dxa" w:w="3389"/>
            <w:vAlign w:val="center"/>
          </w:tcPr>
          <w:p>
            <w:pPr>
              <w:spacing w:after="40" w:line="240" w:lineRule="auto"/>
            </w:pPr>
            <w:r>
              <w:t>Exact APAAR token path using test-only keys; PPRL interface and threat model; candidate pairs on synthetic data; review band and false-match review UI.</w:t>
            </w:r>
          </w:p>
        </w:tc>
        <w:tc>
          <w:tcPr>
            <w:tcW w:type="dxa" w:w="3389"/>
            <w:vAlign w:val="center"/>
          </w:tcPr>
          <w:p>
            <w:pPr>
              <w:spacing w:after="40" w:line="240" w:lineRule="auto"/>
            </w:pPr>
            <w:r>
              <w:t>Schema contains no central plaintext identity fields for PPRL-only records; tests verify token purpose separation and review state transitions.</w:t>
            </w:r>
          </w:p>
        </w:tc>
      </w:tr>
      <w:tr>
        <w:tc>
          <w:tcPr>
            <w:tcW w:type="dxa" w:w="3389"/>
            <w:vAlign w:val="center"/>
          </w:tcPr>
          <w:p>
            <w:pPr>
              <w:spacing w:after="40" w:line="240" w:lineRule="auto"/>
            </w:pPr>
            <w:r>
              <w:t>Tier 2 — controlled integration</w:t>
            </w:r>
          </w:p>
        </w:tc>
        <w:tc>
          <w:tcPr>
            <w:tcW w:type="dxa" w:w="3389"/>
            <w:vAlign w:val="center"/>
          </w:tcPr>
          <w:p>
            <w:pPr>
              <w:spacing w:after="40" w:line="240" w:lineRule="auto"/>
            </w:pPr>
            <w:r>
              <w:t>Production-grade identity provider, managed secrets, async jobs, approved external adapters, consent/authority workflows, exports, operational monitoring.</w:t>
            </w:r>
          </w:p>
        </w:tc>
        <w:tc>
          <w:tcPr>
            <w:tcW w:type="dxa" w:w="3389"/>
            <w:vAlign w:val="center"/>
          </w:tcPr>
          <w:p>
            <w:pPr>
              <w:spacing w:after="40" w:line="240" w:lineRule="auto"/>
            </w:pPr>
            <w:r>
              <w:t>Access approvals, integration contracts, security testing, legal review, retention design, and disaster-recovery tests completed.</w:t>
            </w:r>
          </w:p>
        </w:tc>
      </w:tr>
      <w:tr>
        <w:tc>
          <w:tcPr>
            <w:tcW w:type="dxa" w:w="3389"/>
            <w:vAlign w:val="center"/>
          </w:tcPr>
          <w:p>
            <w:pPr>
              <w:spacing w:after="40" w:line="240" w:lineRule="auto"/>
            </w:pPr>
            <w:r>
              <w:t>Tier 3 — advanced</w:t>
            </w:r>
          </w:p>
        </w:tc>
        <w:tc>
          <w:tcPr>
            <w:tcW w:type="dxa" w:w="3389"/>
            <w:vAlign w:val="center"/>
          </w:tcPr>
          <w:p>
            <w:pPr>
              <w:spacing w:after="40" w:line="240" w:lineRule="auto"/>
            </w:pPr>
            <w:r>
              <w:t>SD-JWT or other verified credential issuance, selective disclosure, broader interoperability, privacy-enhancing computation if justified, scale/performance hardening.</w:t>
            </w:r>
          </w:p>
        </w:tc>
        <w:tc>
          <w:tcPr>
            <w:tcW w:type="dxa" w:w="3389"/>
            <w:vAlign w:val="center"/>
          </w:tcPr>
          <w:p>
            <w:pPr>
              <w:spacing w:after="40" w:line="240" w:lineRule="auto"/>
            </w:pPr>
            <w:r>
              <w:t>Formal protocol and key lifecycle review, interoperability tests, independent security/privacy assessment, validated benchmarks.</w:t>
            </w:r>
          </w:p>
        </w:tc>
      </w:tr>
    </w:tbl>
    <w:p/>
    <w:p>
      <w:pPr>
        <w:pStyle w:val="Heading2"/>
        <w:keepNext/>
      </w:pPr>
      <w:r>
        <w:t>11.1 Scope discipline</w:t>
      </w:r>
    </w:p>
    <w:p>
      <w:r>
        <w:rPr>
          <w:i w:val="0"/>
        </w:rPr>
        <w:t>A target such as approximately 3,500 lines of code in 36 hours should be treated as a stretch target, not a delivery promise. If time is constrained, descoping order is: (1) keep deterministic intake reconciliation and audit; (2) keep a synthetic-data duplicate-candidate demo with human review; (3) keep policy-driven outcomes; (4) mock external integrations; (5) defer live connectors, advanced PPRL hardening, and credential issuance. Do not remove authorization, audit, or the distinction between candidate and violation to save time.</w:t>
      </w:r>
    </w:p>
    <w:p>
      <w:pPr>
        <w:pStyle w:val="Heading1"/>
        <w:keepNext/>
      </w:pPr>
      <w:r>
        <w:t>12. Test and evaluation strategy</w:t>
      </w:r>
    </w:p>
    <w:tbl>
      <w:tblPr>
        <w:tblStyle w:val="TableGrid"/>
        <w:tblW w:type="auto" w:w="0"/>
        <w:jc w:val="center"/>
        <w:tblLayout w:type="autofit"/>
        <w:tblLook w:firstColumn="1" w:firstRow="1" w:lastColumn="0" w:lastRow="0" w:noHBand="0" w:noVBand="1" w:val="04A0"/>
      </w:tblPr>
      <w:tblGrid>
        <w:gridCol w:w="5083"/>
        <w:gridCol w:w="5083"/>
      </w:tblGrid>
      <w:tr>
        <w:tc>
          <w:tcPr>
            <w:tcW w:type="dxa" w:w="5083"/>
            <w:vAlign w:val="center"/>
            <w:shd w:fill="DCEAF2"/>
          </w:tcPr>
          <w:p>
            <w:pPr>
              <w:spacing w:after="40" w:line="240" w:lineRule="auto"/>
            </w:pPr>
            <w:r>
              <w:t>Test group</w:t>
            </w:r>
          </w:p>
        </w:tc>
        <w:tc>
          <w:tcPr>
            <w:tcW w:type="dxa" w:w="5083"/>
            <w:vAlign w:val="center"/>
            <w:shd w:fill="DCEAF2"/>
          </w:tcPr>
          <w:p>
            <w:pPr>
              <w:spacing w:after="40" w:line="240" w:lineRule="auto"/>
            </w:pPr>
            <w:r>
              <w:t>Cases</w:t>
            </w:r>
          </w:p>
        </w:tc>
      </w:tr>
      <w:tr>
        <w:tc>
          <w:tcPr>
            <w:tcW w:type="dxa" w:w="5083"/>
            <w:vAlign w:val="center"/>
          </w:tcPr>
          <w:p>
            <w:pPr>
              <w:spacing w:after="40" w:line="240" w:lineRule="auto"/>
            </w:pPr>
            <w:r>
              <w:t>Unit tests</w:t>
            </w:r>
          </w:p>
        </w:tc>
        <w:tc>
          <w:tcPr>
            <w:tcW w:type="dxa" w:w="5083"/>
            <w:vAlign w:val="center"/>
          </w:tcPr>
          <w:p>
            <w:pPr>
              <w:spacing w:after="40" w:line="240" w:lineRule="auto"/>
            </w:pPr>
            <w:r>
              <w:t>Quota boundary values, arithmetic, empty batches, duplicate rows, missing approval, policy effective-date boundaries, idempotency, threshold boundary scores.</w:t>
            </w:r>
          </w:p>
        </w:tc>
      </w:tr>
      <w:tr>
        <w:tc>
          <w:tcPr>
            <w:tcW w:type="dxa" w:w="5083"/>
            <w:vAlign w:val="center"/>
          </w:tcPr>
          <w:p>
            <w:pPr>
              <w:spacing w:after="40" w:line="240" w:lineRule="auto"/>
            </w:pPr>
            <w:r>
              <w:t>Property tests</w:t>
            </w:r>
          </w:p>
        </w:tc>
        <w:tc>
          <w:tcPr>
            <w:tcW w:type="dxa" w:w="5083"/>
            <w:vAlign w:val="center"/>
          </w:tcPr>
          <w:p>
            <w:pPr>
              <w:spacing w:after="40" w:line="240" w:lineRule="auto"/>
            </w:pPr>
            <w:r>
              <w:t>Counts reconcile to the rows; the same inputs + policy version yield the same result; no record silently disappears; replay produces the same result.</w:t>
            </w:r>
          </w:p>
        </w:tc>
      </w:tr>
      <w:tr>
        <w:tc>
          <w:tcPr>
            <w:tcW w:type="dxa" w:w="5083"/>
            <w:vAlign w:val="center"/>
          </w:tcPr>
          <w:p>
            <w:pPr>
              <w:spacing w:after="40" w:line="240" w:lineRule="auto"/>
            </w:pPr>
            <w:r>
              <w:t>Identity tests</w:t>
            </w:r>
          </w:p>
        </w:tc>
        <w:tc>
          <w:tcPr>
            <w:tcW w:type="dxa" w:w="5083"/>
            <w:vAlign w:val="center"/>
          </w:tcPr>
          <w:p>
            <w:pPr>
              <w:spacing w:after="40" w:line="240" w:lineRule="auto"/>
            </w:pPr>
            <w:r>
              <w:t>Known synthetic same-person variations, distinct people with common names, shared phone numbers, missing APAAR, key rotation/version migration, false candidate dismissal.</w:t>
            </w:r>
          </w:p>
        </w:tc>
      </w:tr>
      <w:tr>
        <w:tc>
          <w:tcPr>
            <w:tcW w:type="dxa" w:w="5083"/>
            <w:vAlign w:val="center"/>
          </w:tcPr>
          <w:p>
            <w:pPr>
              <w:spacing w:after="40" w:line="240" w:lineRule="auto"/>
            </w:pPr>
            <w:r>
              <w:t>Privacy tests</w:t>
            </w:r>
          </w:p>
        </w:tc>
        <w:tc>
          <w:tcPr>
            <w:tcW w:type="dxa" w:w="5083"/>
            <w:vAlign w:val="center"/>
          </w:tcPr>
          <w:p>
            <w:pPr>
              <w:spacing w:after="40" w:line="240" w:lineRule="auto"/>
            </w:pPr>
            <w:r>
              <w:t>Schema scan for plaintext PII in central PPRL tables/logs; token endpoint abuse; cross-tenant access; re-identification threat scenarios; retention expiry.</w:t>
            </w:r>
          </w:p>
        </w:tc>
      </w:tr>
      <w:tr>
        <w:tc>
          <w:tcPr>
            <w:tcW w:type="dxa" w:w="5083"/>
            <w:vAlign w:val="center"/>
          </w:tcPr>
          <w:p>
            <w:pPr>
              <w:spacing w:after="40" w:line="240" w:lineRule="auto"/>
            </w:pPr>
            <w:r>
              <w:t>Authorization tests</w:t>
            </w:r>
          </w:p>
        </w:tc>
        <w:tc>
          <w:tcPr>
            <w:tcW w:type="dxa" w:w="5083"/>
            <w:vAlign w:val="center"/>
          </w:tcPr>
          <w:p>
            <w:pPr>
              <w:spacing w:after="40" w:line="240" w:lineRule="auto"/>
            </w:pPr>
            <w:r>
              <w:t>Institution A cannot read institution B; reviewer cannot publish policy; requester cannot ask for unauthorized claims; expired consent/authorization is rejected.</w:t>
            </w:r>
          </w:p>
        </w:tc>
      </w:tr>
      <w:tr>
        <w:tc>
          <w:tcPr>
            <w:tcW w:type="dxa" w:w="5083"/>
            <w:vAlign w:val="center"/>
          </w:tcPr>
          <w:p>
            <w:pPr>
              <w:spacing w:after="40" w:line="240" w:lineRule="auto"/>
            </w:pPr>
            <w:r>
              <w:t>Integration tests</w:t>
            </w:r>
          </w:p>
        </w:tc>
        <w:tc>
          <w:tcPr>
            <w:tcW w:type="dxa" w:w="5083"/>
            <w:vAlign w:val="center"/>
          </w:tcPr>
          <w:p>
            <w:pPr>
              <w:spacing w:after="40" w:line="240" w:lineRule="auto"/>
            </w:pPr>
            <w:r>
              <w:t>Adapter timeout, invalid response, retry, duplicate webhook, unavailable external service, mock-vs-live status handling.</w:t>
            </w:r>
          </w:p>
        </w:tc>
      </w:tr>
      <w:tr>
        <w:tc>
          <w:tcPr>
            <w:tcW w:type="dxa" w:w="5083"/>
            <w:vAlign w:val="center"/>
          </w:tcPr>
          <w:p>
            <w:pPr>
              <w:spacing w:after="40" w:line="240" w:lineRule="auto"/>
            </w:pPr>
            <w:r>
              <w:t>Workflow tests</w:t>
            </w:r>
          </w:p>
        </w:tc>
        <w:tc>
          <w:tcPr>
            <w:tcW w:type="dxa" w:w="5083"/>
            <w:vAlign w:val="center"/>
          </w:tcPr>
          <w:p>
            <w:pPr>
              <w:spacing w:after="40" w:line="240" w:lineRule="auto"/>
            </w:pPr>
            <w:r>
              <w:t>Batch staged → validated → reconciled → reviewed → locked; corrections create a new version; failed jobs resume without duplicate writes.</w:t>
            </w:r>
          </w:p>
        </w:tc>
      </w:tr>
      <w:tr>
        <w:tc>
          <w:tcPr>
            <w:tcW w:type="dxa" w:w="5083"/>
            <w:vAlign w:val="center"/>
          </w:tcPr>
          <w:p>
            <w:pPr>
              <w:spacing w:after="40" w:line="240" w:lineRule="auto"/>
            </w:pPr>
            <w:r>
              <w:t>Performance tests</w:t>
            </w:r>
          </w:p>
        </w:tc>
        <w:tc>
          <w:tcPr>
            <w:tcW w:type="dxa" w:w="5083"/>
            <w:vAlign w:val="center"/>
          </w:tcPr>
          <w:p>
            <w:pPr>
              <w:spacing w:after="40" w:line="240" w:lineRule="auto"/>
            </w:pPr>
            <w:r>
              <w:t>Measure on declared hardware and synthetic dataset; report dataset size, concurrency, p50/p95/p99, error rate, and resource use.</w:t>
            </w:r>
          </w:p>
        </w:tc>
      </w:tr>
    </w:tbl>
    <w:p/>
    <w:p>
      <w:r>
        <w:rPr>
          <w:i w:val="0"/>
        </w:rPr>
        <w:t>Any reported precision (P ≥ 0.97), false-accept rate (FAR 0.0%), or latency (&lt;20 ms) must be labelled 'target on self-generated synthetic data' until measured and reproducible. Zero observed false accepts in a small synthetic set is not proof of a zero real-world false-accept rate.</w:t>
      </w:r>
    </w:p>
    <w:p>
      <w:pPr>
        <w:pStyle w:val="Heading1"/>
        <w:keepNext/>
      </w:pPr>
      <w:r>
        <w:t>13. Risks and mitigations</w:t>
      </w:r>
    </w:p>
    <w:tbl>
      <w:tblPr>
        <w:tblStyle w:val="TableGrid"/>
        <w:tblW w:type="auto" w:w="0"/>
        <w:jc w:val="center"/>
        <w:tblLayout w:type="autofit"/>
        <w:tblLook w:firstColumn="1" w:firstRow="1" w:lastColumn="0" w:lastRow="0" w:noHBand="0" w:noVBand="1" w:val="04A0"/>
      </w:tblPr>
      <w:tblGrid>
        <w:gridCol w:w="3389"/>
        <w:gridCol w:w="3389"/>
        <w:gridCol w:w="3389"/>
      </w:tblGrid>
      <w:tr>
        <w:tc>
          <w:tcPr>
            <w:tcW w:type="dxa" w:w="3389"/>
            <w:vAlign w:val="center"/>
            <w:shd w:fill="DCEAF2"/>
          </w:tcPr>
          <w:p>
            <w:pPr>
              <w:spacing w:after="40" w:line="240" w:lineRule="auto"/>
            </w:pPr>
            <w:r>
              <w:t>Risk</w:t>
            </w:r>
          </w:p>
        </w:tc>
        <w:tc>
          <w:tcPr>
            <w:tcW w:type="dxa" w:w="3389"/>
            <w:vAlign w:val="center"/>
            <w:shd w:fill="DCEAF2"/>
          </w:tcPr>
          <w:p>
            <w:pPr>
              <w:spacing w:after="40" w:line="240" w:lineRule="auto"/>
            </w:pPr>
            <w:r>
              <w:t>Impact</w:t>
            </w:r>
          </w:p>
        </w:tc>
        <w:tc>
          <w:tcPr>
            <w:tcW w:type="dxa" w:w="3389"/>
            <w:vAlign w:val="center"/>
            <w:shd w:fill="DCEAF2"/>
          </w:tcPr>
          <w:p>
            <w:pPr>
              <w:spacing w:after="40" w:line="240" w:lineRule="auto"/>
            </w:pPr>
            <w:r>
              <w:t>Mitigation</w:t>
            </w:r>
          </w:p>
        </w:tc>
      </w:tr>
      <w:tr>
        <w:tc>
          <w:tcPr>
            <w:tcW w:type="dxa" w:w="3389"/>
            <w:vAlign w:val="center"/>
          </w:tcPr>
          <w:p>
            <w:pPr>
              <w:spacing w:after="40" w:line="240" w:lineRule="auto"/>
            </w:pPr>
            <w:r>
              <w:t>PPRL leakage or re-identification</w:t>
            </w:r>
          </w:p>
        </w:tc>
        <w:tc>
          <w:tcPr>
            <w:tcW w:type="dxa" w:w="3389"/>
            <w:vAlign w:val="center"/>
          </w:tcPr>
          <w:p>
            <w:pPr>
              <w:spacing w:after="40" w:line="240" w:lineRule="auto"/>
            </w:pPr>
            <w:r>
              <w:t>Sensitive identity inference despite no plaintext central fields</w:t>
            </w:r>
          </w:p>
        </w:tc>
        <w:tc>
          <w:tcPr>
            <w:tcW w:type="dxa" w:w="3389"/>
            <w:vAlign w:val="center"/>
          </w:tcPr>
          <w:p>
            <w:pPr>
              <w:spacing w:after="40" w:line="240" w:lineRule="auto"/>
            </w:pPr>
            <w:r>
              <w:t>Threat model, secure blocking, access/query limits, key separation, limited retention, independent review; do not claim zero leakage.</w:t>
            </w:r>
          </w:p>
        </w:tc>
      </w:tr>
      <w:tr>
        <w:tc>
          <w:tcPr>
            <w:tcW w:type="dxa" w:w="3389"/>
            <w:vAlign w:val="center"/>
          </w:tcPr>
          <w:p>
            <w:pPr>
              <w:spacing w:after="40" w:line="240" w:lineRule="auto"/>
            </w:pPr>
            <w:r>
              <w:t>False positive duplicate candidate</w:t>
            </w:r>
          </w:p>
        </w:tc>
        <w:tc>
          <w:tcPr>
            <w:tcW w:type="dxa" w:w="3389"/>
            <w:vAlign w:val="center"/>
          </w:tcPr>
          <w:p>
            <w:pPr>
              <w:spacing w:after="40" w:line="240" w:lineRule="auto"/>
            </w:pPr>
            <w:r>
              <w:t>Wrongful hold or suspicion</w:t>
            </w:r>
          </w:p>
        </w:tc>
        <w:tc>
          <w:tcPr>
            <w:tcW w:type="dxa" w:w="3389"/>
            <w:vAlign w:val="center"/>
          </w:tcPr>
          <w:p>
            <w:pPr>
              <w:spacing w:after="40" w:line="240" w:lineRule="auto"/>
            </w:pPr>
            <w:r>
              <w:t>Human review, explainable reasons, no penalty from similarity alone, correction/appeal route.</w:t>
            </w:r>
          </w:p>
        </w:tc>
      </w:tr>
      <w:tr>
        <w:tc>
          <w:tcPr>
            <w:tcW w:type="dxa" w:w="3389"/>
            <w:vAlign w:val="center"/>
          </w:tcPr>
          <w:p>
            <w:pPr>
              <w:spacing w:after="40" w:line="240" w:lineRule="auto"/>
            </w:pPr>
            <w:r>
              <w:t>Wrong or stale policy package</w:t>
            </w:r>
          </w:p>
        </w:tc>
        <w:tc>
          <w:tcPr>
            <w:tcW w:type="dxa" w:w="3389"/>
            <w:vAlign w:val="center"/>
          </w:tcPr>
          <w:p>
            <w:pPr>
              <w:spacing w:after="40" w:line="240" w:lineRule="auto"/>
            </w:pPr>
            <w:r>
              <w:t>Incorrect seat/penalty decision</w:t>
            </w:r>
          </w:p>
        </w:tc>
        <w:tc>
          <w:tcPr>
            <w:tcW w:type="dxa" w:w="3389"/>
            <w:vAlign w:val="center"/>
          </w:tcPr>
          <w:p>
            <w:pPr>
              <w:spacing w:after="40" w:line="240" w:lineRule="auto"/>
            </w:pPr>
            <w:r>
              <w:t>Primary-source verification, effective dates, dual approval, regression tests, immutable versions.</w:t>
            </w:r>
          </w:p>
        </w:tc>
      </w:tr>
      <w:tr>
        <w:tc>
          <w:tcPr>
            <w:tcW w:type="dxa" w:w="3389"/>
            <w:vAlign w:val="center"/>
          </w:tcPr>
          <w:p>
            <w:pPr>
              <w:spacing w:after="40" w:line="240" w:lineRule="auto"/>
            </w:pPr>
            <w:r>
              <w:t>Unknown external API behavior</w:t>
            </w:r>
          </w:p>
        </w:tc>
        <w:tc>
          <w:tcPr>
            <w:tcW w:type="dxa" w:w="3389"/>
            <w:vAlign w:val="center"/>
          </w:tcPr>
          <w:p>
            <w:pPr>
              <w:spacing w:after="40" w:line="240" w:lineRule="auto"/>
            </w:pPr>
            <w:r>
              <w:t>Demo failure or false claim of integration</w:t>
            </w:r>
          </w:p>
        </w:tc>
        <w:tc>
          <w:tcPr>
            <w:tcW w:type="dxa" w:w="3389"/>
            <w:vAlign w:val="center"/>
          </w:tcPr>
          <w:p>
            <w:pPr>
              <w:spacing w:after="40" w:line="240" w:lineRule="auto"/>
            </w:pPr>
            <w:r>
              <w:t>Mock adapters, explicit status labels, contract tests, no invented endpoints.</w:t>
            </w:r>
          </w:p>
        </w:tc>
      </w:tr>
      <w:tr>
        <w:tc>
          <w:tcPr>
            <w:tcW w:type="dxa" w:w="3389"/>
            <w:vAlign w:val="center"/>
          </w:tcPr>
          <w:p>
            <w:pPr>
              <w:spacing w:after="40" w:line="240" w:lineRule="auto"/>
            </w:pPr>
            <w:r>
              <w:t>Central data over-collection</w:t>
            </w:r>
          </w:p>
        </w:tc>
        <w:tc>
          <w:tcPr>
            <w:tcW w:type="dxa" w:w="3389"/>
            <w:vAlign w:val="center"/>
          </w:tcPr>
          <w:p>
            <w:pPr>
              <w:spacing w:after="40" w:line="240" w:lineRule="auto"/>
            </w:pPr>
            <w:r>
              <w:t>Privacy and breach exposure</w:t>
            </w:r>
          </w:p>
        </w:tc>
        <w:tc>
          <w:tcPr>
            <w:tcW w:type="dxa" w:w="3389"/>
            <w:vAlign w:val="center"/>
          </w:tcPr>
          <w:p>
            <w:pPr>
              <w:spacing w:after="40" w:line="240" w:lineRule="auto"/>
            </w:pPr>
            <w:r>
              <w:t>Local identity vault, central data minimization, data inventory, retention and deletion.</w:t>
            </w:r>
          </w:p>
        </w:tc>
      </w:tr>
      <w:tr>
        <w:tc>
          <w:tcPr>
            <w:tcW w:type="dxa" w:w="3389"/>
            <w:vAlign w:val="center"/>
          </w:tcPr>
          <w:p>
            <w:pPr>
              <w:spacing w:after="40" w:line="240" w:lineRule="auto"/>
            </w:pPr>
            <w:r>
              <w:t>Overly broad role access</w:t>
            </w:r>
          </w:p>
        </w:tc>
        <w:tc>
          <w:tcPr>
            <w:tcW w:type="dxa" w:w="3389"/>
            <w:vAlign w:val="center"/>
          </w:tcPr>
          <w:p>
            <w:pPr>
              <w:spacing w:after="40" w:line="240" w:lineRule="auto"/>
            </w:pPr>
            <w:r>
              <w:t>Cross-institution disclosure</w:t>
            </w:r>
          </w:p>
        </w:tc>
        <w:tc>
          <w:tcPr>
            <w:tcW w:type="dxa" w:w="3389"/>
            <w:vAlign w:val="center"/>
          </w:tcPr>
          <w:p>
            <w:pPr>
              <w:spacing w:after="40" w:line="240" w:lineRule="auto"/>
            </w:pPr>
            <w:r>
              <w:t>Tenant-scoped authorization, deny-by-default, object-level tests, privileged access review.</w:t>
            </w:r>
          </w:p>
        </w:tc>
      </w:tr>
      <w:tr>
        <w:tc>
          <w:tcPr>
            <w:tcW w:type="dxa" w:w="3389"/>
            <w:vAlign w:val="center"/>
          </w:tcPr>
          <w:p>
            <w:pPr>
              <w:spacing w:after="40" w:line="240" w:lineRule="auto"/>
            </w:pPr>
            <w:r>
              <w:t>Time overrun</w:t>
            </w:r>
          </w:p>
        </w:tc>
        <w:tc>
          <w:tcPr>
            <w:tcW w:type="dxa" w:w="3389"/>
            <w:vAlign w:val="center"/>
          </w:tcPr>
          <w:p>
            <w:pPr>
              <w:spacing w:after="40" w:line="240" w:lineRule="auto"/>
            </w:pPr>
            <w:r>
              <w:t>Core workflow unfinished</w:t>
            </w:r>
          </w:p>
        </w:tc>
        <w:tc>
          <w:tcPr>
            <w:tcW w:type="dxa" w:w="3389"/>
            <w:vAlign w:val="center"/>
          </w:tcPr>
          <w:p>
            <w:pPr>
              <w:spacing w:after="40" w:line="240" w:lineRule="auto"/>
            </w:pPr>
            <w:r>
              <w:t>Tiered scope and descoping plan; defer credential issuance and live connectors.</w:t>
            </w:r>
          </w:p>
        </w:tc>
      </w:tr>
      <w:tr>
        <w:tc>
          <w:tcPr>
            <w:tcW w:type="dxa" w:w="3389"/>
            <w:vAlign w:val="center"/>
          </w:tcPr>
          <w:p>
            <w:pPr>
              <w:spacing w:after="40" w:line="240" w:lineRule="auto"/>
            </w:pPr>
            <w:r>
              <w:t>Audit-chain overclaim</w:t>
            </w:r>
          </w:p>
        </w:tc>
        <w:tc>
          <w:tcPr>
            <w:tcW w:type="dxa" w:w="3389"/>
            <w:vAlign w:val="center"/>
          </w:tcPr>
          <w:p>
            <w:pPr>
              <w:spacing w:after="40" w:line="240" w:lineRule="auto"/>
            </w:pPr>
            <w:r>
              <w:t>False assurance of immutability</w:t>
            </w:r>
          </w:p>
        </w:tc>
        <w:tc>
          <w:tcPr>
            <w:tcW w:type="dxa" w:w="3389"/>
            <w:vAlign w:val="center"/>
          </w:tcPr>
          <w:p>
            <w:pPr>
              <w:spacing w:after="40" w:line="240" w:lineRule="auto"/>
            </w:pPr>
            <w:r>
              <w:t>Protect checkpoints, separate roles, external signed checkpoints if warranted, incident response.</w:t>
            </w:r>
          </w:p>
        </w:tc>
      </w:tr>
    </w:tbl>
    <w:p/>
    <w:p>
      <w:pPr>
        <w:pStyle w:val="Heading1"/>
        <w:keepNext/>
      </w:pPr>
      <w:r>
        <w:t>14. Decisions requiring verification</w:t>
      </w:r>
    </w:p>
    <w:p>
      <w:pPr>
        <w:pStyle w:val="ListBullet"/>
      </w:pPr>
      <w:r>
        <w:t>[VERIFY on official SIH portal] SIH26263 identifier, exact wording, companion statement IDs, publication date, and deadline.</w:t>
      </w:r>
    </w:p>
    <w:p>
      <w:pPr>
        <w:pStyle w:val="ListBullet"/>
      </w:pPr>
      <w:r>
        <w:t>[VERIFY] Current AICTE APH seat categories, exact quota calculations, vacancy conversion rules, penalty formula, and programme applicability against official primary documents.</w:t>
      </w:r>
    </w:p>
    <w:p>
      <w:pPr>
        <w:pStyle w:val="ListBullet"/>
      </w:pPr>
      <w:r>
        <w:t>[VERIFY] Current UGC guidance and the precise rules for simultaneous programmes, timing conflicts, restricted seats, and enforcement.</w:t>
      </w:r>
    </w:p>
    <w:p>
      <w:pPr>
        <w:pStyle w:val="ListBullet"/>
      </w:pPr>
      <w:r>
        <w:t>[VERIFY] DPDP Act and Rules text, notification/commencement dates, statutory/State processing basis, educational-institution exemption, minors handling, third-party sharing, erasure, and notice requirements.</w:t>
      </w:r>
    </w:p>
    <w:p>
      <w:pPr>
        <w:pStyle w:val="ListBullet"/>
      </w:pPr>
      <w:r>
        <w:t>[VERIFY] Official APAAR/ABC/DigiLocker/API Setu integration specifications, actual partner onboarding, scopes, token/URI rules, and whether requested interfaces are available to the project.</w:t>
      </w:r>
    </w:p>
    <w:p>
      <w:pPr>
        <w:pStyle w:val="ListBullet"/>
      </w:pPr>
      <w:r>
        <w:t>[VERIFY] ONOD/AICTE schema, authentication method, data contract, and access permissions; use mocks until confirmed.</w:t>
      </w:r>
    </w:p>
    <w:p>
      <w:pPr>
        <w:pStyle w:val="ListBullet"/>
      </w:pPr>
      <w:r>
        <w:t>[VERIFY] The actual institutional ERP import/export fields and mapping for each pilot institution.</w:t>
      </w:r>
    </w:p>
    <w:p>
      <w:pPr>
        <w:pStyle w:val="ListBullet"/>
      </w:pPr>
      <w:r>
        <w:t>[VERIFY] Whether the proposed Bloom-filter encoding, secondary encoding, and similarity method meet the required privacy and accuracy bar; no production security claim should precede review.</w:t>
      </w:r>
    </w:p>
    <w:p>
      <w:pPr>
        <w:pStyle w:val="ListBullet"/>
      </w:pPr>
      <w:r>
        <w:t>[VERIFY] Data-controller/processor roles, retention periods, student rights workflows, incident notification duties, and institutional agreements with qualified legal/privacy review.</w:t>
      </w:r>
    </w:p>
    <w:p>
      <w:pPr>
        <w:pStyle w:val="Heading1"/>
        <w:keepNext/>
      </w:pPr>
      <w:r>
        <w:t>15. Summarised ERP / module blueprint</w:t>
      </w:r>
    </w:p>
    <w:p>
      <w:r>
        <w:rPr>
          <w:i w:val="0"/>
        </w:rPr>
        <w:t>The term 'ERP' here is interpreted as an ERP-style functional/module summary for the proposed platform. PRAMAAN–AICTE is not intended to replace a college's full ERP; it is a regulatory data-management and verification layer that exchanges controlled data with campus systems.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c>
          <w:tcPr>
            <w:tcW w:type="dxa" w:w="2541"/>
            <w:vAlign w:val="center"/>
            <w:shd w:fill="DCEAF2"/>
          </w:tcPr>
          <w:p>
            <w:pPr>
              <w:spacing w:after="40" w:line="240" w:lineRule="auto"/>
            </w:pPr>
            <w:r>
              <w:t>Module</w:t>
            </w:r>
          </w:p>
        </w:tc>
        <w:tc>
          <w:tcPr>
            <w:tcW w:type="dxa" w:w="2541"/>
            <w:vAlign w:val="center"/>
            <w:shd w:fill="DCEAF2"/>
          </w:tcPr>
          <w:p>
            <w:pPr>
              <w:spacing w:after="40" w:line="240" w:lineRule="auto"/>
            </w:pPr>
            <w:r>
              <w:t>Primary user</w:t>
            </w:r>
          </w:p>
        </w:tc>
        <w:tc>
          <w:tcPr>
            <w:tcW w:type="dxa" w:w="2541"/>
            <w:vAlign w:val="center"/>
            <w:shd w:fill="DCEAF2"/>
          </w:tcPr>
          <w:p>
            <w:pPr>
              <w:spacing w:after="40" w:line="240" w:lineRule="auto"/>
            </w:pPr>
            <w:r>
              <w:t>Core functions</w:t>
            </w:r>
          </w:p>
        </w:tc>
        <w:tc>
          <w:tcPr>
            <w:tcW w:type="dxa" w:w="2541"/>
            <w:vAlign w:val="center"/>
            <w:shd w:fill="DCEAF2"/>
          </w:tcPr>
          <w:p>
            <w:pPr>
              <w:spacing w:after="40" w:line="240" w:lineRule="auto"/>
            </w:pPr>
            <w:r>
              <w:t>Main outputs</w:t>
            </w:r>
          </w:p>
        </w:tc>
      </w:tr>
      <w:tr>
        <w:tc>
          <w:tcPr>
            <w:tcW w:type="dxa" w:w="2541"/>
            <w:vAlign w:val="center"/>
          </w:tcPr>
          <w:p>
            <w:pPr>
              <w:spacing w:after="40" w:line="240" w:lineRule="auto"/>
            </w:pPr>
            <w:r>
              <w:t>ERP-01 Institution &amp; Course Registry</w:t>
            </w:r>
          </w:p>
        </w:tc>
        <w:tc>
          <w:tcPr>
            <w:tcW w:type="dxa" w:w="2541"/>
            <w:vAlign w:val="center"/>
          </w:tcPr>
          <w:p>
            <w:pPr>
              <w:spacing w:after="40" w:line="240" w:lineRule="auto"/>
            </w:pPr>
            <w:r>
              <w:t>AICTE admin / institution nodal officer</w:t>
            </w:r>
          </w:p>
        </w:tc>
        <w:tc>
          <w:tcPr>
            <w:tcW w:type="dxa" w:w="2541"/>
            <w:vAlign w:val="center"/>
          </w:tcPr>
          <w:p>
            <w:pPr>
              <w:spacing w:after="40" w:line="240" w:lineRule="auto"/>
            </w:pPr>
            <w:r>
              <w:t>Institution profile, approved courses, academic years, course/shift/mode mappings, integration status.</w:t>
            </w:r>
          </w:p>
        </w:tc>
        <w:tc>
          <w:tcPr>
            <w:tcW w:type="dxa" w:w="2541"/>
            <w:vAlign w:val="center"/>
          </w:tcPr>
          <w:p>
            <w:pPr>
              <w:spacing w:after="40" w:line="240" w:lineRule="auto"/>
            </w:pPr>
            <w:r>
              <w:t>Versioned institution/course reference data.</w:t>
            </w:r>
          </w:p>
        </w:tc>
      </w:tr>
      <w:tr>
        <w:tc>
          <w:tcPr>
            <w:tcW w:type="dxa" w:w="2541"/>
            <w:vAlign w:val="center"/>
          </w:tcPr>
          <w:p>
            <w:pPr>
              <w:spacing w:after="40" w:line="240" w:lineRule="auto"/>
            </w:pPr>
            <w:r>
              <w:t>ERP-02 Approved Intake Management</w:t>
            </w:r>
          </w:p>
        </w:tc>
        <w:tc>
          <w:tcPr>
            <w:tcW w:type="dxa" w:w="2541"/>
            <w:vAlign w:val="center"/>
          </w:tcPr>
          <w:p>
            <w:pPr>
              <w:spacing w:after="40" w:line="240" w:lineRule="auto"/>
            </w:pPr>
            <w:r>
              <w:t>AICTE/regional officer; read-only institution users</w:t>
            </w:r>
          </w:p>
        </w:tc>
        <w:tc>
          <w:tcPr>
            <w:tcW w:type="dxa" w:w="2541"/>
            <w:vAlign w:val="center"/>
          </w:tcPr>
          <w:p>
            <w:pPr>
              <w:spacing w:after="40" w:line="240" w:lineRule="auto"/>
            </w:pPr>
            <w:r>
              <w:t>Load and version LoA/EoA intake snapshots; effective dates; approval provenance.</w:t>
            </w:r>
          </w:p>
        </w:tc>
        <w:tc>
          <w:tcPr>
            <w:tcW w:type="dxa" w:w="2541"/>
            <w:vAlign w:val="center"/>
          </w:tcPr>
          <w:p>
            <w:pPr>
              <w:spacing w:after="40" w:line="240" w:lineRule="auto"/>
            </w:pPr>
            <w:r>
              <w:t>Authoritative intake snapshot.</w:t>
            </w:r>
          </w:p>
        </w:tc>
      </w:tr>
      <w:tr>
        <w:tc>
          <w:tcPr>
            <w:tcW w:type="dxa" w:w="2541"/>
            <w:vAlign w:val="center"/>
          </w:tcPr>
          <w:p>
            <w:pPr>
              <w:spacing w:after="40" w:line="240" w:lineRule="auto"/>
            </w:pPr>
            <w:r>
              <w:t>ERP-03 Student Roster Import</w:t>
            </w:r>
          </w:p>
        </w:tc>
        <w:tc>
          <w:tcPr>
            <w:tcW w:type="dxa" w:w="2541"/>
            <w:vAlign w:val="center"/>
          </w:tcPr>
          <w:p>
            <w:pPr>
              <w:spacing w:after="40" w:line="240" w:lineRule="auto"/>
            </w:pPr>
            <w:r>
              <w:t>Institution data operator</w:t>
            </w:r>
          </w:p>
        </w:tc>
        <w:tc>
          <w:tcPr>
            <w:tcW w:type="dxa" w:w="2541"/>
            <w:vAlign w:val="center"/>
          </w:tcPr>
          <w:p>
            <w:pPr>
              <w:spacing w:after="40" w:line="240" w:lineRule="auto"/>
            </w:pPr>
            <w:r>
              <w:t>CSV/XLSX/API import, mapping, validation, duplicate-row detection, checksum and batch status.</w:t>
            </w:r>
          </w:p>
        </w:tc>
        <w:tc>
          <w:tcPr>
            <w:tcW w:type="dxa" w:w="2541"/>
            <w:vAlign w:val="center"/>
          </w:tcPr>
          <w:p>
            <w:pPr>
              <w:spacing w:after="40" w:line="240" w:lineRule="auto"/>
            </w:pPr>
            <w:r>
              <w:t>Staged batch and row-level errors.</w:t>
            </w:r>
          </w:p>
        </w:tc>
      </w:tr>
      <w:tr>
        <w:tc>
          <w:tcPr>
            <w:tcW w:type="dxa" w:w="2541"/>
            <w:vAlign w:val="center"/>
          </w:tcPr>
          <w:p>
            <w:pPr>
              <w:spacing w:after="40" w:line="240" w:lineRule="auto"/>
            </w:pPr>
            <w:r>
              <w:t>ERP-04 APAAR Linkage &amp; Identity Exceptions</w:t>
            </w:r>
          </w:p>
        </w:tc>
        <w:tc>
          <w:tcPr>
            <w:tcW w:type="dxa" w:w="2541"/>
            <w:vAlign w:val="center"/>
          </w:tcPr>
          <w:p>
            <w:pPr>
              <w:spacing w:after="40" w:line="240" w:lineRule="auto"/>
            </w:pPr>
            <w:r>
              <w:t>Authorized institution operator</w:t>
            </w:r>
          </w:p>
        </w:tc>
        <w:tc>
          <w:tcPr>
            <w:tcW w:type="dxa" w:w="2541"/>
            <w:vAlign w:val="center"/>
          </w:tcPr>
          <w:p>
            <w:pPr>
              <w:spacing w:after="40" w:line="240" w:lineRule="auto"/>
            </w:pPr>
            <w:r>
              <w:t>Verified APAAR association, pending/mismatch/exempt status, correction queue; local identity data stays institution-side in chosen PPRL design.</w:t>
            </w:r>
          </w:p>
        </w:tc>
        <w:tc>
          <w:tcPr>
            <w:tcW w:type="dxa" w:w="2541"/>
            <w:vAlign w:val="center"/>
          </w:tcPr>
          <w:p>
            <w:pPr>
              <w:spacing w:after="40" w:line="240" w:lineRule="auto"/>
            </w:pPr>
            <w:r>
              <w:t>Linkage state and remediation cases.</w:t>
            </w:r>
          </w:p>
        </w:tc>
      </w:tr>
      <w:tr>
        <w:tc>
          <w:tcPr>
            <w:tcW w:type="dxa" w:w="2541"/>
            <w:vAlign w:val="center"/>
          </w:tcPr>
          <w:p>
            <w:pPr>
              <w:spacing w:after="40" w:line="240" w:lineRule="auto"/>
            </w:pPr>
            <w:r>
              <w:t>ERP-05 Intake Reconciliation</w:t>
            </w:r>
          </w:p>
        </w:tc>
        <w:tc>
          <w:tcPr>
            <w:tcW w:type="dxa" w:w="2541"/>
            <w:vAlign w:val="center"/>
          </w:tcPr>
          <w:p>
            <w:pPr>
              <w:spacing w:after="40" w:line="240" w:lineRule="auto"/>
            </w:pPr>
            <w:r>
              <w:t>Institution nodal officer / AICTE reviewer</w:t>
            </w:r>
          </w:p>
        </w:tc>
        <w:tc>
          <w:tcPr>
            <w:tcW w:type="dxa" w:w="2541"/>
            <w:vAlign w:val="center"/>
          </w:tcPr>
          <w:p>
            <w:pPr>
              <w:spacing w:after="40" w:line="240" w:lineRule="auto"/>
            </w:pPr>
            <w:r>
              <w:t>Deterministic counts, category checks, exceptions, policy version and calculation trace.</w:t>
            </w:r>
          </w:p>
        </w:tc>
        <w:tc>
          <w:tcPr>
            <w:tcW w:type="dxa" w:w="2541"/>
            <w:vAlign w:val="center"/>
          </w:tcPr>
          <w:p>
            <w:pPr>
              <w:spacing w:after="40" w:line="240" w:lineRule="auto"/>
            </w:pPr>
            <w:r>
              <w:t>Reconciliation report and hard/soft holds.</w:t>
            </w:r>
          </w:p>
        </w:tc>
      </w:tr>
      <w:tr>
        <w:tc>
          <w:tcPr>
            <w:tcW w:type="dxa" w:w="2541"/>
            <w:vAlign w:val="center"/>
          </w:tcPr>
          <w:p>
            <w:pPr>
              <w:spacing w:after="40" w:line="240" w:lineRule="auto"/>
            </w:pPr>
            <w:r>
              <w:t>ERP-06 Duplicate Candidate Management</w:t>
            </w:r>
          </w:p>
        </w:tc>
        <w:tc>
          <w:tcPr>
            <w:tcW w:type="dxa" w:w="2541"/>
            <w:vAlign w:val="center"/>
          </w:tcPr>
          <w:p>
            <w:pPr>
              <w:spacing w:after="40" w:line="240" w:lineRule="auto"/>
            </w:pPr>
            <w:r>
              <w:t>Nodal officer / authorized reviewer</w:t>
            </w:r>
          </w:p>
        </w:tc>
        <w:tc>
          <w:tcPr>
            <w:tcW w:type="dxa" w:w="2541"/>
            <w:vAlign w:val="center"/>
          </w:tcPr>
          <w:p>
            <w:pPr>
              <w:spacing w:after="40" w:line="240" w:lineRule="auto"/>
            </w:pPr>
            <w:r>
              <w:t>Exact token matches, PPRL candidates, similarity score, reason codes, human resolution.</w:t>
            </w:r>
          </w:p>
        </w:tc>
        <w:tc>
          <w:tcPr>
            <w:tcW w:type="dxa" w:w="2541"/>
            <w:vAlign w:val="center"/>
          </w:tcPr>
          <w:p>
            <w:pPr>
              <w:spacing w:after="40" w:line="240" w:lineRule="auto"/>
            </w:pPr>
            <w:r>
              <w:t>Candidate cases and resolution outcomes.</w:t>
            </w:r>
          </w:p>
        </w:tc>
      </w:tr>
      <w:tr>
        <w:tc>
          <w:tcPr>
            <w:tcW w:type="dxa" w:w="2541"/>
            <w:vAlign w:val="center"/>
          </w:tcPr>
          <w:p>
            <w:pPr>
              <w:spacing w:after="40" w:line="240" w:lineRule="auto"/>
            </w:pPr>
            <w:r>
              <w:t>ERP-07 Policy &amp; Adjudication</w:t>
            </w:r>
          </w:p>
        </w:tc>
        <w:tc>
          <w:tcPr>
            <w:tcW w:type="dxa" w:w="2541"/>
            <w:vAlign w:val="center"/>
          </w:tcPr>
          <w:p>
            <w:pPr>
              <w:spacing w:after="40" w:line="240" w:lineRule="auto"/>
            </w:pPr>
            <w:r>
              <w:t>Policy administrator / reviewer</w:t>
            </w:r>
          </w:p>
        </w:tc>
        <w:tc>
          <w:tcPr>
            <w:tcW w:type="dxa" w:w="2541"/>
            <w:vAlign w:val="center"/>
          </w:tcPr>
          <w:p>
            <w:pPr>
              <w:spacing w:after="40" w:line="240" w:lineRule="auto"/>
            </w:pPr>
            <w:r>
              <w:t>Versioned rule packages, effective dates, review workflow, permitted-overlap/conflict outcomes.</w:t>
            </w:r>
          </w:p>
        </w:tc>
        <w:tc>
          <w:tcPr>
            <w:tcW w:type="dxa" w:w="2541"/>
            <w:vAlign w:val="center"/>
          </w:tcPr>
          <w:p>
            <w:pPr>
              <w:spacing w:after="40" w:line="240" w:lineRule="auto"/>
            </w:pPr>
            <w:r>
              <w:t>Auditable rule decisions.</w:t>
            </w:r>
          </w:p>
        </w:tc>
      </w:tr>
      <w:tr>
        <w:tc>
          <w:tcPr>
            <w:tcW w:type="dxa" w:w="2541"/>
            <w:vAlign w:val="center"/>
          </w:tcPr>
          <w:p>
            <w:pPr>
              <w:spacing w:after="40" w:line="240" w:lineRule="auto"/>
            </w:pPr>
            <w:r>
              <w:t>ERP-08 Consent, Authority &amp; Verification</w:t>
            </w:r>
          </w:p>
        </w:tc>
        <w:tc>
          <w:tcPr>
            <w:tcW w:type="dxa" w:w="2541"/>
            <w:vAlign w:val="center"/>
          </w:tcPr>
          <w:p>
            <w:pPr>
              <w:spacing w:after="40" w:line="240" w:lineRule="auto"/>
            </w:pPr>
            <w:r>
              <w:t>Student / requester / privacy officer</w:t>
            </w:r>
          </w:p>
        </w:tc>
        <w:tc>
          <w:tcPr>
            <w:tcW w:type="dxa" w:w="2541"/>
            <w:vAlign w:val="center"/>
          </w:tcPr>
          <w:p>
            <w:pPr>
              <w:spacing w:after="40" w:line="240" w:lineRule="auto"/>
            </w:pPr>
            <w:r>
              <w:t>Notice version, consent where applicable, withdrawal, requester/purpose checks, minimum-claim response.</w:t>
            </w:r>
          </w:p>
        </w:tc>
        <w:tc>
          <w:tcPr>
            <w:tcW w:type="dxa" w:w="2541"/>
            <w:vAlign w:val="center"/>
          </w:tcPr>
          <w:p>
            <w:pPr>
              <w:spacing w:after="40" w:line="240" w:lineRule="auto"/>
            </w:pPr>
            <w:r>
              <w:t>Verification decision and disclosure receipt.</w:t>
            </w:r>
          </w:p>
        </w:tc>
      </w:tr>
      <w:tr>
        <w:tc>
          <w:tcPr>
            <w:tcW w:type="dxa" w:w="2541"/>
            <w:vAlign w:val="center"/>
          </w:tcPr>
          <w:p>
            <w:pPr>
              <w:spacing w:after="40" w:line="240" w:lineRule="auto"/>
            </w:pPr>
            <w:r>
              <w:t>ERP-09 Credential &amp; QR Verification</w:t>
            </w:r>
          </w:p>
        </w:tc>
        <w:tc>
          <w:tcPr>
            <w:tcW w:type="dxa" w:w="2541"/>
            <w:vAlign w:val="center"/>
          </w:tcPr>
          <w:p>
            <w:pPr>
              <w:spacing w:after="40" w:line="240" w:lineRule="auto"/>
            </w:pPr>
            <w:r>
              <w:t>Student / verifier</w:t>
            </w:r>
          </w:p>
        </w:tc>
        <w:tc>
          <w:tcPr>
            <w:tcW w:type="dxa" w:w="2541"/>
            <w:vAlign w:val="center"/>
          </w:tcPr>
          <w:p>
            <w:pPr>
              <w:spacing w:after="40" w:line="240" w:lineRule="auto"/>
            </w:pPr>
            <w:r>
              <w:t>Issue and verify approved enrolment attestations after upstream checks; selective disclosure only after protocol review.</w:t>
            </w:r>
          </w:p>
        </w:tc>
        <w:tc>
          <w:tcPr>
            <w:tcW w:type="dxa" w:w="2541"/>
            <w:vAlign w:val="center"/>
          </w:tcPr>
          <w:p>
            <w:pPr>
              <w:spacing w:after="40" w:line="240" w:lineRule="auto"/>
            </w:pPr>
            <w:r>
              <w:t>Credential/QR and verification result.</w:t>
            </w:r>
          </w:p>
        </w:tc>
      </w:tr>
      <w:tr>
        <w:tc>
          <w:tcPr>
            <w:tcW w:type="dxa" w:w="2541"/>
            <w:vAlign w:val="center"/>
          </w:tcPr>
          <w:p>
            <w:pPr>
              <w:spacing w:after="40" w:line="240" w:lineRule="auto"/>
            </w:pPr>
            <w:r>
              <w:t>ERP-10 Audit, Reporting &amp; Exports</w:t>
            </w:r>
          </w:p>
        </w:tc>
        <w:tc>
          <w:tcPr>
            <w:tcW w:type="dxa" w:w="2541"/>
            <w:vAlign w:val="center"/>
          </w:tcPr>
          <w:p>
            <w:pPr>
              <w:spacing w:after="40" w:line="240" w:lineRule="auto"/>
            </w:pPr>
            <w:r>
              <w:t>AICTE/regional officer / authorized institution user</w:t>
            </w:r>
          </w:p>
        </w:tc>
        <w:tc>
          <w:tcPr>
            <w:tcW w:type="dxa" w:w="2541"/>
            <w:vAlign w:val="center"/>
          </w:tcPr>
          <w:p>
            <w:pPr>
              <w:spacing w:after="40" w:line="240" w:lineRule="auto"/>
            </w:pPr>
            <w:r>
              <w:t>Audit trail, institution-scoped dashboards, controlled exports, aggregate reporting.</w:t>
            </w:r>
          </w:p>
        </w:tc>
        <w:tc>
          <w:tcPr>
            <w:tcW w:type="dxa" w:w="2541"/>
            <w:vAlign w:val="center"/>
          </w:tcPr>
          <w:p>
            <w:pPr>
              <w:spacing w:after="40" w:line="240" w:lineRule="auto"/>
            </w:pPr>
            <w:r>
              <w:t>Audit reports and approved data extracts.</w:t>
            </w:r>
          </w:p>
        </w:tc>
      </w:tr>
      <w:tr>
        <w:tc>
          <w:tcPr>
            <w:tcW w:type="dxa" w:w="2541"/>
            <w:vAlign w:val="center"/>
          </w:tcPr>
          <w:p>
            <w:pPr>
              <w:spacing w:after="40" w:line="240" w:lineRule="auto"/>
            </w:pPr>
            <w:r>
              <w:t>ERP-11 Integration &amp; Job Monitor</w:t>
            </w:r>
          </w:p>
        </w:tc>
        <w:tc>
          <w:tcPr>
            <w:tcW w:type="dxa" w:w="2541"/>
            <w:vAlign w:val="center"/>
          </w:tcPr>
          <w:p>
            <w:pPr>
              <w:spacing w:after="40" w:line="240" w:lineRule="auto"/>
            </w:pPr>
            <w:r>
              <w:t>Integration administrator</w:t>
            </w:r>
          </w:p>
        </w:tc>
        <w:tc>
          <w:tcPr>
            <w:tcW w:type="dxa" w:w="2541"/>
            <w:vAlign w:val="center"/>
          </w:tcPr>
          <w:p>
            <w:pPr>
              <w:spacing w:after="40" w:line="240" w:lineRule="auto"/>
            </w:pPr>
            <w:r>
              <w:t>Campus ERP adapters, mock/real connector status, retries, error handling, correlation IDs.</w:t>
            </w:r>
          </w:p>
        </w:tc>
        <w:tc>
          <w:tcPr>
            <w:tcW w:type="dxa" w:w="2541"/>
            <w:vAlign w:val="center"/>
          </w:tcPr>
          <w:p>
            <w:pPr>
              <w:spacing w:after="40" w:line="240" w:lineRule="auto"/>
            </w:pPr>
            <w:r>
              <w:t>Job status and integration logs.</w:t>
            </w:r>
          </w:p>
        </w:tc>
      </w:tr>
      <w:tr>
        <w:tc>
          <w:tcPr>
            <w:tcW w:type="dxa" w:w="2541"/>
            <w:vAlign w:val="center"/>
          </w:tcPr>
          <w:p>
            <w:pPr>
              <w:spacing w:after="40" w:line="240" w:lineRule="auto"/>
            </w:pPr>
            <w:r>
              <w:t>ERP-12 Security &amp; Administration</w:t>
            </w:r>
          </w:p>
        </w:tc>
        <w:tc>
          <w:tcPr>
            <w:tcW w:type="dxa" w:w="2541"/>
            <w:vAlign w:val="center"/>
          </w:tcPr>
          <w:p>
            <w:pPr>
              <w:spacing w:after="40" w:line="240" w:lineRule="auto"/>
            </w:pPr>
            <w:r>
              <w:t>Security/admin team</w:t>
            </w:r>
          </w:p>
        </w:tc>
        <w:tc>
          <w:tcPr>
            <w:tcW w:type="dxa" w:w="2541"/>
            <w:vAlign w:val="center"/>
          </w:tcPr>
          <w:p>
            <w:pPr>
              <w:spacing w:after="40" w:line="240" w:lineRule="auto"/>
            </w:pPr>
            <w:r>
              <w:t>Users, roles, institution scopes, keys/secrets references, retention jobs, alerts, configuration.</w:t>
            </w:r>
          </w:p>
        </w:tc>
        <w:tc>
          <w:tcPr>
            <w:tcW w:type="dxa" w:w="2541"/>
            <w:vAlign w:val="center"/>
          </w:tcPr>
          <w:p>
            <w:pPr>
              <w:spacing w:after="40" w:line="240" w:lineRule="auto"/>
            </w:pPr>
            <w:r>
              <w:t>Access reviews and operational controls.</w:t>
            </w:r>
          </w:p>
        </w:tc>
      </w:tr>
    </w:tbl>
    <w:p/>
    <w:p>
      <w:pPr>
        <w:pStyle w:val="Heading2"/>
        <w:keepNext/>
      </w:pPr>
      <w:r>
        <w:t>15.1 Suggested dashboards</w:t>
      </w:r>
    </w:p>
    <w:tbl>
      <w:tblPr>
        <w:tblStyle w:val="TableGrid"/>
        <w:tblW w:type="auto" w:w="0"/>
        <w:jc w:val="center"/>
        <w:tblLayout w:type="autofit"/>
        <w:tblLook w:firstColumn="1" w:firstRow="1" w:lastColumn="0" w:lastRow="0" w:noHBand="0" w:noVBand="1" w:val="04A0"/>
      </w:tblPr>
      <w:tblGrid>
        <w:gridCol w:w="3389"/>
        <w:gridCol w:w="3389"/>
        <w:gridCol w:w="3389"/>
      </w:tblGrid>
      <w:tr>
        <w:tc>
          <w:tcPr>
            <w:tcW w:type="dxa" w:w="3389"/>
            <w:vAlign w:val="center"/>
            <w:shd w:fill="DCEAF2"/>
          </w:tcPr>
          <w:p>
            <w:pPr>
              <w:spacing w:after="40" w:line="240" w:lineRule="auto"/>
            </w:pPr>
            <w:r>
              <w:t>Dashboard</w:t>
            </w:r>
          </w:p>
        </w:tc>
        <w:tc>
          <w:tcPr>
            <w:tcW w:type="dxa" w:w="3389"/>
            <w:vAlign w:val="center"/>
            <w:shd w:fill="DCEAF2"/>
          </w:tcPr>
          <w:p>
            <w:pPr>
              <w:spacing w:after="40" w:line="240" w:lineRule="auto"/>
            </w:pPr>
            <w:r>
              <w:t>Show</w:t>
            </w:r>
          </w:p>
        </w:tc>
        <w:tc>
          <w:tcPr>
            <w:tcW w:type="dxa" w:w="3389"/>
            <w:vAlign w:val="center"/>
            <w:shd w:fill="DCEAF2"/>
          </w:tcPr>
          <w:p>
            <w:pPr>
              <w:spacing w:after="40" w:line="240" w:lineRule="auto"/>
            </w:pPr>
            <w:r>
              <w:t>Do not expose by default</w:t>
            </w:r>
          </w:p>
        </w:tc>
      </w:tr>
      <w:tr>
        <w:tc>
          <w:tcPr>
            <w:tcW w:type="dxa" w:w="3389"/>
            <w:vAlign w:val="center"/>
          </w:tcPr>
          <w:p>
            <w:pPr>
              <w:spacing w:after="40" w:line="240" w:lineRule="auto"/>
            </w:pPr>
            <w:r>
              <w:t>Institution operator</w:t>
            </w:r>
          </w:p>
        </w:tc>
        <w:tc>
          <w:tcPr>
            <w:tcW w:type="dxa" w:w="3389"/>
            <w:vAlign w:val="center"/>
          </w:tcPr>
          <w:p>
            <w:pPr>
              <w:spacing w:after="40" w:line="240" w:lineRule="auto"/>
            </w:pPr>
            <w:r>
              <w:t>Batch status, row errors, intake reconciliation, own institution's open cases, correction actions.</w:t>
            </w:r>
          </w:p>
        </w:tc>
        <w:tc>
          <w:tcPr>
            <w:tcW w:type="dxa" w:w="3389"/>
            <w:vAlign w:val="center"/>
          </w:tcPr>
          <w:p>
            <w:pPr>
              <w:spacing w:after="40" w:line="240" w:lineRule="auto"/>
            </w:pPr>
            <w:r>
              <w:t>Other institutions' roster details or central matching tokens.</w:t>
            </w:r>
          </w:p>
        </w:tc>
      </w:tr>
      <w:tr>
        <w:tc>
          <w:tcPr>
            <w:tcW w:type="dxa" w:w="3389"/>
            <w:vAlign w:val="center"/>
          </w:tcPr>
          <w:p>
            <w:pPr>
              <w:spacing w:after="40" w:line="240" w:lineRule="auto"/>
            </w:pPr>
            <w:r>
              <w:t>Institution nodal officer</w:t>
            </w:r>
          </w:p>
        </w:tc>
        <w:tc>
          <w:tcPr>
            <w:tcW w:type="dxa" w:w="3389"/>
            <w:vAlign w:val="center"/>
          </w:tcPr>
          <w:p>
            <w:pPr>
              <w:spacing w:after="40" w:line="240" w:lineRule="auto"/>
            </w:pPr>
            <w:r>
              <w:t>Cases requiring decision, evidence references, policy explanation, batch lock readiness.</w:t>
            </w:r>
          </w:p>
        </w:tc>
        <w:tc>
          <w:tcPr>
            <w:tcW w:type="dxa" w:w="3389"/>
            <w:vAlign w:val="center"/>
          </w:tcPr>
          <w:p>
            <w:pPr>
              <w:spacing w:after="40" w:line="240" w:lineRule="auto"/>
            </w:pPr>
            <w:r>
              <w:t>Unrelated student records or unrestricted exports.</w:t>
            </w:r>
          </w:p>
        </w:tc>
      </w:tr>
      <w:tr>
        <w:tc>
          <w:tcPr>
            <w:tcW w:type="dxa" w:w="3389"/>
            <w:vAlign w:val="center"/>
          </w:tcPr>
          <w:p>
            <w:pPr>
              <w:spacing w:after="40" w:line="240" w:lineRule="auto"/>
            </w:pPr>
            <w:r>
              <w:t>AICTE/regional reviewer</w:t>
            </w:r>
          </w:p>
        </w:tc>
        <w:tc>
          <w:tcPr>
            <w:tcW w:type="dxa" w:w="3389"/>
            <w:vAlign w:val="center"/>
          </w:tcPr>
          <w:p>
            <w:pPr>
              <w:spacing w:after="40" w:line="240" w:lineRule="auto"/>
            </w:pPr>
            <w:r>
              <w:t>Scoped institution summaries, unresolved holds, policy-version distribution, aggregate intake exceptions.</w:t>
            </w:r>
          </w:p>
        </w:tc>
        <w:tc>
          <w:tcPr>
            <w:tcW w:type="dxa" w:w="3389"/>
            <w:vAlign w:val="center"/>
          </w:tcPr>
          <w:p>
            <w:pPr>
              <w:spacing w:after="40" w:line="240" w:lineRule="auto"/>
            </w:pPr>
            <w:r>
              <w:t>Raw identity attributes unless specifically authorized and necessary.</w:t>
            </w:r>
          </w:p>
        </w:tc>
      </w:tr>
      <w:tr>
        <w:tc>
          <w:tcPr>
            <w:tcW w:type="dxa" w:w="3389"/>
            <w:vAlign w:val="center"/>
          </w:tcPr>
          <w:p>
            <w:pPr>
              <w:spacing w:after="40" w:line="240" w:lineRule="auto"/>
            </w:pPr>
            <w:r>
              <w:t>External verifier</w:t>
            </w:r>
          </w:p>
        </w:tc>
        <w:tc>
          <w:tcPr>
            <w:tcW w:type="dxa" w:w="3389"/>
            <w:vAlign w:val="center"/>
          </w:tcPr>
          <w:p>
            <w:pPr>
              <w:spacing w:after="40" w:line="240" w:lineRule="auto"/>
            </w:pPr>
            <w:r>
              <w:t>Only the approved claims for the named subject and purpose, plus validity/issuer status.</w:t>
            </w:r>
          </w:p>
        </w:tc>
        <w:tc>
          <w:tcPr>
            <w:tcW w:type="dxa" w:w="3389"/>
            <w:vAlign w:val="center"/>
          </w:tcPr>
          <w:p>
            <w:pPr>
              <w:spacing w:after="40" w:line="240" w:lineRule="auto"/>
            </w:pPr>
            <w:r>
              <w:t>Roster browsing, bulk search, internal match scores, unrelated attributes.</w:t>
            </w:r>
          </w:p>
        </w:tc>
      </w:tr>
      <w:tr>
        <w:tc>
          <w:tcPr>
            <w:tcW w:type="dxa" w:w="3389"/>
            <w:vAlign w:val="center"/>
          </w:tcPr>
          <w:p>
            <w:pPr>
              <w:spacing w:after="40" w:line="240" w:lineRule="auto"/>
            </w:pPr>
            <w:r>
              <w:t>System/security admin</w:t>
            </w:r>
          </w:p>
        </w:tc>
        <w:tc>
          <w:tcPr>
            <w:tcW w:type="dxa" w:w="3389"/>
            <w:vAlign w:val="center"/>
          </w:tcPr>
          <w:p>
            <w:pPr>
              <w:spacing w:after="40" w:line="240" w:lineRule="auto"/>
            </w:pPr>
            <w:r>
              <w:t>Job health, error rates, role changes, integration status, audit integrity alerts.</w:t>
            </w:r>
          </w:p>
        </w:tc>
        <w:tc>
          <w:tcPr>
            <w:tcW w:type="dxa" w:w="3389"/>
            <w:vAlign w:val="center"/>
          </w:tcPr>
          <w:p>
            <w:pPr>
              <w:spacing w:after="40" w:line="240" w:lineRule="auto"/>
            </w:pPr>
            <w:r>
              <w:t>Routine access to plaintext identity data simply because of admin status.</w:t>
            </w:r>
          </w:p>
        </w:tc>
      </w:tr>
    </w:tbl>
    <w:p/>
    <w:p>
      <w:pPr>
        <w:pStyle w:val="Heading1"/>
        <w:keepNext/>
      </w:pPr>
      <w:r>
        <w:t>16. Summarised ERD (entity relationship outline)</w:t>
      </w:r>
    </w:p>
    <w:p>
      <w:r>
        <w:rPr>
          <w:i w:val="0"/>
        </w:rPr>
        <w:t>This is a conceptual data model, not a final SQL schema. Foreign keys and cardinalities should be finalized during implementation.</w:t>
      </w:r>
    </w:p>
    <w:tbl>
      <w:tblPr>
        <w:tblStyle w:val="TableGrid"/>
        <w:tblW w:type="auto" w:w="0"/>
        <w:jc w:val="center"/>
        <w:tblLayout w:type="autofit"/>
        <w:tblLook w:firstColumn="1" w:firstRow="1" w:lastColumn="0" w:lastRow="0" w:noHBand="0" w:noVBand="1" w:val="04A0"/>
      </w:tblPr>
      <w:tblGrid>
        <w:gridCol w:w="3389"/>
        <w:gridCol w:w="3389"/>
        <w:gridCol w:w="3389"/>
      </w:tblGrid>
      <w:tr>
        <w:tc>
          <w:tcPr>
            <w:tcW w:type="dxa" w:w="3389"/>
            <w:vAlign w:val="center"/>
            <w:shd w:fill="DCEAF2"/>
          </w:tcPr>
          <w:p>
            <w:pPr>
              <w:spacing w:after="40" w:line="240" w:lineRule="auto"/>
            </w:pPr>
            <w:r>
              <w:t>Relationship</w:t>
            </w:r>
          </w:p>
        </w:tc>
        <w:tc>
          <w:tcPr>
            <w:tcW w:type="dxa" w:w="3389"/>
            <w:vAlign w:val="center"/>
            <w:shd w:fill="DCEAF2"/>
          </w:tcPr>
          <w:p>
            <w:pPr>
              <w:spacing w:after="40" w:line="240" w:lineRule="auto"/>
            </w:pPr>
            <w:r>
              <w:t>Cardinality</w:t>
            </w:r>
          </w:p>
        </w:tc>
        <w:tc>
          <w:tcPr>
            <w:tcW w:type="dxa" w:w="3389"/>
            <w:vAlign w:val="center"/>
            <w:shd w:fill="DCEAF2"/>
          </w:tcPr>
          <w:p>
            <w:pPr>
              <w:spacing w:after="40" w:line="240" w:lineRule="auto"/>
            </w:pPr>
            <w:r>
              <w:t>Meaning</w:t>
            </w:r>
          </w:p>
        </w:tc>
      </w:tr>
      <w:tr>
        <w:tc>
          <w:tcPr>
            <w:tcW w:type="dxa" w:w="3389"/>
            <w:vAlign w:val="center"/>
          </w:tcPr>
          <w:p>
            <w:pPr>
              <w:spacing w:after="40" w:line="240" w:lineRule="auto"/>
            </w:pPr>
            <w:r>
              <w:t>Institution → Users/Role Assignments</w:t>
            </w:r>
          </w:p>
        </w:tc>
        <w:tc>
          <w:tcPr>
            <w:tcW w:type="dxa" w:w="3389"/>
            <w:vAlign w:val="center"/>
          </w:tcPr>
          <w:p>
            <w:pPr>
              <w:spacing w:after="40" w:line="240" w:lineRule="auto"/>
            </w:pPr>
            <w:r>
              <w:t>1:N</w:t>
            </w:r>
          </w:p>
        </w:tc>
        <w:tc>
          <w:tcPr>
            <w:tcW w:type="dxa" w:w="3389"/>
            <w:vAlign w:val="center"/>
          </w:tcPr>
          <w:p>
            <w:pPr>
              <w:spacing w:after="40" w:line="240" w:lineRule="auto"/>
            </w:pPr>
            <w:r>
              <w:t>An institution has many scoped users/role assignments.</w:t>
            </w:r>
          </w:p>
        </w:tc>
      </w:tr>
      <w:tr>
        <w:tc>
          <w:tcPr>
            <w:tcW w:type="dxa" w:w="3389"/>
            <w:vAlign w:val="center"/>
          </w:tcPr>
          <w:p>
            <w:pPr>
              <w:spacing w:after="40" w:line="240" w:lineRule="auto"/>
            </w:pPr>
            <w:r>
              <w:t>Institution → Approved Intake Snapshots</w:t>
            </w:r>
          </w:p>
        </w:tc>
        <w:tc>
          <w:tcPr>
            <w:tcW w:type="dxa" w:w="3389"/>
            <w:vAlign w:val="center"/>
          </w:tcPr>
          <w:p>
            <w:pPr>
              <w:spacing w:after="40" w:line="240" w:lineRule="auto"/>
            </w:pPr>
            <w:r>
              <w:t>1:N</w:t>
            </w:r>
          </w:p>
        </w:tc>
        <w:tc>
          <w:tcPr>
            <w:tcW w:type="dxa" w:w="3389"/>
            <w:vAlign w:val="center"/>
          </w:tcPr>
          <w:p>
            <w:pPr>
              <w:spacing w:after="40" w:line="240" w:lineRule="auto"/>
            </w:pPr>
            <w:r>
              <w:t>Each snapshot is versioned and traceable to an approval source.</w:t>
            </w:r>
          </w:p>
        </w:tc>
      </w:tr>
      <w:tr>
        <w:tc>
          <w:tcPr>
            <w:tcW w:type="dxa" w:w="3389"/>
            <w:vAlign w:val="center"/>
          </w:tcPr>
          <w:p>
            <w:pPr>
              <w:spacing w:after="40" w:line="240" w:lineRule="auto"/>
            </w:pPr>
            <w:r>
              <w:t>Institution → Submission Batches</w:t>
            </w:r>
          </w:p>
        </w:tc>
        <w:tc>
          <w:tcPr>
            <w:tcW w:type="dxa" w:w="3389"/>
            <w:vAlign w:val="center"/>
          </w:tcPr>
          <w:p>
            <w:pPr>
              <w:spacing w:after="40" w:line="240" w:lineRule="auto"/>
            </w:pPr>
            <w:r>
              <w:t>1:N</w:t>
            </w:r>
          </w:p>
        </w:tc>
        <w:tc>
          <w:tcPr>
            <w:tcW w:type="dxa" w:w="3389"/>
            <w:vAlign w:val="center"/>
          </w:tcPr>
          <w:p>
            <w:pPr>
              <w:spacing w:after="40" w:line="240" w:lineRule="auto"/>
            </w:pPr>
            <w:r>
              <w:t>Each batch belongs to exactly one institution.</w:t>
            </w:r>
          </w:p>
        </w:tc>
      </w:tr>
      <w:tr>
        <w:tc>
          <w:tcPr>
            <w:tcW w:type="dxa" w:w="3389"/>
            <w:vAlign w:val="center"/>
          </w:tcPr>
          <w:p>
            <w:pPr>
              <w:spacing w:after="40" w:line="240" w:lineRule="auto"/>
            </w:pPr>
            <w:r>
              <w:t>Submission Batch → Staged Enrolments</w:t>
            </w:r>
          </w:p>
        </w:tc>
        <w:tc>
          <w:tcPr>
            <w:tcW w:type="dxa" w:w="3389"/>
            <w:vAlign w:val="center"/>
          </w:tcPr>
          <w:p>
            <w:pPr>
              <w:spacing w:after="40" w:line="240" w:lineRule="auto"/>
            </w:pPr>
            <w:r>
              <w:t>1:N</w:t>
            </w:r>
          </w:p>
        </w:tc>
        <w:tc>
          <w:tcPr>
            <w:tcW w:type="dxa" w:w="3389"/>
            <w:vAlign w:val="center"/>
          </w:tcPr>
          <w:p>
            <w:pPr>
              <w:spacing w:after="40" w:line="240" w:lineRule="auto"/>
            </w:pPr>
            <w:r>
              <w:t>Rows are staged and validated under a batch version.</w:t>
            </w:r>
          </w:p>
        </w:tc>
      </w:tr>
      <w:tr>
        <w:tc>
          <w:tcPr>
            <w:tcW w:type="dxa" w:w="3389"/>
            <w:vAlign w:val="center"/>
          </w:tcPr>
          <w:p>
            <w:pPr>
              <w:spacing w:after="40" w:line="240" w:lineRule="auto"/>
            </w:pPr>
            <w:r>
              <w:t>Staged Enrolment → Linkage Token / PPRL Encoding</w:t>
            </w:r>
          </w:p>
        </w:tc>
        <w:tc>
          <w:tcPr>
            <w:tcW w:type="dxa" w:w="3389"/>
            <w:vAlign w:val="center"/>
          </w:tcPr>
          <w:p>
            <w:pPr>
              <w:spacing w:after="40" w:line="240" w:lineRule="auto"/>
            </w:pPr>
            <w:r>
              <w:t>1:0..N</w:t>
            </w:r>
          </w:p>
        </w:tc>
        <w:tc>
          <w:tcPr>
            <w:tcW w:type="dxa" w:w="3389"/>
            <w:vAlign w:val="center"/>
          </w:tcPr>
          <w:p>
            <w:pPr>
              <w:spacing w:after="40" w:line="240" w:lineRule="auto"/>
            </w:pPr>
            <w:r>
              <w:t>A record may have no APAAR token, one or more versioned tokens/encodings, subject to policy.</w:t>
            </w:r>
          </w:p>
        </w:tc>
      </w:tr>
      <w:tr>
        <w:tc>
          <w:tcPr>
            <w:tcW w:type="dxa" w:w="3389"/>
            <w:vAlign w:val="center"/>
          </w:tcPr>
          <w:p>
            <w:pPr>
              <w:spacing w:after="40" w:line="240" w:lineRule="auto"/>
            </w:pPr>
            <w:r>
              <w:t>Linkage Token / Encoding → Match Candidate</w:t>
            </w:r>
          </w:p>
        </w:tc>
        <w:tc>
          <w:tcPr>
            <w:tcW w:type="dxa" w:w="3389"/>
            <w:vAlign w:val="center"/>
          </w:tcPr>
          <w:p>
            <w:pPr>
              <w:spacing w:after="40" w:line="240" w:lineRule="auto"/>
            </w:pPr>
            <w:r>
              <w:t>M:N via candidate record</w:t>
            </w:r>
          </w:p>
        </w:tc>
        <w:tc>
          <w:tcPr>
            <w:tcW w:type="dxa" w:w="3389"/>
            <w:vAlign w:val="center"/>
          </w:tcPr>
          <w:p>
            <w:pPr>
              <w:spacing w:after="40" w:line="240" w:lineRule="auto"/>
            </w:pPr>
            <w:r>
              <w:t>Candidate links two scoped records without requiring central plaintext identity.</w:t>
            </w:r>
          </w:p>
        </w:tc>
      </w:tr>
      <w:tr>
        <w:tc>
          <w:tcPr>
            <w:tcW w:type="dxa" w:w="3389"/>
            <w:vAlign w:val="center"/>
          </w:tcPr>
          <w:p>
            <w:pPr>
              <w:spacing w:after="40" w:line="240" w:lineRule="auto"/>
            </w:pPr>
            <w:r>
              <w:t>Submission Batch → Intake Reconciliation</w:t>
            </w:r>
          </w:p>
        </w:tc>
        <w:tc>
          <w:tcPr>
            <w:tcW w:type="dxa" w:w="3389"/>
            <w:vAlign w:val="center"/>
          </w:tcPr>
          <w:p>
            <w:pPr>
              <w:spacing w:after="40" w:line="240" w:lineRule="auto"/>
            </w:pPr>
            <w:r>
              <w:t>1:N</w:t>
            </w:r>
          </w:p>
        </w:tc>
        <w:tc>
          <w:tcPr>
            <w:tcW w:type="dxa" w:w="3389"/>
            <w:vAlign w:val="center"/>
          </w:tcPr>
          <w:p>
            <w:pPr>
              <w:spacing w:after="40" w:line="240" w:lineRule="auto"/>
            </w:pPr>
            <w:r>
              <w:t>A batch may be reconciled again against different approved snapshots/policy versions.</w:t>
            </w:r>
          </w:p>
        </w:tc>
      </w:tr>
      <w:tr>
        <w:tc>
          <w:tcPr>
            <w:tcW w:type="dxa" w:w="3389"/>
            <w:vAlign w:val="center"/>
          </w:tcPr>
          <w:p>
            <w:pPr>
              <w:spacing w:after="40" w:line="240" w:lineRule="auto"/>
            </w:pPr>
            <w:r>
              <w:t>Match Candidate → Adjudication Case</w:t>
            </w:r>
          </w:p>
        </w:tc>
        <w:tc>
          <w:tcPr>
            <w:tcW w:type="dxa" w:w="3389"/>
            <w:vAlign w:val="center"/>
          </w:tcPr>
          <w:p>
            <w:pPr>
              <w:spacing w:after="40" w:line="240" w:lineRule="auto"/>
            </w:pPr>
            <w:r>
              <w:t>1:0..N</w:t>
            </w:r>
          </w:p>
        </w:tc>
        <w:tc>
          <w:tcPr>
            <w:tcW w:type="dxa" w:w="3389"/>
            <w:vAlign w:val="center"/>
          </w:tcPr>
          <w:p>
            <w:pPr>
              <w:spacing w:after="40" w:line="240" w:lineRule="auto"/>
            </w:pPr>
            <w:r>
              <w:t>A candidate may have one or more case events/reviews; preserve history.</w:t>
            </w:r>
          </w:p>
        </w:tc>
      </w:tr>
      <w:tr>
        <w:tc>
          <w:tcPr>
            <w:tcW w:type="dxa" w:w="3389"/>
            <w:vAlign w:val="center"/>
          </w:tcPr>
          <w:p>
            <w:pPr>
              <w:spacing w:after="40" w:line="240" w:lineRule="auto"/>
            </w:pPr>
            <w:r>
              <w:t>Policy Package → Reconciliation / Adjudication</w:t>
            </w:r>
          </w:p>
        </w:tc>
        <w:tc>
          <w:tcPr>
            <w:tcW w:type="dxa" w:w="3389"/>
            <w:vAlign w:val="center"/>
          </w:tcPr>
          <w:p>
            <w:pPr>
              <w:spacing w:after="40" w:line="240" w:lineRule="auto"/>
            </w:pPr>
            <w:r>
              <w:t>1:N</w:t>
            </w:r>
          </w:p>
        </w:tc>
        <w:tc>
          <w:tcPr>
            <w:tcW w:type="dxa" w:w="3389"/>
            <w:vAlign w:val="center"/>
          </w:tcPr>
          <w:p>
            <w:pPr>
              <w:spacing w:after="40" w:line="240" w:lineRule="auto"/>
            </w:pPr>
            <w:r>
              <w:t>Every decision records the exact policy version used.</w:t>
            </w:r>
          </w:p>
        </w:tc>
      </w:tr>
      <w:tr>
        <w:tc>
          <w:tcPr>
            <w:tcW w:type="dxa" w:w="3389"/>
            <w:vAlign w:val="center"/>
          </w:tcPr>
          <w:p>
            <w:pPr>
              <w:spacing w:after="40" w:line="240" w:lineRule="auto"/>
            </w:pPr>
            <w:r>
              <w:t>Verification Request → Consent/Authority Event</w:t>
            </w:r>
          </w:p>
        </w:tc>
        <w:tc>
          <w:tcPr>
            <w:tcW w:type="dxa" w:w="3389"/>
            <w:vAlign w:val="center"/>
          </w:tcPr>
          <w:p>
            <w:pPr>
              <w:spacing w:after="40" w:line="240" w:lineRule="auto"/>
            </w:pPr>
            <w:r>
              <w:t>1:N</w:t>
            </w:r>
          </w:p>
        </w:tc>
        <w:tc>
          <w:tcPr>
            <w:tcW w:type="dxa" w:w="3389"/>
            <w:vAlign w:val="center"/>
          </w:tcPr>
          <w:p>
            <w:pPr>
              <w:spacing w:after="40" w:line="240" w:lineRule="auto"/>
            </w:pPr>
            <w:r>
              <w:t>A request references the relevant authority/consent decision events.</w:t>
            </w:r>
          </w:p>
        </w:tc>
      </w:tr>
      <w:tr>
        <w:tc>
          <w:tcPr>
            <w:tcW w:type="dxa" w:w="3389"/>
            <w:vAlign w:val="center"/>
          </w:tcPr>
          <w:p>
            <w:pPr>
              <w:spacing w:after="40" w:line="240" w:lineRule="auto"/>
            </w:pPr>
            <w:r>
              <w:t>Any protected operation → Audit Event</w:t>
            </w:r>
          </w:p>
        </w:tc>
        <w:tc>
          <w:tcPr>
            <w:tcW w:type="dxa" w:w="3389"/>
            <w:vAlign w:val="center"/>
          </w:tcPr>
          <w:p>
            <w:pPr>
              <w:spacing w:after="40" w:line="240" w:lineRule="auto"/>
            </w:pPr>
            <w:r>
              <w:t>1:N</w:t>
            </w:r>
          </w:p>
        </w:tc>
        <w:tc>
          <w:tcPr>
            <w:tcW w:type="dxa" w:w="3389"/>
            <w:vAlign w:val="center"/>
          </w:tcPr>
          <w:p>
            <w:pPr>
              <w:spacing w:after="40" w:line="240" w:lineRule="auto"/>
            </w:pPr>
            <w:r>
              <w:t>Sensitive reads, writes, exports, policy changes, and decisions are audited.</w:t>
            </w:r>
          </w:p>
        </w:tc>
      </w:tr>
    </w:tbl>
    <w:p/>
    <w:p>
      <w:pPr>
        <w:pStyle w:val="Heading1"/>
        <w:keepNext/>
      </w:pPr>
      <w:r>
        <w:t>17. Final recommendation</w:t>
      </w:r>
    </w:p>
    <w:p>
      <w:r>
        <w:rPr>
          <w:i w:val="0"/>
        </w:rPr>
        <w:t>The redesigned platform should be judged first on correctness, explainability, privacy boundaries, and demonstrable workflow—not on the number of technologies listed. The strongest SIH implementation is a coherent vertical slice: upload a synthetic roster, reconcile it against an approved-intake fixture, generate a controlled match candidate, route it through a transparent review decision, and show an auditable result. A polished end-to-end workflow with truthful mock/live integration labels is more credible than a broad architecture whose privacy, legal, and API assumptions have not been validated.</w:t>
      </w:r>
    </w:p>
    <w:p>
      <w:r>
        <w:rPr>
          <w:i w:val="0"/>
        </w:rPr>
        <w:t>Release gate: do not call the system production-ready until the primary-source legal/policy checks, PPRL threat review, access-control tests, data-retention plan, integration approvals, and reproducible performance evaluation are complete.</w:t>
      </w:r>
    </w:p>
    <w:p>
      <w:pPr>
        <w:pStyle w:val="Heading1"/>
        <w:keepNext/>
      </w:pPr>
      <w:r>
        <w:t>PART III — IMPLEMENTATION-READY TECHNICAL SPECIFICATION</w:t>
      </w:r>
    </w:p>
    <w:p>
      <w:r>
        <w:t>This part turns the recommended architecture into a buildable contract. It is a proposed engineering specification for the SIH prototype, not a claim that any external government API or legal interpretation has been verified.</w:t>
      </w:r>
    </w:p>
    <w:p>
      <w:pPr>
        <w:pStyle w:val="Heading2"/>
        <w:keepNext/>
      </w:pPr>
      <w:r>
        <w:t>18. Requirements traceability matrix</w:t>
      </w:r>
    </w:p>
    <w:p>
      <w:r>
        <w:t>Each functional requirement should be linked to a screen/API, domain service, persistence object, audit event, and automated test. Exact wording and count of official SIH requirements must be checked against the official statement before final submission.</w:t>
      </w:r>
    </w:p>
    <w:tbl>
      <w:tblPr>
        <w:tblStyle w:val="LightShading-Accent1"/>
        <w:tblW w:type="auto" w:w="0"/>
        <w:tblLayout w:type="autofit"/>
        <w:tblLook w:firstColumn="1" w:firstRow="1" w:lastColumn="0" w:lastRow="0" w:noHBand="0" w:noVBand="1" w:val="04A0"/>
      </w:tblPr>
      <w:tblGrid>
        <w:gridCol w:w="1999"/>
        <w:gridCol w:w="1999"/>
        <w:gridCol w:w="1999"/>
        <w:gridCol w:w="1999"/>
        <w:gridCol w:w="1999"/>
      </w:tblGrid>
      <w:tr>
        <w:tc>
          <w:tcPr>
            <w:tcW w:type="dxa" w:w="1999"/>
          </w:tcPr>
          <w:p>
            <w:pPr>
              <w:spacing w:after="40" w:line="240" w:lineRule="auto"/>
            </w:pPr>
            <w:r>
              <w:t>ID</w:t>
            </w:r>
          </w:p>
        </w:tc>
        <w:tc>
          <w:tcPr>
            <w:tcW w:type="dxa" w:w="1999"/>
          </w:tcPr>
          <w:p>
            <w:pPr>
              <w:spacing w:after="40" w:line="240" w:lineRule="auto"/>
            </w:pPr>
            <w:r>
              <w:t>Capability</w:t>
            </w:r>
          </w:p>
        </w:tc>
        <w:tc>
          <w:tcPr>
            <w:tcW w:type="dxa" w:w="1999"/>
          </w:tcPr>
          <w:p>
            <w:pPr>
              <w:spacing w:after="40" w:line="240" w:lineRule="auto"/>
            </w:pPr>
            <w:r>
              <w:t>Primary component</w:t>
            </w:r>
          </w:p>
        </w:tc>
        <w:tc>
          <w:tcPr>
            <w:tcW w:type="dxa" w:w="1999"/>
          </w:tcPr>
          <w:p>
            <w:pPr>
              <w:spacing w:after="40" w:line="240" w:lineRule="auto"/>
            </w:pPr>
            <w:r>
              <w:t>Key data</w:t>
            </w:r>
          </w:p>
        </w:tc>
        <w:tc>
          <w:tcPr>
            <w:tcW w:type="dxa" w:w="1999"/>
          </w:tcPr>
          <w:p>
            <w:pPr>
              <w:spacing w:after="40" w:line="240" w:lineRule="auto"/>
            </w:pPr>
            <w:r>
              <w:t>Minimum acceptance test</w:t>
            </w:r>
          </w:p>
        </w:tc>
      </w:tr>
      <w:tr>
        <w:tc>
          <w:tcPr>
            <w:tcW w:type="dxa" w:w="1999"/>
          </w:tcPr>
          <w:p>
            <w:pPr>
              <w:spacing w:after="40" w:line="240" w:lineRule="auto"/>
            </w:pPr>
            <w:r>
              <w:t>R1</w:t>
            </w:r>
          </w:p>
        </w:tc>
        <w:tc>
          <w:tcPr>
            <w:tcW w:type="dxa" w:w="1999"/>
          </w:tcPr>
          <w:p>
            <w:pPr>
              <w:spacing w:after="40" w:line="240" w:lineRule="auto"/>
            </w:pPr>
            <w:r>
              <w:t>Secure student-data submission and updates</w:t>
            </w:r>
          </w:p>
        </w:tc>
        <w:tc>
          <w:tcPr>
            <w:tcW w:type="dxa" w:w="1999"/>
          </w:tcPr>
          <w:p>
            <w:pPr>
              <w:spacing w:after="40" w:line="240" w:lineRule="auto"/>
            </w:pPr>
            <w:r>
              <w:t>Roster Import / Batch Service</w:t>
            </w:r>
          </w:p>
        </w:tc>
        <w:tc>
          <w:tcPr>
            <w:tcW w:type="dxa" w:w="1999"/>
          </w:tcPr>
          <w:p>
            <w:pPr>
              <w:spacing w:after="40" w:line="240" w:lineRule="auto"/>
            </w:pPr>
            <w:r>
              <w:t>SubmissionBatch, StagedEnrolment</w:t>
            </w:r>
          </w:p>
        </w:tc>
        <w:tc>
          <w:tcPr>
            <w:tcW w:type="dxa" w:w="1999"/>
          </w:tcPr>
          <w:p>
            <w:pPr>
              <w:spacing w:after="40" w:line="240" w:lineRule="auto"/>
            </w:pPr>
            <w:r>
              <w:t>Valid batch imports; invalid rows are reported; retries are idempotent.</w:t>
            </w:r>
          </w:p>
        </w:tc>
      </w:tr>
      <w:tr>
        <w:tc>
          <w:tcPr>
            <w:tcW w:type="dxa" w:w="1999"/>
          </w:tcPr>
          <w:p>
            <w:pPr>
              <w:spacing w:after="40" w:line="240" w:lineRule="auto"/>
            </w:pPr>
            <w:r>
              <w:t>R2</w:t>
            </w:r>
          </w:p>
        </w:tc>
        <w:tc>
          <w:tcPr>
            <w:tcW w:type="dxa" w:w="1999"/>
          </w:tcPr>
          <w:p>
            <w:pPr>
              <w:spacing w:after="40" w:line="240" w:lineRule="auto"/>
            </w:pPr>
            <w:r>
              <w:t>APAAR association and verification status</w:t>
            </w:r>
          </w:p>
        </w:tc>
        <w:tc>
          <w:tcPr>
            <w:tcW w:type="dxa" w:w="1999"/>
          </w:tcPr>
          <w:p>
            <w:pPr>
              <w:spacing w:after="40" w:line="240" w:lineRule="auto"/>
            </w:pPr>
            <w:r>
              <w:t>Linkage Service / Integration Adapter</w:t>
            </w:r>
          </w:p>
        </w:tc>
        <w:tc>
          <w:tcPr>
            <w:tcW w:type="dxa" w:w="1999"/>
          </w:tcPr>
          <w:p>
            <w:pPr>
              <w:spacing w:after="40" w:line="240" w:lineRule="auto"/>
            </w:pPr>
            <w:r>
              <w:t>LinkageToken, LinkageStatus</w:t>
            </w:r>
          </w:p>
        </w:tc>
        <w:tc>
          <w:tcPr>
            <w:tcW w:type="dxa" w:w="1999"/>
          </w:tcPr>
          <w:p>
            <w:pPr>
              <w:spacing w:after="40" w:line="240" w:lineRule="auto"/>
            </w:pPr>
            <w:r>
              <w:t>Malformed identifiers are rejected; no live verification is claimed when adapter is mocked.</w:t>
            </w:r>
          </w:p>
        </w:tc>
      </w:tr>
      <w:tr>
        <w:tc>
          <w:tcPr>
            <w:tcW w:type="dxa" w:w="1999"/>
          </w:tcPr>
          <w:p>
            <w:pPr>
              <w:spacing w:after="40" w:line="240" w:lineRule="auto"/>
            </w:pPr>
            <w:r>
              <w:t>R3</w:t>
            </w:r>
          </w:p>
        </w:tc>
        <w:tc>
          <w:tcPr>
            <w:tcW w:type="dxa" w:w="1999"/>
          </w:tcPr>
          <w:p>
            <w:pPr>
              <w:spacing w:after="40" w:line="240" w:lineRule="auto"/>
            </w:pPr>
            <w:r>
              <w:t>Approved intake versus actual enrolment</w:t>
            </w:r>
          </w:p>
        </w:tc>
        <w:tc>
          <w:tcPr>
            <w:tcW w:type="dxa" w:w="1999"/>
          </w:tcPr>
          <w:p>
            <w:pPr>
              <w:spacing w:after="40" w:line="240" w:lineRule="auto"/>
            </w:pPr>
            <w:r>
              <w:t>Intake Reconciliation Service</w:t>
            </w:r>
          </w:p>
        </w:tc>
        <w:tc>
          <w:tcPr>
            <w:tcW w:type="dxa" w:w="1999"/>
          </w:tcPr>
          <w:p>
            <w:pPr>
              <w:spacing w:after="40" w:line="240" w:lineRule="auto"/>
            </w:pPr>
            <w:r>
              <w:t>ApprovedIntakeSnapshot, ReconciliationRun</w:t>
            </w:r>
          </w:p>
        </w:tc>
        <w:tc>
          <w:tcPr>
            <w:tcW w:type="dxa" w:w="1999"/>
          </w:tcPr>
          <w:p>
            <w:pPr>
              <w:spacing w:after="40" w:line="240" w:lineRule="auto"/>
            </w:pPr>
            <w:r>
              <w:t>Same data and policy version yield the same counts and result.</w:t>
            </w:r>
          </w:p>
        </w:tc>
      </w:tr>
      <w:tr>
        <w:tc>
          <w:tcPr>
            <w:tcW w:type="dxa" w:w="1999"/>
          </w:tcPr>
          <w:p>
            <w:pPr>
              <w:spacing w:after="40" w:line="240" w:lineRule="auto"/>
            </w:pPr>
            <w:r>
              <w:t>R4</w:t>
            </w:r>
          </w:p>
        </w:tc>
        <w:tc>
          <w:tcPr>
            <w:tcW w:type="dxa" w:w="1999"/>
          </w:tcPr>
          <w:p>
            <w:pPr>
              <w:spacing w:after="40" w:line="240" w:lineRule="auto"/>
            </w:pPr>
            <w:r>
              <w:t>Seat-category and quota validation</w:t>
            </w:r>
          </w:p>
        </w:tc>
        <w:tc>
          <w:tcPr>
            <w:tcW w:type="dxa" w:w="1999"/>
          </w:tcPr>
          <w:p>
            <w:pPr>
              <w:spacing w:after="40" w:line="240" w:lineRule="auto"/>
            </w:pPr>
            <w:r>
              <w:t>Policy Engine</w:t>
            </w:r>
          </w:p>
        </w:tc>
        <w:tc>
          <w:tcPr>
            <w:tcW w:type="dxa" w:w="1999"/>
          </w:tcPr>
          <w:p>
            <w:pPr>
              <w:spacing w:after="40" w:line="240" w:lineRule="auto"/>
            </w:pPr>
            <w:r>
              <w:t>PolicyPackage, SeatCategory</w:t>
            </w:r>
          </w:p>
        </w:tc>
        <w:tc>
          <w:tcPr>
            <w:tcW w:type="dxa" w:w="1999"/>
          </w:tcPr>
          <w:p>
            <w:pPr>
              <w:spacing w:after="40" w:line="240" w:lineRule="auto"/>
            </w:pPr>
            <w:r>
              <w:t>Boundary tests cover every category; no hard-coded unverified percentage is promoted to production policy.</w:t>
            </w:r>
          </w:p>
        </w:tc>
      </w:tr>
      <w:tr>
        <w:tc>
          <w:tcPr>
            <w:tcW w:type="dxa" w:w="1999"/>
          </w:tcPr>
          <w:p>
            <w:pPr>
              <w:spacing w:after="40" w:line="240" w:lineRule="auto"/>
            </w:pPr>
            <w:r>
              <w:t>R5</w:t>
            </w:r>
          </w:p>
        </w:tc>
        <w:tc>
          <w:tcPr>
            <w:tcW w:type="dxa" w:w="1999"/>
          </w:tcPr>
          <w:p>
            <w:pPr>
              <w:spacing w:after="40" w:line="240" w:lineRule="auto"/>
            </w:pPr>
            <w:r>
              <w:t>Duplicate candidate detection</w:t>
            </w:r>
          </w:p>
        </w:tc>
        <w:tc>
          <w:tcPr>
            <w:tcW w:type="dxa" w:w="1999"/>
          </w:tcPr>
          <w:p>
            <w:pPr>
              <w:spacing w:after="40" w:line="240" w:lineRule="auto"/>
            </w:pPr>
            <w:r>
              <w:t>Match Candidate Service</w:t>
            </w:r>
          </w:p>
        </w:tc>
        <w:tc>
          <w:tcPr>
            <w:tcW w:type="dxa" w:w="1999"/>
          </w:tcPr>
          <w:p>
            <w:pPr>
              <w:spacing w:after="40" w:line="240" w:lineRule="auto"/>
            </w:pPr>
            <w:r>
              <w:t>PPRLEncoding, MatchCandidate</w:t>
            </w:r>
          </w:p>
        </w:tc>
        <w:tc>
          <w:tcPr>
            <w:tcW w:type="dxa" w:w="1999"/>
          </w:tcPr>
          <w:p>
            <w:pPr>
              <w:spacing w:after="40" w:line="240" w:lineRule="auto"/>
            </w:pPr>
            <w:r>
              <w:t>Candidate generation is explainable and does not automatically impose a penalty.</w:t>
            </w:r>
          </w:p>
        </w:tc>
      </w:tr>
      <w:tr>
        <w:tc>
          <w:tcPr>
            <w:tcW w:type="dxa" w:w="1999"/>
          </w:tcPr>
          <w:p>
            <w:pPr>
              <w:spacing w:after="40" w:line="240" w:lineRule="auto"/>
            </w:pPr>
            <w:r>
              <w:t>R6</w:t>
            </w:r>
          </w:p>
        </w:tc>
        <w:tc>
          <w:tcPr>
            <w:tcW w:type="dxa" w:w="1999"/>
          </w:tcPr>
          <w:p>
            <w:pPr>
              <w:spacing w:after="40" w:line="240" w:lineRule="auto"/>
            </w:pPr>
            <w:r>
              <w:t>Simultaneous-programme policy assessment</w:t>
            </w:r>
          </w:p>
        </w:tc>
        <w:tc>
          <w:tcPr>
            <w:tcW w:type="dxa" w:w="1999"/>
          </w:tcPr>
          <w:p>
            <w:pPr>
              <w:spacing w:after="40" w:line="240" w:lineRule="auto"/>
            </w:pPr>
            <w:r>
              <w:t>Adjudication Service</w:t>
            </w:r>
          </w:p>
        </w:tc>
        <w:tc>
          <w:tcPr>
            <w:tcW w:type="dxa" w:w="1999"/>
          </w:tcPr>
          <w:p>
            <w:pPr>
              <w:spacing w:after="40" w:line="240" w:lineRule="auto"/>
            </w:pPr>
            <w:r>
              <w:t>AdjudicationCase, EvidenceReference</w:t>
            </w:r>
          </w:p>
        </w:tc>
        <w:tc>
          <w:tcPr>
            <w:tcW w:type="dxa" w:w="1999"/>
          </w:tcPr>
          <w:p>
            <w:pPr>
              <w:spacing w:after="40" w:line="240" w:lineRule="auto"/>
            </w:pPr>
            <w:r>
              <w:t>Possible overlap routes to review and uses a versioned rule package.</w:t>
            </w:r>
          </w:p>
        </w:tc>
      </w:tr>
      <w:tr>
        <w:tc>
          <w:tcPr>
            <w:tcW w:type="dxa" w:w="1999"/>
          </w:tcPr>
          <w:p>
            <w:pPr>
              <w:spacing w:after="40" w:line="240" w:lineRule="auto"/>
            </w:pPr>
            <w:r>
              <w:t>R7</w:t>
            </w:r>
          </w:p>
        </w:tc>
        <w:tc>
          <w:tcPr>
            <w:tcW w:type="dxa" w:w="1999"/>
          </w:tcPr>
          <w:p>
            <w:pPr>
              <w:spacing w:after="40" w:line="240" w:lineRule="auto"/>
            </w:pPr>
            <w:r>
              <w:t>Authorized third-party verification</w:t>
            </w:r>
          </w:p>
        </w:tc>
        <w:tc>
          <w:tcPr>
            <w:tcW w:type="dxa" w:w="1999"/>
          </w:tcPr>
          <w:p>
            <w:pPr>
              <w:spacing w:after="40" w:line="240" w:lineRule="auto"/>
            </w:pPr>
            <w:r>
              <w:t>Verification Gateway</w:t>
            </w:r>
          </w:p>
        </w:tc>
        <w:tc>
          <w:tcPr>
            <w:tcW w:type="dxa" w:w="1999"/>
          </w:tcPr>
          <w:p>
            <w:pPr>
              <w:spacing w:after="40" w:line="240" w:lineRule="auto"/>
            </w:pPr>
            <w:r>
              <w:t>VerificationRequest, DisclosureReceipt</w:t>
            </w:r>
          </w:p>
        </w:tc>
        <w:tc>
          <w:tcPr>
            <w:tcW w:type="dxa" w:w="1999"/>
          </w:tcPr>
          <w:p>
            <w:pPr>
              <w:spacing w:after="40" w:line="240" w:lineRule="auto"/>
            </w:pPr>
            <w:r>
              <w:t>Requester, purpose, authority/consent, claim scope, and expiry are checked.</w:t>
            </w:r>
          </w:p>
        </w:tc>
      </w:tr>
      <w:tr>
        <w:tc>
          <w:tcPr>
            <w:tcW w:type="dxa" w:w="1999"/>
          </w:tcPr>
          <w:p>
            <w:pPr>
              <w:spacing w:after="40" w:line="240" w:lineRule="auto"/>
            </w:pPr>
            <w:r>
              <w:t>R8</w:t>
            </w:r>
          </w:p>
        </w:tc>
        <w:tc>
          <w:tcPr>
            <w:tcW w:type="dxa" w:w="1999"/>
          </w:tcPr>
          <w:p>
            <w:pPr>
              <w:spacing w:after="40" w:line="240" w:lineRule="auto"/>
            </w:pPr>
            <w:r>
              <w:t>Audit and reporting</w:t>
            </w:r>
          </w:p>
        </w:tc>
        <w:tc>
          <w:tcPr>
            <w:tcW w:type="dxa" w:w="1999"/>
          </w:tcPr>
          <w:p>
            <w:pPr>
              <w:spacing w:after="40" w:line="240" w:lineRule="auto"/>
            </w:pPr>
            <w:r>
              <w:t>Audit / Reporting Service</w:t>
            </w:r>
          </w:p>
        </w:tc>
        <w:tc>
          <w:tcPr>
            <w:tcW w:type="dxa" w:w="1999"/>
          </w:tcPr>
          <w:p>
            <w:pPr>
              <w:spacing w:after="40" w:line="240" w:lineRule="auto"/>
            </w:pPr>
            <w:r>
              <w:t>AuditEvent, ExportJob</w:t>
            </w:r>
          </w:p>
        </w:tc>
        <w:tc>
          <w:tcPr>
            <w:tcW w:type="dxa" w:w="1999"/>
          </w:tcPr>
          <w:p>
            <w:pPr>
              <w:spacing w:after="40" w:line="240" w:lineRule="auto"/>
            </w:pPr>
            <w:r>
              <w:t>Sensitive reads, policy changes, decisions, and exports produce audit records.</w:t>
            </w:r>
          </w:p>
        </w:tc>
      </w:tr>
      <w:tr>
        <w:tc>
          <w:tcPr>
            <w:tcW w:type="dxa" w:w="1999"/>
          </w:tcPr>
          <w:p>
            <w:pPr>
              <w:spacing w:after="40" w:line="240" w:lineRule="auto"/>
            </w:pPr>
            <w:r>
              <w:t>R9</w:t>
            </w:r>
          </w:p>
        </w:tc>
        <w:tc>
          <w:tcPr>
            <w:tcW w:type="dxa" w:w="1999"/>
          </w:tcPr>
          <w:p>
            <w:pPr>
              <w:spacing w:after="40" w:line="240" w:lineRule="auto"/>
            </w:pPr>
            <w:r>
              <w:t>Integration with institutional systems</w:t>
            </w:r>
          </w:p>
        </w:tc>
        <w:tc>
          <w:tcPr>
            <w:tcW w:type="dxa" w:w="1999"/>
          </w:tcPr>
          <w:p>
            <w:pPr>
              <w:spacing w:after="40" w:line="240" w:lineRule="auto"/>
            </w:pPr>
            <w:r>
              <w:t>Connector Adapter Layer</w:t>
            </w:r>
          </w:p>
        </w:tc>
        <w:tc>
          <w:tcPr>
            <w:tcW w:type="dxa" w:w="1999"/>
          </w:tcPr>
          <w:p>
            <w:pPr>
              <w:spacing w:after="40" w:line="240" w:lineRule="auto"/>
            </w:pPr>
            <w:r>
              <w:t>IntegrationJob, MappingProfile</w:t>
            </w:r>
          </w:p>
        </w:tc>
        <w:tc>
          <w:tcPr>
            <w:tcW w:type="dxa" w:w="1999"/>
          </w:tcPr>
          <w:p>
            <w:pPr>
              <w:spacing w:after="40" w:line="240" w:lineRule="auto"/>
            </w:pPr>
            <w:r>
              <w:t>Unavailable services fail safely; retry does not duplicate writes.</w:t>
            </w:r>
          </w:p>
        </w:tc>
      </w:tr>
      <w:tr>
        <w:tc>
          <w:tcPr>
            <w:tcW w:type="dxa" w:w="1999"/>
          </w:tcPr>
          <w:p>
            <w:pPr>
              <w:spacing w:after="40" w:line="240" w:lineRule="auto"/>
            </w:pPr>
            <w:r>
              <w:t>R10</w:t>
            </w:r>
          </w:p>
        </w:tc>
        <w:tc>
          <w:tcPr>
            <w:tcW w:type="dxa" w:w="1999"/>
          </w:tcPr>
          <w:p>
            <w:pPr>
              <w:spacing w:after="40" w:line="240" w:lineRule="auto"/>
            </w:pPr>
            <w:r>
              <w:t>Exception handling and correction</w:t>
            </w:r>
          </w:p>
        </w:tc>
        <w:tc>
          <w:tcPr>
            <w:tcW w:type="dxa" w:w="1999"/>
          </w:tcPr>
          <w:p>
            <w:pPr>
              <w:spacing w:after="40" w:line="240" w:lineRule="auto"/>
            </w:pPr>
            <w:r>
              <w:t>Case Management</w:t>
            </w:r>
          </w:p>
        </w:tc>
        <w:tc>
          <w:tcPr>
            <w:tcW w:type="dxa" w:w="1999"/>
          </w:tcPr>
          <w:p>
            <w:pPr>
              <w:spacing w:after="40" w:line="240" w:lineRule="auto"/>
            </w:pPr>
            <w:r>
              <w:t>ExceptionCase, CaseEvent</w:t>
            </w:r>
          </w:p>
        </w:tc>
        <w:tc>
          <w:tcPr>
            <w:tcW w:type="dxa" w:w="1999"/>
          </w:tcPr>
          <w:p>
            <w:pPr>
              <w:spacing w:after="40" w:line="240" w:lineRule="auto"/>
            </w:pPr>
            <w:r>
              <w:t>A correction creates a new version and preserves the previous decision history.</w:t>
            </w:r>
          </w:p>
        </w:tc>
      </w:tr>
      <w:tr>
        <w:tc>
          <w:tcPr>
            <w:tcW w:type="dxa" w:w="1999"/>
          </w:tcPr>
          <w:p>
            <w:pPr>
              <w:spacing w:after="40" w:line="240" w:lineRule="auto"/>
            </w:pPr>
            <w:r>
              <w:t>R11</w:t>
            </w:r>
          </w:p>
        </w:tc>
        <w:tc>
          <w:tcPr>
            <w:tcW w:type="dxa" w:w="1999"/>
          </w:tcPr>
          <w:p>
            <w:pPr>
              <w:spacing w:after="40" w:line="240" w:lineRule="auto"/>
            </w:pPr>
            <w:r>
              <w:t>Role and institution isolation</w:t>
            </w:r>
          </w:p>
        </w:tc>
        <w:tc>
          <w:tcPr>
            <w:tcW w:type="dxa" w:w="1999"/>
          </w:tcPr>
          <w:p>
            <w:pPr>
              <w:spacing w:after="40" w:line="240" w:lineRule="auto"/>
            </w:pPr>
            <w:r>
              <w:t>Authorization Middleware</w:t>
            </w:r>
          </w:p>
        </w:tc>
        <w:tc>
          <w:tcPr>
            <w:tcW w:type="dxa" w:w="1999"/>
          </w:tcPr>
          <w:p>
            <w:pPr>
              <w:spacing w:after="40" w:line="240" w:lineRule="auto"/>
            </w:pPr>
            <w:r>
              <w:t>User, RoleAssignment, InstitutionScope</w:t>
            </w:r>
          </w:p>
        </w:tc>
        <w:tc>
          <w:tcPr>
            <w:tcW w:type="dxa" w:w="1999"/>
          </w:tcPr>
          <w:p>
            <w:pPr>
              <w:spacing w:after="40" w:line="240" w:lineRule="auto"/>
            </w:pPr>
            <w:r>
              <w:t>Cross-tenant access attempts are denied by automated tests.</w:t>
            </w:r>
          </w:p>
        </w:tc>
      </w:tr>
      <w:tr>
        <w:tc>
          <w:tcPr>
            <w:tcW w:type="dxa" w:w="1999"/>
          </w:tcPr>
          <w:p>
            <w:pPr>
              <w:spacing w:after="40" w:line="240" w:lineRule="auto"/>
            </w:pPr>
            <w:r>
              <w:t>R12</w:t>
            </w:r>
          </w:p>
        </w:tc>
        <w:tc>
          <w:tcPr>
            <w:tcW w:type="dxa" w:w="1999"/>
          </w:tcPr>
          <w:p>
            <w:pPr>
              <w:spacing w:after="40" w:line="240" w:lineRule="auto"/>
            </w:pPr>
            <w:r>
              <w:t>Operational monitoring</w:t>
            </w:r>
          </w:p>
        </w:tc>
        <w:tc>
          <w:tcPr>
            <w:tcW w:type="dxa" w:w="1999"/>
          </w:tcPr>
          <w:p>
            <w:pPr>
              <w:spacing w:after="40" w:line="240" w:lineRule="auto"/>
            </w:pPr>
            <w:r>
              <w:t>Job Monitor / Observability</w:t>
            </w:r>
          </w:p>
        </w:tc>
        <w:tc>
          <w:tcPr>
            <w:tcW w:type="dxa" w:w="1999"/>
          </w:tcPr>
          <w:p>
            <w:pPr>
              <w:spacing w:after="40" w:line="240" w:lineRule="auto"/>
            </w:pPr>
            <w:r>
              <w:t>JobState, Metric, Alert</w:t>
            </w:r>
          </w:p>
        </w:tc>
        <w:tc>
          <w:tcPr>
            <w:tcW w:type="dxa" w:w="1999"/>
          </w:tcPr>
          <w:p>
            <w:pPr>
              <w:spacing w:after="40" w:line="240" w:lineRule="auto"/>
            </w:pPr>
            <w:r>
              <w:t>Failed batches and connector errors are visible to authorized operators.</w:t>
            </w:r>
          </w:p>
        </w:tc>
      </w:tr>
    </w:tbl>
    <w:p>
      <w:pPr>
        <w:pStyle w:val="Heading2"/>
        <w:keepNext/>
      </w:pPr>
      <w:r>
        <w:t>19. Reference workflows and sequence diagrams</w:t>
      </w:r>
    </w:p>
    <w:p>
      <w:pPr>
        <w:pStyle w:val="Heading3"/>
        <w:keepNext/>
      </w:pPr>
      <w:r>
        <w:t>19.1 Student roster intake</w:t>
      </w:r>
    </w:p>
    <w:p>
      <w:r>
        <w:t>Institution operator → authenticated portal: create batch and choose institution/course/year mapping.</w:t>
      </w:r>
    </w:p>
    <w:p>
      <w:r>
        <w:t>Portal → batch service: upload CSV/XLSX; record file checksum, schema version, uploader, and timestamp.</w:t>
      </w:r>
    </w:p>
    <w:p>
      <w:r>
        <w:t>Batch service → staging store: parse rows; attach row number and validation errors; do not silently drop rows.</w:t>
      </w:r>
    </w:p>
    <w:p>
      <w:r>
        <w:t>Validation service → policy package registry: resolve the approved schema and effective policy version.</w:t>
      </w:r>
    </w:p>
    <w:p>
      <w:r>
        <w:t>Reconciliation service: compare staged counts against the selected approved-intake snapshot.</w:t>
      </w:r>
    </w:p>
    <w:p>
      <w:r>
        <w:t>Portal → operator: display row errors, reconciliation totals, holds, and a downloadable exception report.</w:t>
      </w:r>
    </w:p>
    <w:p>
      <w:r>
        <w:t>Authorized reviewer: approve, reject, or return the batch; every action creates an immutable event record.</w:t>
      </w:r>
    </w:p>
    <w:p>
      <w:pPr>
        <w:pStyle w:val="Heading3"/>
        <w:keepNext/>
      </w:pPr>
      <w:r>
        <w:t>19.2 Identity matching and adjudication</w:t>
      </w:r>
    </w:p>
    <w:p>
      <w:r>
        <w:t>Institution-local identity vault normalizes identifiers and calculates scoped tokens using keys unavailable to the central database.</w:t>
      </w:r>
    </w:p>
    <w:p>
      <w:r>
        <w:t>Central matcher performs exact token comparison first; exact match means a strong linkage candidate, not automatic evidence of misconduct.</w:t>
      </w:r>
    </w:p>
    <w:p>
      <w:r>
        <w:t>For unresolved records, the local component produces the approved PPRL representation under a versioned encoding profile.</w:t>
      </w:r>
    </w:p>
    <w:p>
      <w:r>
        <w:t>Candidate-generation service applies blocking and permitted similarity calculations; it stores method/version, score, and reason codes.</w:t>
      </w:r>
    </w:p>
    <w:p>
      <w:r>
        <w:t>Cases in the review band are routed to authorized reviewers; high-confidence candidates remain candidates until policy context is checked.</w:t>
      </w:r>
    </w:p>
    <w:p>
      <w:r>
        <w:t>Adjudicator evaluates programme mode, class timing, academic period, restricted-seat conditions, and applicable policy version.</w:t>
      </w:r>
    </w:p>
    <w:p>
      <w:r>
        <w:t>Outcome is recorded as permitted, needs evidence, unresolved, or potential policy conflict; penalties are never triggered by similarity alone.</w:t>
      </w:r>
    </w:p>
    <w:p>
      <w:pPr>
        <w:pStyle w:val="Heading3"/>
        <w:keepNext/>
      </w:pPr>
      <w:r>
        <w:t>19.3 Third-party verification</w:t>
      </w:r>
    </w:p>
    <w:p>
      <w:r>
        <w:t>Requester authenticates and submits subject reference, purpose, requested claims, and expiry.</w:t>
      </w:r>
    </w:p>
    <w:p>
      <w:r>
        <w:t>Authorization service validates requester role, institution scope, purpose, and legal authority/consent status as applicable.</w:t>
      </w:r>
    </w:p>
    <w:p>
      <w:r>
        <w:t>Disclosure policy reduces the response to the minimum permitted claims; raw roster access is not the default.</w:t>
      </w:r>
    </w:p>
    <w:p>
      <w:r>
        <w:t>Credential or authoritative API verification runs only through an approved adapter. Mock adapter responses are visibly labelled DEMO.</w:t>
      </w:r>
    </w:p>
    <w:p>
      <w:r>
        <w:t>The gateway records the request, decision, claims disclosed, basis, expiry, and correlation ID without copying unnecessary payloads into logs.</w:t>
      </w:r>
    </w:p>
    <w:p>
      <w:pPr>
        <w:pStyle w:val="Heading2"/>
        <w:keepNext/>
      </w:pPr>
      <w:r>
        <w:t>20. Proposed logical API contracts</w:t>
      </w:r>
    </w:p>
    <w:p>
      <w:r>
        <w:t>The following are internal API examples for implementation planning, not existing AICTE, APAAR, DigiLocker, API Setu, or ONOD endpoints. Use versioned JSON schemas and publish an OpenAPI document for the implemented internal API.</w:t>
      </w:r>
    </w:p>
    <w:tbl>
      <w:tblPr>
        <w:tblStyle w:val="LightShading-Accent1"/>
        <w:tblW w:type="auto" w:w="0"/>
        <w:tblLayout w:type="autofit"/>
        <w:tblLook w:firstColumn="1" w:firstRow="1" w:lastColumn="0" w:lastRow="0" w:noHBand="0" w:noVBand="1" w:val="04A0"/>
      </w:tblPr>
      <w:tblGrid>
        <w:gridCol w:w="1999"/>
        <w:gridCol w:w="1999"/>
        <w:gridCol w:w="1999"/>
        <w:gridCol w:w="1999"/>
        <w:gridCol w:w="1999"/>
      </w:tblGrid>
      <w:tr>
        <w:tc>
          <w:tcPr>
            <w:tcW w:type="dxa" w:w="1999"/>
          </w:tcPr>
          <w:p>
            <w:pPr>
              <w:spacing w:after="40" w:line="240" w:lineRule="auto"/>
            </w:pPr>
            <w:r>
              <w:t>Method / path</w:t>
            </w:r>
          </w:p>
        </w:tc>
        <w:tc>
          <w:tcPr>
            <w:tcW w:type="dxa" w:w="1999"/>
          </w:tcPr>
          <w:p>
            <w:pPr>
              <w:spacing w:after="40" w:line="240" w:lineRule="auto"/>
            </w:pPr>
            <w:r>
              <w:t>Purpose</w:t>
            </w:r>
          </w:p>
        </w:tc>
        <w:tc>
          <w:tcPr>
            <w:tcW w:type="dxa" w:w="1999"/>
          </w:tcPr>
          <w:p>
            <w:pPr>
              <w:spacing w:after="40" w:line="240" w:lineRule="auto"/>
            </w:pPr>
            <w:r>
              <w:t>Request essentials</w:t>
            </w:r>
          </w:p>
        </w:tc>
        <w:tc>
          <w:tcPr>
            <w:tcW w:type="dxa" w:w="1999"/>
          </w:tcPr>
          <w:p>
            <w:pPr>
              <w:spacing w:after="40" w:line="240" w:lineRule="auto"/>
            </w:pPr>
            <w:r>
              <w:t>Response essentials</w:t>
            </w:r>
          </w:p>
        </w:tc>
        <w:tc>
          <w:tcPr>
            <w:tcW w:type="dxa" w:w="1999"/>
          </w:tcPr>
          <w:p>
            <w:pPr>
              <w:spacing w:after="40" w:line="240" w:lineRule="auto"/>
            </w:pPr>
            <w:r>
              <w:t>Controls</w:t>
            </w:r>
          </w:p>
        </w:tc>
      </w:tr>
      <w:tr>
        <w:tc>
          <w:tcPr>
            <w:tcW w:type="dxa" w:w="1999"/>
          </w:tcPr>
          <w:p>
            <w:pPr>
              <w:spacing w:after="40" w:line="240" w:lineRule="auto"/>
            </w:pPr>
            <w:r>
              <w:t>POST /api/v1/batches</w:t>
            </w:r>
          </w:p>
        </w:tc>
        <w:tc>
          <w:tcPr>
            <w:tcW w:type="dxa" w:w="1999"/>
          </w:tcPr>
          <w:p>
            <w:pPr>
              <w:spacing w:after="40" w:line="240" w:lineRule="auto"/>
            </w:pPr>
            <w:r>
              <w:t>Create roster batch</w:t>
            </w:r>
          </w:p>
        </w:tc>
        <w:tc>
          <w:tcPr>
            <w:tcW w:type="dxa" w:w="1999"/>
          </w:tcPr>
          <w:p>
            <w:pPr>
              <w:spacing w:after="40" w:line="240" w:lineRule="auto"/>
            </w:pPr>
            <w:r>
              <w:t>institution_id, academic_year, source_system, file_checksum, schema_version</w:t>
            </w:r>
          </w:p>
        </w:tc>
        <w:tc>
          <w:tcPr>
            <w:tcW w:type="dxa" w:w="1999"/>
          </w:tcPr>
          <w:p>
            <w:pPr>
              <w:spacing w:after="40" w:line="240" w:lineRule="auto"/>
            </w:pPr>
            <w:r>
              <w:t>batch_id, state, accepted_at</w:t>
            </w:r>
          </w:p>
        </w:tc>
        <w:tc>
          <w:tcPr>
            <w:tcW w:type="dxa" w:w="1999"/>
          </w:tcPr>
          <w:p>
            <w:pPr>
              <w:spacing w:after="40" w:line="240" w:lineRule="auto"/>
            </w:pPr>
            <w:r>
              <w:t>Tenant scope; checksum; idempotency key.</w:t>
            </w:r>
          </w:p>
        </w:tc>
      </w:tr>
      <w:tr>
        <w:tc>
          <w:tcPr>
            <w:tcW w:type="dxa" w:w="1999"/>
          </w:tcPr>
          <w:p>
            <w:pPr>
              <w:spacing w:after="40" w:line="240" w:lineRule="auto"/>
            </w:pPr>
            <w:r>
              <w:t>POST /api/v1/batches/{id}/validate</w:t>
            </w:r>
          </w:p>
        </w:tc>
        <w:tc>
          <w:tcPr>
            <w:tcW w:type="dxa" w:w="1999"/>
          </w:tcPr>
          <w:p>
            <w:pPr>
              <w:spacing w:after="40" w:line="240" w:lineRule="auto"/>
            </w:pPr>
            <w:r>
              <w:t>Validate staged rows</w:t>
            </w:r>
          </w:p>
        </w:tc>
        <w:tc>
          <w:tcPr>
            <w:tcW w:type="dxa" w:w="1999"/>
          </w:tcPr>
          <w:p>
            <w:pPr>
              <w:spacing w:after="40" w:line="240" w:lineRule="auto"/>
            </w:pPr>
            <w:r>
              <w:t>mapping_profile_id, validation_mode</w:t>
            </w:r>
          </w:p>
        </w:tc>
        <w:tc>
          <w:tcPr>
            <w:tcW w:type="dxa" w:w="1999"/>
          </w:tcPr>
          <w:p>
            <w:pPr>
              <w:spacing w:after="40" w:line="240" w:lineRule="auto"/>
            </w:pPr>
            <w:r>
              <w:t>valid_rows, invalid_rows, row_errors[]</w:t>
            </w:r>
          </w:p>
        </w:tc>
        <w:tc>
          <w:tcPr>
            <w:tcW w:type="dxa" w:w="1999"/>
          </w:tcPr>
          <w:p>
            <w:pPr>
              <w:spacing w:after="40" w:line="240" w:lineRule="auto"/>
            </w:pPr>
            <w:r>
              <w:t>No silent row drops; repeatable validation.</w:t>
            </w:r>
          </w:p>
        </w:tc>
      </w:tr>
      <w:tr>
        <w:tc>
          <w:tcPr>
            <w:tcW w:type="dxa" w:w="1999"/>
          </w:tcPr>
          <w:p>
            <w:pPr>
              <w:spacing w:after="40" w:line="240" w:lineRule="auto"/>
            </w:pPr>
            <w:r>
              <w:t>POST /api/v1/batches/{id}/reconcile</w:t>
            </w:r>
          </w:p>
        </w:tc>
        <w:tc>
          <w:tcPr>
            <w:tcW w:type="dxa" w:w="1999"/>
          </w:tcPr>
          <w:p>
            <w:pPr>
              <w:spacing w:after="40" w:line="240" w:lineRule="auto"/>
            </w:pPr>
            <w:r>
              <w:t>Compare with approved intake</w:t>
            </w:r>
          </w:p>
        </w:tc>
        <w:tc>
          <w:tcPr>
            <w:tcW w:type="dxa" w:w="1999"/>
          </w:tcPr>
          <w:p>
            <w:pPr>
              <w:spacing w:after="40" w:line="240" w:lineRule="auto"/>
            </w:pPr>
            <w:r>
              <w:t>intake_snapshot_id, policy_version</w:t>
            </w:r>
          </w:p>
        </w:tc>
        <w:tc>
          <w:tcPr>
            <w:tcW w:type="dxa" w:w="1999"/>
          </w:tcPr>
          <w:p>
            <w:pPr>
              <w:spacing w:after="40" w:line="240" w:lineRule="auto"/>
            </w:pPr>
            <w:r>
              <w:t>run_id, totals, discrepancies[]</w:t>
            </w:r>
          </w:p>
        </w:tc>
        <w:tc>
          <w:tcPr>
            <w:tcW w:type="dxa" w:w="1999"/>
          </w:tcPr>
          <w:p>
            <w:pPr>
              <w:spacing w:after="40" w:line="240" w:lineRule="auto"/>
            </w:pPr>
            <w:r>
              <w:t>Reviewer permission; policy snapshot immutable.</w:t>
            </w:r>
          </w:p>
        </w:tc>
      </w:tr>
      <w:tr>
        <w:tc>
          <w:tcPr>
            <w:tcW w:type="dxa" w:w="1999"/>
          </w:tcPr>
          <w:p>
            <w:pPr>
              <w:spacing w:after="40" w:line="240" w:lineRule="auto"/>
            </w:pPr>
            <w:r>
              <w:t>GET /api/v1/cases/{id}</w:t>
            </w:r>
          </w:p>
        </w:tc>
        <w:tc>
          <w:tcPr>
            <w:tcW w:type="dxa" w:w="1999"/>
          </w:tcPr>
          <w:p>
            <w:pPr>
              <w:spacing w:after="40" w:line="240" w:lineRule="auto"/>
            </w:pPr>
            <w:r>
              <w:t>Read case</w:t>
            </w:r>
          </w:p>
        </w:tc>
        <w:tc>
          <w:tcPr>
            <w:tcW w:type="dxa" w:w="1999"/>
          </w:tcPr>
          <w:p>
            <w:pPr>
              <w:spacing w:after="40" w:line="240" w:lineRule="auto"/>
            </w:pPr>
            <w:r>
              <w:t>case ID in path</w:t>
            </w:r>
          </w:p>
        </w:tc>
        <w:tc>
          <w:tcPr>
            <w:tcW w:type="dxa" w:w="1999"/>
          </w:tcPr>
          <w:p>
            <w:pPr>
              <w:spacing w:after="40" w:line="240" w:lineRule="auto"/>
            </w:pPr>
            <w:r>
              <w:t>case state, reason codes, allowed actions</w:t>
            </w:r>
          </w:p>
        </w:tc>
        <w:tc>
          <w:tcPr>
            <w:tcW w:type="dxa" w:w="1999"/>
          </w:tcPr>
          <w:p>
            <w:pPr>
              <w:spacing w:after="40" w:line="240" w:lineRule="auto"/>
            </w:pPr>
            <w:r>
              <w:t>Object-level authorization on every request.</w:t>
            </w:r>
          </w:p>
        </w:tc>
      </w:tr>
      <w:tr>
        <w:tc>
          <w:tcPr>
            <w:tcW w:type="dxa" w:w="1999"/>
          </w:tcPr>
          <w:p>
            <w:pPr>
              <w:spacing w:after="40" w:line="240" w:lineRule="auto"/>
            </w:pPr>
            <w:r>
              <w:t>POST /api/v1/cases/{id}/decision</w:t>
            </w:r>
          </w:p>
        </w:tc>
        <w:tc>
          <w:tcPr>
            <w:tcW w:type="dxa" w:w="1999"/>
          </w:tcPr>
          <w:p>
            <w:pPr>
              <w:spacing w:after="40" w:line="240" w:lineRule="auto"/>
            </w:pPr>
            <w:r>
              <w:t>Record human decision</w:t>
            </w:r>
          </w:p>
        </w:tc>
        <w:tc>
          <w:tcPr>
            <w:tcW w:type="dxa" w:w="1999"/>
          </w:tcPr>
          <w:p>
            <w:pPr>
              <w:spacing w:after="40" w:line="240" w:lineRule="auto"/>
            </w:pPr>
            <w:r>
              <w:t>decision, reason_code, evidence_refs[], comment</w:t>
            </w:r>
          </w:p>
        </w:tc>
        <w:tc>
          <w:tcPr>
            <w:tcW w:type="dxa" w:w="1999"/>
          </w:tcPr>
          <w:p>
            <w:pPr>
              <w:spacing w:after="40" w:line="240" w:lineRule="auto"/>
            </w:pPr>
            <w:r>
              <w:t>decision_id, case_state, policy_version</w:t>
            </w:r>
          </w:p>
        </w:tc>
        <w:tc>
          <w:tcPr>
            <w:tcW w:type="dxa" w:w="1999"/>
          </w:tcPr>
          <w:p>
            <w:pPr>
              <w:spacing w:after="40" w:line="240" w:lineRule="auto"/>
            </w:pPr>
            <w:r>
              <w:t>Reviewer role; maker-checker where required.</w:t>
            </w:r>
          </w:p>
        </w:tc>
      </w:tr>
      <w:tr>
        <w:tc>
          <w:tcPr>
            <w:tcW w:type="dxa" w:w="1999"/>
          </w:tcPr>
          <w:p>
            <w:pPr>
              <w:spacing w:after="40" w:line="240" w:lineRule="auto"/>
            </w:pPr>
            <w:r>
              <w:t>POST /api/v1/verification-requests</w:t>
            </w:r>
          </w:p>
        </w:tc>
        <w:tc>
          <w:tcPr>
            <w:tcW w:type="dxa" w:w="1999"/>
          </w:tcPr>
          <w:p>
            <w:pPr>
              <w:spacing w:after="40" w:line="240" w:lineRule="auto"/>
            </w:pPr>
            <w:r>
              <w:t>Request minimum-claim verification</w:t>
            </w:r>
          </w:p>
        </w:tc>
        <w:tc>
          <w:tcPr>
            <w:tcW w:type="dxa" w:w="1999"/>
          </w:tcPr>
          <w:p>
            <w:pPr>
              <w:spacing w:after="40" w:line="240" w:lineRule="auto"/>
            </w:pPr>
            <w:r>
              <w:t>subject_ref, purpose, claims[], requester_context</w:t>
            </w:r>
          </w:p>
        </w:tc>
        <w:tc>
          <w:tcPr>
            <w:tcW w:type="dxa" w:w="1999"/>
          </w:tcPr>
          <w:p>
            <w:pPr>
              <w:spacing w:after="40" w:line="240" w:lineRule="auto"/>
            </w:pPr>
            <w:r>
              <w:t>request_id, decision, permitted_claims[]</w:t>
            </w:r>
          </w:p>
        </w:tc>
        <w:tc>
          <w:tcPr>
            <w:tcW w:type="dxa" w:w="1999"/>
          </w:tcPr>
          <w:p>
            <w:pPr>
              <w:spacing w:after="40" w:line="240" w:lineRule="auto"/>
            </w:pPr>
            <w:r>
              <w:t>Purpose limitation; authority/consent checks.</w:t>
            </w:r>
          </w:p>
        </w:tc>
      </w:tr>
      <w:tr>
        <w:tc>
          <w:tcPr>
            <w:tcW w:type="dxa" w:w="1999"/>
          </w:tcPr>
          <w:p>
            <w:pPr>
              <w:spacing w:after="40" w:line="240" w:lineRule="auto"/>
            </w:pPr>
            <w:r>
              <w:t>GET /api/v1/jobs/{id}</w:t>
            </w:r>
          </w:p>
        </w:tc>
        <w:tc>
          <w:tcPr>
            <w:tcW w:type="dxa" w:w="1999"/>
          </w:tcPr>
          <w:p>
            <w:pPr>
              <w:spacing w:after="40" w:line="240" w:lineRule="auto"/>
            </w:pPr>
            <w:r>
              <w:t>Inspect integration job</w:t>
            </w:r>
          </w:p>
        </w:tc>
        <w:tc>
          <w:tcPr>
            <w:tcW w:type="dxa" w:w="1999"/>
          </w:tcPr>
          <w:p>
            <w:pPr>
              <w:spacing w:after="40" w:line="240" w:lineRule="auto"/>
            </w:pPr>
            <w:r>
              <w:t>job ID</w:t>
            </w:r>
          </w:p>
        </w:tc>
        <w:tc>
          <w:tcPr>
            <w:tcW w:type="dxa" w:w="1999"/>
          </w:tcPr>
          <w:p>
            <w:pPr>
              <w:spacing w:after="40" w:line="240" w:lineRule="auto"/>
            </w:pPr>
            <w:r>
              <w:t>state, attempts, next_retry_at, safe_error_code</w:t>
            </w:r>
          </w:p>
        </w:tc>
        <w:tc>
          <w:tcPr>
            <w:tcW w:type="dxa" w:w="1999"/>
          </w:tcPr>
          <w:p>
            <w:pPr>
              <w:spacing w:after="40" w:line="240" w:lineRule="auto"/>
            </w:pPr>
            <w:r>
              <w:t>No secrets or sensitive payloads in response.</w:t>
            </w:r>
          </w:p>
        </w:tc>
      </w:tr>
      <w:tr>
        <w:tc>
          <w:tcPr>
            <w:tcW w:type="dxa" w:w="1999"/>
          </w:tcPr>
          <w:p>
            <w:pPr>
              <w:spacing w:after="40" w:line="240" w:lineRule="auto"/>
            </w:pPr>
            <w:r>
              <w:t>GET /api/v1/audit-events</w:t>
            </w:r>
          </w:p>
        </w:tc>
        <w:tc>
          <w:tcPr>
            <w:tcW w:type="dxa" w:w="1999"/>
          </w:tcPr>
          <w:p>
            <w:pPr>
              <w:spacing w:after="40" w:line="240" w:lineRule="auto"/>
            </w:pPr>
            <w:r>
              <w:t>Search audit events</w:t>
            </w:r>
          </w:p>
        </w:tc>
        <w:tc>
          <w:tcPr>
            <w:tcW w:type="dxa" w:w="1999"/>
          </w:tcPr>
          <w:p>
            <w:pPr>
              <w:spacing w:after="40" w:line="240" w:lineRule="auto"/>
            </w:pPr>
            <w:r>
              <w:t>time window, actor, event type, scoped object</w:t>
            </w:r>
          </w:p>
        </w:tc>
        <w:tc>
          <w:tcPr>
            <w:tcW w:type="dxa" w:w="1999"/>
          </w:tcPr>
          <w:p>
            <w:pPr>
              <w:spacing w:after="40" w:line="240" w:lineRule="auto"/>
            </w:pPr>
            <w:r>
              <w:t>paginated event metadata</w:t>
            </w:r>
          </w:p>
        </w:tc>
        <w:tc>
          <w:tcPr>
            <w:tcW w:type="dxa" w:w="1999"/>
          </w:tcPr>
          <w:p>
            <w:pPr>
              <w:spacing w:after="40" w:line="240" w:lineRule="auto"/>
            </w:pPr>
            <w:r>
              <w:t>Privileged access; filters; export logging.</w:t>
            </w:r>
          </w:p>
        </w:tc>
      </w:tr>
    </w:tbl>
    <w:p>
      <w:pPr>
        <w:pStyle w:val="Heading3"/>
        <w:keepNext/>
      </w:pPr>
      <w:r>
        <w:t>20.1 Standard response envelope</w:t>
      </w:r>
    </w:p>
    <w:p>
      <w:r>
        <w:t>Example only: {"request_id":"uuid","status":"accepted|rejected|pending","data":{},"errors":[],"policy_version":"2026-10-demo.1","correlation_id":"uuid"}. Do not include full Aadhaar, passport numbers, full phone numbers, secrets, or raw PPRL encodings in generic error messages.</w:t>
      </w:r>
    </w:p>
    <w:p>
      <w:pPr>
        <w:pStyle w:val="Heading3"/>
        <w:keepNext/>
      </w:pPr>
      <w:r>
        <w:t>20.2 Error taxonomy</w:t>
      </w:r>
    </w:p>
    <w:tbl>
      <w:tblPr>
        <w:tblStyle w:val="LightShading-Accent1"/>
        <w:tblW w:type="auto" w:w="0"/>
        <w:tblLayout w:type="autofit"/>
        <w:tblLook w:firstColumn="1" w:firstRow="1" w:lastColumn="0" w:lastRow="0" w:noHBand="0" w:noVBand="1" w:val="04A0"/>
      </w:tblPr>
      <w:tblGrid>
        <w:gridCol w:w="2498"/>
        <w:gridCol w:w="2498"/>
        <w:gridCol w:w="2498"/>
        <w:gridCol w:w="2498"/>
      </w:tblGrid>
      <w:tr>
        <w:tc>
          <w:tcPr>
            <w:tcW w:type="dxa" w:w="2498"/>
          </w:tcPr>
          <w:p>
            <w:pPr>
              <w:spacing w:after="40" w:line="240" w:lineRule="auto"/>
            </w:pPr>
            <w:r>
              <w:t>Code family</w:t>
            </w:r>
          </w:p>
        </w:tc>
        <w:tc>
          <w:tcPr>
            <w:tcW w:type="dxa" w:w="2498"/>
          </w:tcPr>
          <w:p>
            <w:pPr>
              <w:spacing w:after="40" w:line="240" w:lineRule="auto"/>
            </w:pPr>
            <w:r>
              <w:t>Meaning</w:t>
            </w:r>
          </w:p>
        </w:tc>
        <w:tc>
          <w:tcPr>
            <w:tcW w:type="dxa" w:w="2498"/>
          </w:tcPr>
          <w:p>
            <w:pPr>
              <w:spacing w:after="40" w:line="240" w:lineRule="auto"/>
            </w:pPr>
            <w:r>
              <w:t>Retry?</w:t>
            </w:r>
          </w:p>
        </w:tc>
        <w:tc>
          <w:tcPr>
            <w:tcW w:type="dxa" w:w="2498"/>
          </w:tcPr>
          <w:p>
            <w:pPr>
              <w:spacing w:after="40" w:line="240" w:lineRule="auto"/>
            </w:pPr>
            <w:r>
              <w:t>User action</w:t>
            </w:r>
          </w:p>
        </w:tc>
      </w:tr>
      <w:tr>
        <w:tc>
          <w:tcPr>
            <w:tcW w:type="dxa" w:w="2498"/>
          </w:tcPr>
          <w:p>
            <w:pPr>
              <w:spacing w:after="40" w:line="240" w:lineRule="auto"/>
            </w:pPr>
            <w:r>
              <w:t>VALIDATION_*</w:t>
            </w:r>
          </w:p>
        </w:tc>
        <w:tc>
          <w:tcPr>
            <w:tcW w:type="dxa" w:w="2498"/>
          </w:tcPr>
          <w:p>
            <w:pPr>
              <w:spacing w:after="40" w:line="240" w:lineRule="auto"/>
            </w:pPr>
            <w:r>
              <w:t>Input or schema invalid</w:t>
            </w:r>
          </w:p>
        </w:tc>
        <w:tc>
          <w:tcPr>
            <w:tcW w:type="dxa" w:w="2498"/>
          </w:tcPr>
          <w:p>
            <w:pPr>
              <w:spacing w:after="40" w:line="240" w:lineRule="auto"/>
            </w:pPr>
            <w:r>
              <w:t>No, until corrected</w:t>
            </w:r>
          </w:p>
        </w:tc>
        <w:tc>
          <w:tcPr>
            <w:tcW w:type="dxa" w:w="2498"/>
          </w:tcPr>
          <w:p>
            <w:pPr>
              <w:spacing w:after="40" w:line="240" w:lineRule="auto"/>
            </w:pPr>
            <w:r>
              <w:t>Correct the identified field/row.</w:t>
            </w:r>
          </w:p>
        </w:tc>
      </w:tr>
      <w:tr>
        <w:tc>
          <w:tcPr>
            <w:tcW w:type="dxa" w:w="2498"/>
          </w:tcPr>
          <w:p>
            <w:pPr>
              <w:spacing w:after="40" w:line="240" w:lineRule="auto"/>
            </w:pPr>
            <w:r>
              <w:t>AUTHN_*</w:t>
            </w:r>
          </w:p>
        </w:tc>
        <w:tc>
          <w:tcPr>
            <w:tcW w:type="dxa" w:w="2498"/>
          </w:tcPr>
          <w:p>
            <w:pPr>
              <w:spacing w:after="40" w:line="240" w:lineRule="auto"/>
            </w:pPr>
            <w:r>
              <w:t>Authentication missing/invalid</w:t>
            </w:r>
          </w:p>
        </w:tc>
        <w:tc>
          <w:tcPr>
            <w:tcW w:type="dxa" w:w="2498"/>
          </w:tcPr>
          <w:p>
            <w:pPr>
              <w:spacing w:after="40" w:line="240" w:lineRule="auto"/>
            </w:pPr>
            <w:r>
              <w:t>After re-authentication</w:t>
            </w:r>
          </w:p>
        </w:tc>
        <w:tc>
          <w:tcPr>
            <w:tcW w:type="dxa" w:w="2498"/>
          </w:tcPr>
          <w:p>
            <w:pPr>
              <w:spacing w:after="40" w:line="240" w:lineRule="auto"/>
            </w:pPr>
            <w:r>
              <w:t>Sign in again or renew session.</w:t>
            </w:r>
          </w:p>
        </w:tc>
      </w:tr>
      <w:tr>
        <w:tc>
          <w:tcPr>
            <w:tcW w:type="dxa" w:w="2498"/>
          </w:tcPr>
          <w:p>
            <w:pPr>
              <w:spacing w:after="40" w:line="240" w:lineRule="auto"/>
            </w:pPr>
            <w:r>
              <w:t>AUTHZ_*</w:t>
            </w:r>
          </w:p>
        </w:tc>
        <w:tc>
          <w:tcPr>
            <w:tcW w:type="dxa" w:w="2498"/>
          </w:tcPr>
          <w:p>
            <w:pPr>
              <w:spacing w:after="40" w:line="240" w:lineRule="auto"/>
            </w:pPr>
            <w:r>
              <w:t>Requester not permitted</w:t>
            </w:r>
          </w:p>
        </w:tc>
        <w:tc>
          <w:tcPr>
            <w:tcW w:type="dxa" w:w="2498"/>
          </w:tcPr>
          <w:p>
            <w:pPr>
              <w:spacing w:after="40" w:line="240" w:lineRule="auto"/>
            </w:pPr>
            <w:r>
              <w:t>No</w:t>
            </w:r>
          </w:p>
        </w:tc>
        <w:tc>
          <w:tcPr>
            <w:tcW w:type="dxa" w:w="2498"/>
          </w:tcPr>
          <w:p>
            <w:pPr>
              <w:spacing w:after="40" w:line="240" w:lineRule="auto"/>
            </w:pPr>
            <w:r>
              <w:t>Request appropriate role or scope.</w:t>
            </w:r>
          </w:p>
        </w:tc>
      </w:tr>
      <w:tr>
        <w:tc>
          <w:tcPr>
            <w:tcW w:type="dxa" w:w="2498"/>
          </w:tcPr>
          <w:p>
            <w:pPr>
              <w:spacing w:after="40" w:line="240" w:lineRule="auto"/>
            </w:pPr>
            <w:r>
              <w:t>POLICY_*</w:t>
            </w:r>
          </w:p>
        </w:tc>
        <w:tc>
          <w:tcPr>
            <w:tcW w:type="dxa" w:w="2498"/>
          </w:tcPr>
          <w:p>
            <w:pPr>
              <w:spacing w:after="40" w:line="240" w:lineRule="auto"/>
            </w:pPr>
            <w:r>
              <w:t>Policy package missing/ambiguous/out of date</w:t>
            </w:r>
          </w:p>
        </w:tc>
        <w:tc>
          <w:tcPr>
            <w:tcW w:type="dxa" w:w="2498"/>
          </w:tcPr>
          <w:p>
            <w:pPr>
              <w:spacing w:after="40" w:line="240" w:lineRule="auto"/>
            </w:pPr>
            <w:r>
              <w:t>No automatic retry</w:t>
            </w:r>
          </w:p>
        </w:tc>
        <w:tc>
          <w:tcPr>
            <w:tcW w:type="dxa" w:w="2498"/>
          </w:tcPr>
          <w:p>
            <w:pPr>
              <w:spacing w:after="40" w:line="240" w:lineRule="auto"/>
            </w:pPr>
            <w:r>
              <w:t>Administrator resolves approved policy version.</w:t>
            </w:r>
          </w:p>
        </w:tc>
      </w:tr>
      <w:tr>
        <w:tc>
          <w:tcPr>
            <w:tcW w:type="dxa" w:w="2498"/>
          </w:tcPr>
          <w:p>
            <w:pPr>
              <w:spacing w:after="40" w:line="240" w:lineRule="auto"/>
            </w:pPr>
            <w:r>
              <w:t>INTEGRATION_UNAVAILABLE</w:t>
            </w:r>
          </w:p>
        </w:tc>
        <w:tc>
          <w:tcPr>
            <w:tcW w:type="dxa" w:w="2498"/>
          </w:tcPr>
          <w:p>
            <w:pPr>
              <w:spacing w:after="40" w:line="240" w:lineRule="auto"/>
            </w:pPr>
            <w:r>
              <w:t>External adapter unavailable</w:t>
            </w:r>
          </w:p>
        </w:tc>
        <w:tc>
          <w:tcPr>
            <w:tcW w:type="dxa" w:w="2498"/>
          </w:tcPr>
          <w:p>
            <w:pPr>
              <w:spacing w:after="40" w:line="240" w:lineRule="auto"/>
            </w:pPr>
            <w:r>
              <w:t>Yes, bounded retry</w:t>
            </w:r>
          </w:p>
        </w:tc>
        <w:tc>
          <w:tcPr>
            <w:tcW w:type="dxa" w:w="2498"/>
          </w:tcPr>
          <w:p>
            <w:pPr>
              <w:spacing w:after="40" w:line="240" w:lineRule="auto"/>
            </w:pPr>
            <w:r>
              <w:t>Show pending status and retry schedule.</w:t>
            </w:r>
          </w:p>
        </w:tc>
      </w:tr>
      <w:tr>
        <w:tc>
          <w:tcPr>
            <w:tcW w:type="dxa" w:w="2498"/>
          </w:tcPr>
          <w:p>
            <w:pPr>
              <w:spacing w:after="40" w:line="240" w:lineRule="auto"/>
            </w:pPr>
            <w:r>
              <w:t>INTEGRATION_CONTRACT_MISMATCH</w:t>
            </w:r>
          </w:p>
        </w:tc>
        <w:tc>
          <w:tcPr>
            <w:tcW w:type="dxa" w:w="2498"/>
          </w:tcPr>
          <w:p>
            <w:pPr>
              <w:spacing w:after="40" w:line="240" w:lineRule="auto"/>
            </w:pPr>
            <w:r>
              <w:t>External schema differs</w:t>
            </w:r>
          </w:p>
        </w:tc>
        <w:tc>
          <w:tcPr>
            <w:tcW w:type="dxa" w:w="2498"/>
          </w:tcPr>
          <w:p>
            <w:pPr>
              <w:spacing w:after="40" w:line="240" w:lineRule="auto"/>
            </w:pPr>
            <w:r>
              <w:t>No blind retry</w:t>
            </w:r>
          </w:p>
        </w:tc>
        <w:tc>
          <w:tcPr>
            <w:tcW w:type="dxa" w:w="2498"/>
          </w:tcPr>
          <w:p>
            <w:pPr>
              <w:spacing w:after="40" w:line="240" w:lineRule="auto"/>
            </w:pPr>
            <w:r>
              <w:t>Quarantine job; update adapter contract.</w:t>
            </w:r>
          </w:p>
        </w:tc>
      </w:tr>
      <w:tr>
        <w:tc>
          <w:tcPr>
            <w:tcW w:type="dxa" w:w="2498"/>
          </w:tcPr>
          <w:p>
            <w:pPr>
              <w:spacing w:after="40" w:line="240" w:lineRule="auto"/>
            </w:pPr>
            <w:r>
              <w:t>MATCH_REVIEW_REQUIRED</w:t>
            </w:r>
          </w:p>
        </w:tc>
        <w:tc>
          <w:tcPr>
            <w:tcW w:type="dxa" w:w="2498"/>
          </w:tcPr>
          <w:p>
            <w:pPr>
              <w:spacing w:after="40" w:line="240" w:lineRule="auto"/>
            </w:pPr>
            <w:r>
              <w:t>Candidate needs human review</w:t>
            </w:r>
          </w:p>
        </w:tc>
        <w:tc>
          <w:tcPr>
            <w:tcW w:type="dxa" w:w="2498"/>
          </w:tcPr>
          <w:p>
            <w:pPr>
              <w:spacing w:after="40" w:line="240" w:lineRule="auto"/>
            </w:pPr>
            <w:r>
              <w:t>Not applicable</w:t>
            </w:r>
          </w:p>
        </w:tc>
        <w:tc>
          <w:tcPr>
            <w:tcW w:type="dxa" w:w="2498"/>
          </w:tcPr>
          <w:p>
            <w:pPr>
              <w:spacing w:after="40" w:line="240" w:lineRule="auto"/>
            </w:pPr>
            <w:r>
              <w:t>Open the adjudication case.</w:t>
            </w:r>
          </w:p>
        </w:tc>
      </w:tr>
      <w:tr>
        <w:tc>
          <w:tcPr>
            <w:tcW w:type="dxa" w:w="2498"/>
          </w:tcPr>
          <w:p>
            <w:pPr>
              <w:spacing w:after="40" w:line="240" w:lineRule="auto"/>
            </w:pPr>
            <w:r>
              <w:t>CONFLICT_VERSION</w:t>
            </w:r>
          </w:p>
        </w:tc>
        <w:tc>
          <w:tcPr>
            <w:tcW w:type="dxa" w:w="2498"/>
          </w:tcPr>
          <w:p>
            <w:pPr>
              <w:spacing w:after="40" w:line="240" w:lineRule="auto"/>
            </w:pPr>
            <w:r>
              <w:t>Batch or policy version changed</w:t>
            </w:r>
          </w:p>
        </w:tc>
        <w:tc>
          <w:tcPr>
            <w:tcW w:type="dxa" w:w="2498"/>
          </w:tcPr>
          <w:p>
            <w:pPr>
              <w:spacing w:after="40" w:line="240" w:lineRule="auto"/>
            </w:pPr>
            <w:r>
              <w:t>After reloading</w:t>
            </w:r>
          </w:p>
        </w:tc>
        <w:tc>
          <w:tcPr>
            <w:tcW w:type="dxa" w:w="2498"/>
          </w:tcPr>
          <w:p>
            <w:pPr>
              <w:spacing w:after="40" w:line="240" w:lineRule="auto"/>
            </w:pPr>
            <w:r>
              <w:t>Re-run using explicit current version.</w:t>
            </w:r>
          </w:p>
        </w:tc>
      </w:tr>
    </w:tbl>
    <w:p>
      <w:pPr>
        <w:pStyle w:val="Heading2"/>
        <w:keepNext/>
      </w:pPr>
      <w:r>
        <w:t>21. Core data dictionary and constraints</w:t>
      </w:r>
    </w:p>
    <w:p>
      <w:r>
        <w:t>This is a logical schema baseline. Final SQL types, indexes, encryption strategy, and retention rules must be reviewed against the chosen database and institutional agreements.</w:t>
      </w:r>
    </w:p>
    <w:tbl>
      <w:tblPr>
        <w:tblStyle w:val="LightShading-Accent1"/>
        <w:tblW w:type="auto" w:w="0"/>
        <w:tblLayout w:type="autofit"/>
        <w:tblLook w:firstColumn="1" w:firstRow="1" w:lastColumn="0" w:lastRow="0" w:noHBand="0" w:noVBand="1" w:val="04A0"/>
      </w:tblPr>
      <w:tblGrid>
        <w:gridCol w:w="3331"/>
        <w:gridCol w:w="3331"/>
        <w:gridCol w:w="3331"/>
      </w:tblGrid>
      <w:tr>
        <w:tc>
          <w:tcPr>
            <w:tcW w:type="dxa" w:w="3331"/>
          </w:tcPr>
          <w:p>
            <w:pPr>
              <w:spacing w:after="40" w:line="240" w:lineRule="auto"/>
            </w:pPr>
            <w:r>
              <w:t>Entity</w:t>
            </w:r>
          </w:p>
        </w:tc>
        <w:tc>
          <w:tcPr>
            <w:tcW w:type="dxa" w:w="3331"/>
          </w:tcPr>
          <w:p>
            <w:pPr>
              <w:spacing w:after="40" w:line="240" w:lineRule="auto"/>
            </w:pPr>
            <w:r>
              <w:t>Important fields</w:t>
            </w:r>
          </w:p>
        </w:tc>
        <w:tc>
          <w:tcPr>
            <w:tcW w:type="dxa" w:w="3331"/>
          </w:tcPr>
          <w:p>
            <w:pPr>
              <w:spacing w:after="40" w:line="240" w:lineRule="auto"/>
            </w:pPr>
            <w:r>
              <w:t>Constraints / invariants</w:t>
            </w:r>
          </w:p>
        </w:tc>
      </w:tr>
      <w:tr>
        <w:tc>
          <w:tcPr>
            <w:tcW w:type="dxa" w:w="3331"/>
          </w:tcPr>
          <w:p>
            <w:pPr>
              <w:spacing w:after="40" w:line="240" w:lineRule="auto"/>
            </w:pPr>
            <w:r>
              <w:t>institution</w:t>
            </w:r>
          </w:p>
        </w:tc>
        <w:tc>
          <w:tcPr>
            <w:tcW w:type="dxa" w:w="3331"/>
          </w:tcPr>
          <w:p>
            <w:pPr>
              <w:spacing w:after="40" w:line="240" w:lineRule="auto"/>
            </w:pPr>
            <w:r>
              <w:t>institution_id, official_code, name, status, created_at</w:t>
            </w:r>
          </w:p>
        </w:tc>
        <w:tc>
          <w:tcPr>
            <w:tcW w:type="dxa" w:w="3331"/>
          </w:tcPr>
          <w:p>
            <w:pPr>
              <w:spacing w:after="40" w:line="240" w:lineRule="auto"/>
            </w:pPr>
            <w:r>
              <w:t>Official code unique within authoritative namespace; status changes audited.</w:t>
            </w:r>
          </w:p>
        </w:tc>
      </w:tr>
      <w:tr>
        <w:tc>
          <w:tcPr>
            <w:tcW w:type="dxa" w:w="3331"/>
          </w:tcPr>
          <w:p>
            <w:pPr>
              <w:spacing w:after="40" w:line="240" w:lineRule="auto"/>
            </w:pPr>
            <w:r>
              <w:t>institution_user</w:t>
            </w:r>
          </w:p>
        </w:tc>
        <w:tc>
          <w:tcPr>
            <w:tcW w:type="dxa" w:w="3331"/>
          </w:tcPr>
          <w:p>
            <w:pPr>
              <w:spacing w:after="40" w:line="240" w:lineRule="auto"/>
            </w:pPr>
            <w:r>
              <w:t>user_id, institution_id, role, status, last_login_at</w:t>
            </w:r>
          </w:p>
        </w:tc>
        <w:tc>
          <w:tcPr>
            <w:tcW w:type="dxa" w:w="3331"/>
          </w:tcPr>
          <w:p>
            <w:pPr>
              <w:spacing w:after="40" w:line="240" w:lineRule="auto"/>
            </w:pPr>
            <w:r>
              <w:t>Role assignment is institution-scoped; deactivation invalidates sessions.</w:t>
            </w:r>
          </w:p>
        </w:tc>
      </w:tr>
      <w:tr>
        <w:tc>
          <w:tcPr>
            <w:tcW w:type="dxa" w:w="3331"/>
          </w:tcPr>
          <w:p>
            <w:pPr>
              <w:spacing w:after="40" w:line="240" w:lineRule="auto"/>
            </w:pPr>
            <w:r>
              <w:t>approved_intake_snapshot</w:t>
            </w:r>
          </w:p>
        </w:tc>
        <w:tc>
          <w:tcPr>
            <w:tcW w:type="dxa" w:w="3331"/>
          </w:tcPr>
          <w:p>
            <w:pPr>
              <w:spacing w:after="40" w:line="240" w:lineRule="auto"/>
            </w:pPr>
            <w:r>
              <w:t>snapshot_id, institution_id, course_id, academic_year, shift, mode, entry_level, approved_count, source_ref, effective_from/to, version</w:t>
            </w:r>
          </w:p>
        </w:tc>
        <w:tc>
          <w:tcPr>
            <w:tcW w:type="dxa" w:w="3331"/>
          </w:tcPr>
          <w:p>
            <w:pPr>
              <w:spacing w:after="40" w:line="240" w:lineRule="auto"/>
            </w:pPr>
            <w:r>
              <w:t>Never overwrite an approved snapshot; supersede with a new version and provenance.</w:t>
            </w:r>
          </w:p>
        </w:tc>
      </w:tr>
      <w:tr>
        <w:tc>
          <w:tcPr>
            <w:tcW w:type="dxa" w:w="3331"/>
          </w:tcPr>
          <w:p>
            <w:pPr>
              <w:spacing w:after="40" w:line="240" w:lineRule="auto"/>
            </w:pPr>
            <w:r>
              <w:t>submission_batch</w:t>
            </w:r>
          </w:p>
        </w:tc>
        <w:tc>
          <w:tcPr>
            <w:tcW w:type="dxa" w:w="3331"/>
          </w:tcPr>
          <w:p>
            <w:pPr>
              <w:spacing w:after="40" w:line="240" w:lineRule="auto"/>
            </w:pPr>
            <w:r>
              <w:t>batch_id, institution_id, uploader_id, checksum, schema_version, state, created_at, submitted_at</w:t>
            </w:r>
          </w:p>
        </w:tc>
        <w:tc>
          <w:tcPr>
            <w:tcW w:type="dxa" w:w="3331"/>
          </w:tcPr>
          <w:p>
            <w:pPr>
              <w:spacing w:after="40" w:line="240" w:lineRule="auto"/>
            </w:pPr>
            <w:r>
              <w:t>Checksum and idempotency key prevent duplicate processing; batch state transitions validated.</w:t>
            </w:r>
          </w:p>
        </w:tc>
      </w:tr>
      <w:tr>
        <w:tc>
          <w:tcPr>
            <w:tcW w:type="dxa" w:w="3331"/>
          </w:tcPr>
          <w:p>
            <w:pPr>
              <w:spacing w:after="40" w:line="240" w:lineRule="auto"/>
            </w:pPr>
            <w:r>
              <w:t>staged_enrolment</w:t>
            </w:r>
          </w:p>
        </w:tc>
        <w:tc>
          <w:tcPr>
            <w:tcW w:type="dxa" w:w="3331"/>
          </w:tcPr>
          <w:p>
            <w:pPr>
              <w:spacing w:after="40" w:line="240" w:lineRule="auto"/>
            </w:pPr>
            <w:r>
              <w:t>row_id, batch_id, local_record_ref, programme_ref, seat_category, admission_date, linkage_status</w:t>
            </w:r>
          </w:p>
        </w:tc>
        <w:tc>
          <w:tcPr>
            <w:tcW w:type="dxa" w:w="3331"/>
          </w:tcPr>
          <w:p>
            <w:pPr>
              <w:spacing w:after="40" w:line="240" w:lineRule="auto"/>
            </w:pPr>
            <w:r>
              <w:t>No silent deletion; raw sensitive attributes minimized and isolated.</w:t>
            </w:r>
          </w:p>
        </w:tc>
      </w:tr>
      <w:tr>
        <w:tc>
          <w:tcPr>
            <w:tcW w:type="dxa" w:w="3331"/>
          </w:tcPr>
          <w:p>
            <w:pPr>
              <w:spacing w:after="40" w:line="240" w:lineRule="auto"/>
            </w:pPr>
            <w:r>
              <w:t>local_identity_vault</w:t>
            </w:r>
          </w:p>
        </w:tc>
        <w:tc>
          <w:tcPr>
            <w:tcW w:type="dxa" w:w="3331"/>
          </w:tcPr>
          <w:p>
            <w:pPr>
              <w:spacing w:after="40" w:line="240" w:lineRule="auto"/>
            </w:pPr>
            <w:r>
              <w:t>local_record_ref, encrypted_identity_fields, key_version, retention_state</w:t>
            </w:r>
          </w:p>
        </w:tc>
        <w:tc>
          <w:tcPr>
            <w:tcW w:type="dxa" w:w="3331"/>
          </w:tcPr>
          <w:p>
            <w:pPr>
              <w:spacing w:after="40" w:line="240" w:lineRule="auto"/>
            </w:pPr>
            <w:r>
              <w:t>Institution-side boundary; strict access; do not replicate plaintext to central matcher.</w:t>
            </w:r>
          </w:p>
        </w:tc>
      </w:tr>
      <w:tr>
        <w:tc>
          <w:tcPr>
            <w:tcW w:type="dxa" w:w="3331"/>
          </w:tcPr>
          <w:p>
            <w:pPr>
              <w:spacing w:after="40" w:line="240" w:lineRule="auto"/>
            </w:pPr>
            <w:r>
              <w:t>linkage_token</w:t>
            </w:r>
          </w:p>
        </w:tc>
        <w:tc>
          <w:tcPr>
            <w:tcW w:type="dxa" w:w="3331"/>
          </w:tcPr>
          <w:p>
            <w:pPr>
              <w:spacing w:after="40" w:line="240" w:lineRule="auto"/>
            </w:pPr>
            <w:r>
              <w:t>token_id, local_record_ref, token_type, scoped_token, key_version, created_at, expires_at</w:t>
            </w:r>
          </w:p>
        </w:tc>
        <w:tc>
          <w:tcPr>
            <w:tcW w:type="dxa" w:w="3331"/>
          </w:tcPr>
          <w:p>
            <w:pPr>
              <w:spacing w:after="40" w:line="240" w:lineRule="auto"/>
            </w:pPr>
            <w:r>
              <w:t>Token scope and key version explicit; prevent cross-purpose reuse.</w:t>
            </w:r>
          </w:p>
        </w:tc>
      </w:tr>
      <w:tr>
        <w:tc>
          <w:tcPr>
            <w:tcW w:type="dxa" w:w="3331"/>
          </w:tcPr>
          <w:p>
            <w:pPr>
              <w:spacing w:after="40" w:line="240" w:lineRule="auto"/>
            </w:pPr>
            <w:r>
              <w:t>pprl_encoding</w:t>
            </w:r>
          </w:p>
        </w:tc>
        <w:tc>
          <w:tcPr>
            <w:tcW w:type="dxa" w:w="3331"/>
          </w:tcPr>
          <w:p>
            <w:pPr>
              <w:spacing w:after="40" w:line="240" w:lineRule="auto"/>
            </w:pPr>
            <w:r>
              <w:t>encoding_id, local_record_ref, encoding_profile, encoded_value, key_version, created_at, expires_at</w:t>
            </w:r>
          </w:p>
        </w:tc>
        <w:tc>
          <w:tcPr>
            <w:tcW w:type="dxa" w:w="3331"/>
          </w:tcPr>
          <w:p>
            <w:pPr>
              <w:spacing w:after="40" w:line="240" w:lineRule="auto"/>
            </w:pPr>
            <w:r>
              <w:t>Treat as sensitive pseudonymous data; access and retention restricted.</w:t>
            </w:r>
          </w:p>
        </w:tc>
      </w:tr>
      <w:tr>
        <w:tc>
          <w:tcPr>
            <w:tcW w:type="dxa" w:w="3331"/>
          </w:tcPr>
          <w:p>
            <w:pPr>
              <w:spacing w:after="40" w:line="240" w:lineRule="auto"/>
            </w:pPr>
            <w:r>
              <w:t>match_candidate</w:t>
            </w:r>
          </w:p>
        </w:tc>
        <w:tc>
          <w:tcPr>
            <w:tcW w:type="dxa" w:w="3331"/>
          </w:tcPr>
          <w:p>
            <w:pPr>
              <w:spacing w:after="40" w:line="240" w:lineRule="auto"/>
            </w:pPr>
            <w:r>
              <w:t>candidate_id, record_ref_a, record_ref_b, method, model_version, score, reason_codes, state</w:t>
            </w:r>
          </w:p>
        </w:tc>
        <w:tc>
          <w:tcPr>
            <w:tcW w:type="dxa" w:w="3331"/>
          </w:tcPr>
          <w:p>
            <w:pPr>
              <w:spacing w:after="40" w:line="240" w:lineRule="auto"/>
            </w:pPr>
            <w:r>
              <w:t>Score is not a legal conclusion; candidate pair and evidence provenance retained.</w:t>
            </w:r>
          </w:p>
        </w:tc>
      </w:tr>
      <w:tr>
        <w:tc>
          <w:tcPr>
            <w:tcW w:type="dxa" w:w="3331"/>
          </w:tcPr>
          <w:p>
            <w:pPr>
              <w:spacing w:after="40" w:line="240" w:lineRule="auto"/>
            </w:pPr>
            <w:r>
              <w:t>policy_package</w:t>
            </w:r>
          </w:p>
        </w:tc>
        <w:tc>
          <w:tcPr>
            <w:tcW w:type="dxa" w:w="3331"/>
          </w:tcPr>
          <w:p>
            <w:pPr>
              <w:spacing w:after="40" w:line="240" w:lineRule="auto"/>
            </w:pPr>
            <w:r>
              <w:t>policy_version, policy_domain, source_reference, effective_from/to, approval_state, checksum</w:t>
            </w:r>
          </w:p>
        </w:tc>
        <w:tc>
          <w:tcPr>
            <w:tcW w:type="dxa" w:w="3331"/>
          </w:tcPr>
          <w:p>
            <w:pPr>
              <w:spacing w:after="40" w:line="240" w:lineRule="auto"/>
            </w:pPr>
            <w:r>
              <w:t>Published versions immutable; maker-checker approval for production rules.</w:t>
            </w:r>
          </w:p>
        </w:tc>
      </w:tr>
      <w:tr>
        <w:tc>
          <w:tcPr>
            <w:tcW w:type="dxa" w:w="3331"/>
          </w:tcPr>
          <w:p>
            <w:pPr>
              <w:spacing w:after="40" w:line="240" w:lineRule="auto"/>
            </w:pPr>
            <w:r>
              <w:t>reconciliation_run</w:t>
            </w:r>
          </w:p>
        </w:tc>
        <w:tc>
          <w:tcPr>
            <w:tcW w:type="dxa" w:w="3331"/>
          </w:tcPr>
          <w:p>
            <w:pPr>
              <w:spacing w:after="40" w:line="240" w:lineRule="auto"/>
            </w:pPr>
            <w:r>
              <w:t>run_id, batch_id, intake_snapshot_id, policy_version, input_digest, output_digest, totals, state</w:t>
            </w:r>
          </w:p>
        </w:tc>
        <w:tc>
          <w:tcPr>
            <w:tcW w:type="dxa" w:w="3331"/>
          </w:tcPr>
          <w:p>
            <w:pPr>
              <w:spacing w:after="40" w:line="240" w:lineRule="auto"/>
            </w:pPr>
            <w:r>
              <w:t>Reproducible outputs for same input and versions; record all exclusions.</w:t>
            </w:r>
          </w:p>
        </w:tc>
      </w:tr>
      <w:tr>
        <w:tc>
          <w:tcPr>
            <w:tcW w:type="dxa" w:w="3331"/>
          </w:tcPr>
          <w:p>
            <w:pPr>
              <w:spacing w:after="40" w:line="240" w:lineRule="auto"/>
            </w:pPr>
            <w:r>
              <w:t>adjudication_case</w:t>
            </w:r>
          </w:p>
        </w:tc>
        <w:tc>
          <w:tcPr>
            <w:tcW w:type="dxa" w:w="3331"/>
          </w:tcPr>
          <w:p>
            <w:pPr>
              <w:spacing w:after="40" w:line="240" w:lineRule="auto"/>
            </w:pPr>
            <w:r>
              <w:t>case_id, candidate_id, state, assigned_to, outcome, policy_version, closed_at</w:t>
            </w:r>
          </w:p>
        </w:tc>
        <w:tc>
          <w:tcPr>
            <w:tcW w:type="dxa" w:w="3331"/>
          </w:tcPr>
          <w:p>
            <w:pPr>
              <w:spacing w:after="40" w:line="240" w:lineRule="auto"/>
            </w:pPr>
            <w:r>
              <w:t>No penalty solely from match score; appeals/corrections preserve history.</w:t>
            </w:r>
          </w:p>
        </w:tc>
      </w:tr>
      <w:tr>
        <w:tc>
          <w:tcPr>
            <w:tcW w:type="dxa" w:w="3331"/>
          </w:tcPr>
          <w:p>
            <w:pPr>
              <w:spacing w:after="40" w:line="240" w:lineRule="auto"/>
            </w:pPr>
            <w:r>
              <w:t>verification_request</w:t>
            </w:r>
          </w:p>
        </w:tc>
        <w:tc>
          <w:tcPr>
            <w:tcW w:type="dxa" w:w="3331"/>
          </w:tcPr>
          <w:p>
            <w:pPr>
              <w:spacing w:after="40" w:line="240" w:lineRule="auto"/>
            </w:pPr>
            <w:r>
              <w:t>request_id, requester_id, subject_ref, purpose, requested_claims, authority_ref, expiry, decision</w:t>
            </w:r>
          </w:p>
        </w:tc>
        <w:tc>
          <w:tcPr>
            <w:tcW w:type="dxa" w:w="3331"/>
          </w:tcPr>
          <w:p>
            <w:pPr>
              <w:spacing w:after="40" w:line="240" w:lineRule="auto"/>
            </w:pPr>
            <w:r>
              <w:t>Least-privilege claims; denial and disclosure are auditable.</w:t>
            </w:r>
          </w:p>
        </w:tc>
      </w:tr>
      <w:tr>
        <w:tc>
          <w:tcPr>
            <w:tcW w:type="dxa" w:w="3331"/>
          </w:tcPr>
          <w:p>
            <w:pPr>
              <w:spacing w:after="40" w:line="240" w:lineRule="auto"/>
            </w:pPr>
            <w:r>
              <w:t>audit_event</w:t>
            </w:r>
          </w:p>
        </w:tc>
        <w:tc>
          <w:tcPr>
            <w:tcW w:type="dxa" w:w="3331"/>
          </w:tcPr>
          <w:p>
            <w:pPr>
              <w:spacing w:after="40" w:line="240" w:lineRule="auto"/>
            </w:pPr>
            <w:r>
              <w:t>event_id, actor_id, tenant_scope, action, object_type/id, timestamp, correlation_id, result, integrity_hash</w:t>
            </w:r>
          </w:p>
        </w:tc>
        <w:tc>
          <w:tcPr>
            <w:tcW w:type="dxa" w:w="3331"/>
          </w:tcPr>
          <w:p>
            <w:pPr>
              <w:spacing w:after="40" w:line="240" w:lineRule="auto"/>
            </w:pPr>
            <w:r>
              <w:t>Append-only logical event stream; access to audit data itself restricted.</w:t>
            </w:r>
          </w:p>
        </w:tc>
      </w:tr>
      <w:tr>
        <w:tc>
          <w:tcPr>
            <w:tcW w:type="dxa" w:w="3331"/>
          </w:tcPr>
          <w:p>
            <w:pPr>
              <w:spacing w:after="40" w:line="240" w:lineRule="auto"/>
            </w:pPr>
            <w:r>
              <w:t>integration_job</w:t>
            </w:r>
          </w:p>
        </w:tc>
        <w:tc>
          <w:tcPr>
            <w:tcW w:type="dxa" w:w="3331"/>
          </w:tcPr>
          <w:p>
            <w:pPr>
              <w:spacing w:after="40" w:line="240" w:lineRule="auto"/>
            </w:pPr>
            <w:r>
              <w:t>job_id, adapter_id, operation, state, attempt_count, next_retry_at, safe_error_code, correlation_id</w:t>
            </w:r>
          </w:p>
        </w:tc>
        <w:tc>
          <w:tcPr>
            <w:tcW w:type="dxa" w:w="3331"/>
          </w:tcPr>
          <w:p>
            <w:pPr>
              <w:spacing w:after="40" w:line="240" w:lineRule="auto"/>
            </w:pPr>
            <w:r>
              <w:t>Idempotent; secret material never stored in job payload/logs.</w:t>
            </w:r>
          </w:p>
        </w:tc>
      </w:tr>
    </w:tbl>
    <w:p>
      <w:pPr>
        <w:pStyle w:val="Heading2"/>
        <w:keepNext/>
      </w:pPr>
      <w:r>
        <w:t>22. Security threat model</w:t>
      </w:r>
    </w:p>
    <w:p>
      <w:r>
        <w:t>Threat modelling must cover malicious insiders, compromised institution credentials, central database breach, inference from repeated linkage queries, stolen API keys, log leakage, incorrect policy publication, and misuse by third-party verifiers.</w:t>
      </w:r>
    </w:p>
    <w:tbl>
      <w:tblPr>
        <w:tblStyle w:val="LightShading-Accent1"/>
        <w:tblW w:type="auto" w:w="0"/>
        <w:tblLayout w:type="autofit"/>
        <w:tblLook w:firstColumn="1" w:firstRow="1" w:lastColumn="0" w:lastRow="0" w:noHBand="0" w:noVBand="1" w:val="04A0"/>
      </w:tblPr>
      <w:tblGrid>
        <w:gridCol w:w="2498"/>
        <w:gridCol w:w="2498"/>
        <w:gridCol w:w="2498"/>
        <w:gridCol w:w="2498"/>
      </w:tblGrid>
      <w:tr>
        <w:tc>
          <w:tcPr>
            <w:tcW w:type="dxa" w:w="2498"/>
          </w:tcPr>
          <w:p>
            <w:pPr>
              <w:spacing w:after="40" w:line="240" w:lineRule="auto"/>
            </w:pPr>
            <w:r>
              <w:t>Threat</w:t>
            </w:r>
          </w:p>
        </w:tc>
        <w:tc>
          <w:tcPr>
            <w:tcW w:type="dxa" w:w="2498"/>
          </w:tcPr>
          <w:p>
            <w:pPr>
              <w:spacing w:after="40" w:line="240" w:lineRule="auto"/>
            </w:pPr>
            <w:r>
              <w:t>Potential impact</w:t>
            </w:r>
          </w:p>
        </w:tc>
        <w:tc>
          <w:tcPr>
            <w:tcW w:type="dxa" w:w="2498"/>
          </w:tcPr>
          <w:p>
            <w:pPr>
              <w:spacing w:after="40" w:line="240" w:lineRule="auto"/>
            </w:pPr>
            <w:r>
              <w:t>Required control</w:t>
            </w:r>
          </w:p>
        </w:tc>
        <w:tc>
          <w:tcPr>
            <w:tcW w:type="dxa" w:w="2498"/>
          </w:tcPr>
          <w:p>
            <w:pPr>
              <w:spacing w:after="40" w:line="240" w:lineRule="auto"/>
            </w:pPr>
            <w:r>
              <w:t>Evidence to collect</w:t>
            </w:r>
          </w:p>
        </w:tc>
      </w:tr>
      <w:tr>
        <w:tc>
          <w:tcPr>
            <w:tcW w:type="dxa" w:w="2498"/>
          </w:tcPr>
          <w:p>
            <w:pPr>
              <w:spacing w:after="40" w:line="240" w:lineRule="auto"/>
            </w:pPr>
            <w:r>
              <w:t>Cross-institution data access</w:t>
            </w:r>
          </w:p>
        </w:tc>
        <w:tc>
          <w:tcPr>
            <w:tcW w:type="dxa" w:w="2498"/>
          </w:tcPr>
          <w:p>
            <w:pPr>
              <w:spacing w:after="40" w:line="240" w:lineRule="auto"/>
            </w:pPr>
            <w:r>
              <w:t>Unauthorized student disclosure</w:t>
            </w:r>
          </w:p>
        </w:tc>
        <w:tc>
          <w:tcPr>
            <w:tcW w:type="dxa" w:w="2498"/>
          </w:tcPr>
          <w:p>
            <w:pPr>
              <w:spacing w:after="40" w:line="240" w:lineRule="auto"/>
            </w:pPr>
            <w:r>
              <w:t>Tenant-scoped authorization at service and query layers; deny-by-default</w:t>
            </w:r>
          </w:p>
        </w:tc>
        <w:tc>
          <w:tcPr>
            <w:tcW w:type="dxa" w:w="2498"/>
          </w:tcPr>
          <w:p>
            <w:pPr>
              <w:spacing w:after="40" w:line="240" w:lineRule="auto"/>
            </w:pPr>
            <w:r>
              <w:t>Automated negative authorization tests.</w:t>
            </w:r>
          </w:p>
        </w:tc>
      </w:tr>
      <w:tr>
        <w:tc>
          <w:tcPr>
            <w:tcW w:type="dxa" w:w="2498"/>
          </w:tcPr>
          <w:p>
            <w:pPr>
              <w:spacing w:after="40" w:line="240" w:lineRule="auto"/>
            </w:pPr>
            <w:r>
              <w:t>PPRL inference / frequency attack</w:t>
            </w:r>
          </w:p>
        </w:tc>
        <w:tc>
          <w:tcPr>
            <w:tcW w:type="dxa" w:w="2498"/>
          </w:tcPr>
          <w:p>
            <w:pPr>
              <w:spacing w:after="40" w:line="240" w:lineRule="auto"/>
            </w:pPr>
            <w:r>
              <w:t>Re-identification despite no plaintext central fields</w:t>
            </w:r>
          </w:p>
        </w:tc>
        <w:tc>
          <w:tcPr>
            <w:tcW w:type="dxa" w:w="2498"/>
          </w:tcPr>
          <w:p>
            <w:pPr>
              <w:spacing w:after="40" w:line="240" w:lineRule="auto"/>
            </w:pPr>
            <w:r>
              <w:t>Key separation, scoped encodings, query limits, small-cell suppression where relevant, retention limits, independent cryptographic review</w:t>
            </w:r>
          </w:p>
        </w:tc>
        <w:tc>
          <w:tcPr>
            <w:tcW w:type="dxa" w:w="2498"/>
          </w:tcPr>
          <w:p>
            <w:pPr>
              <w:spacing w:after="40" w:line="240" w:lineRule="auto"/>
            </w:pPr>
            <w:r>
              <w:t>Threat-model report; attack simulation results.</w:t>
            </w:r>
          </w:p>
        </w:tc>
      </w:tr>
      <w:tr>
        <w:tc>
          <w:tcPr>
            <w:tcW w:type="dxa" w:w="2498"/>
          </w:tcPr>
          <w:p>
            <w:pPr>
              <w:spacing w:after="40" w:line="240" w:lineRule="auto"/>
            </w:pPr>
            <w:r>
              <w:t>Token key compromise</w:t>
            </w:r>
          </w:p>
        </w:tc>
        <w:tc>
          <w:tcPr>
            <w:tcW w:type="dxa" w:w="2498"/>
          </w:tcPr>
          <w:p>
            <w:pPr>
              <w:spacing w:after="40" w:line="240" w:lineRule="auto"/>
            </w:pPr>
            <w:r>
              <w:t>Linkability across records or institutions</w:t>
            </w:r>
          </w:p>
        </w:tc>
        <w:tc>
          <w:tcPr>
            <w:tcW w:type="dxa" w:w="2498"/>
          </w:tcPr>
          <w:p>
            <w:pPr>
              <w:spacing w:after="40" w:line="240" w:lineRule="auto"/>
            </w:pPr>
            <w:r>
              <w:t>HSM/KMS-backed key management where available; rotation; separation of duties</w:t>
            </w:r>
          </w:p>
        </w:tc>
        <w:tc>
          <w:tcPr>
            <w:tcW w:type="dxa" w:w="2498"/>
          </w:tcPr>
          <w:p>
            <w:pPr>
              <w:spacing w:after="40" w:line="240" w:lineRule="auto"/>
            </w:pPr>
            <w:r>
              <w:t>Key rotation test and incident runbook.</w:t>
            </w:r>
          </w:p>
        </w:tc>
      </w:tr>
      <w:tr>
        <w:tc>
          <w:tcPr>
            <w:tcW w:type="dxa" w:w="2498"/>
          </w:tcPr>
          <w:p>
            <w:pPr>
              <w:spacing w:after="40" w:line="240" w:lineRule="auto"/>
            </w:pPr>
            <w:r>
              <w:t>Compromised reviewer account</w:t>
            </w:r>
          </w:p>
        </w:tc>
        <w:tc>
          <w:tcPr>
            <w:tcW w:type="dxa" w:w="2498"/>
          </w:tcPr>
          <w:p>
            <w:pPr>
              <w:spacing w:after="40" w:line="240" w:lineRule="auto"/>
            </w:pPr>
            <w:r>
              <w:t>Wrong decisions or data export</w:t>
            </w:r>
          </w:p>
        </w:tc>
        <w:tc>
          <w:tcPr>
            <w:tcW w:type="dxa" w:w="2498"/>
          </w:tcPr>
          <w:p>
            <w:pPr>
              <w:spacing w:after="40" w:line="240" w:lineRule="auto"/>
            </w:pPr>
            <w:r>
              <w:t>MFA for privileged roles, step-up auth, maker-checker for sensitive actions, alerting</w:t>
            </w:r>
          </w:p>
        </w:tc>
        <w:tc>
          <w:tcPr>
            <w:tcW w:type="dxa" w:w="2498"/>
          </w:tcPr>
          <w:p>
            <w:pPr>
              <w:spacing w:after="40" w:line="240" w:lineRule="auto"/>
            </w:pPr>
            <w:r>
              <w:t>Access review and audit log sample.</w:t>
            </w:r>
          </w:p>
        </w:tc>
      </w:tr>
      <w:tr>
        <w:tc>
          <w:tcPr>
            <w:tcW w:type="dxa" w:w="2498"/>
          </w:tcPr>
          <w:p>
            <w:pPr>
              <w:spacing w:after="40" w:line="240" w:lineRule="auto"/>
            </w:pPr>
            <w:r>
              <w:t>Malicious or mistaken policy update</w:t>
            </w:r>
          </w:p>
        </w:tc>
        <w:tc>
          <w:tcPr>
            <w:tcW w:type="dxa" w:w="2498"/>
          </w:tcPr>
          <w:p>
            <w:pPr>
              <w:spacing w:after="40" w:line="240" w:lineRule="auto"/>
            </w:pPr>
            <w:r>
              <w:t>Incorrect intake or concurrency decision</w:t>
            </w:r>
          </w:p>
        </w:tc>
        <w:tc>
          <w:tcPr>
            <w:tcW w:type="dxa" w:w="2498"/>
          </w:tcPr>
          <w:p>
            <w:pPr>
              <w:spacing w:after="40" w:line="240" w:lineRule="auto"/>
            </w:pPr>
            <w:r>
              <w:t>Draft/approve/publish lifecycle, signed/versioned package, effective dates, regression suite</w:t>
            </w:r>
          </w:p>
        </w:tc>
        <w:tc>
          <w:tcPr>
            <w:tcW w:type="dxa" w:w="2498"/>
          </w:tcPr>
          <w:p>
            <w:pPr>
              <w:spacing w:after="40" w:line="240" w:lineRule="auto"/>
            </w:pPr>
            <w:r>
              <w:t>Approval history and reproducible test results.</w:t>
            </w:r>
          </w:p>
        </w:tc>
      </w:tr>
      <w:tr>
        <w:tc>
          <w:tcPr>
            <w:tcW w:type="dxa" w:w="2498"/>
          </w:tcPr>
          <w:p>
            <w:pPr>
              <w:spacing w:after="40" w:line="240" w:lineRule="auto"/>
            </w:pPr>
            <w:r>
              <w:t>Log or export leakage</w:t>
            </w:r>
          </w:p>
        </w:tc>
        <w:tc>
          <w:tcPr>
            <w:tcW w:type="dxa" w:w="2498"/>
          </w:tcPr>
          <w:p>
            <w:pPr>
              <w:spacing w:after="40" w:line="240" w:lineRule="auto"/>
            </w:pPr>
            <w:r>
              <w:t>Sensitive data copied outside controls</w:t>
            </w:r>
          </w:p>
        </w:tc>
        <w:tc>
          <w:tcPr>
            <w:tcW w:type="dxa" w:w="2498"/>
          </w:tcPr>
          <w:p>
            <w:pPr>
              <w:spacing w:after="40" w:line="240" w:lineRule="auto"/>
            </w:pPr>
            <w:r>
              <w:t>Structured redaction, export authorization, expiry, download audit, no identity fields in routine logs</w:t>
            </w:r>
          </w:p>
        </w:tc>
        <w:tc>
          <w:tcPr>
            <w:tcW w:type="dxa" w:w="2498"/>
          </w:tcPr>
          <w:p>
            <w:pPr>
              <w:spacing w:after="40" w:line="240" w:lineRule="auto"/>
            </w:pPr>
            <w:r>
              <w:t>Automated log scan and export test.</w:t>
            </w:r>
          </w:p>
        </w:tc>
      </w:tr>
      <w:tr>
        <w:tc>
          <w:tcPr>
            <w:tcW w:type="dxa" w:w="2498"/>
          </w:tcPr>
          <w:p>
            <w:pPr>
              <w:spacing w:after="40" w:line="240" w:lineRule="auto"/>
            </w:pPr>
            <w:r>
              <w:t>Replay or duplicate API request</w:t>
            </w:r>
          </w:p>
        </w:tc>
        <w:tc>
          <w:tcPr>
            <w:tcW w:type="dxa" w:w="2498"/>
          </w:tcPr>
          <w:p>
            <w:pPr>
              <w:spacing w:after="40" w:line="240" w:lineRule="auto"/>
            </w:pPr>
            <w:r>
              <w:t>Duplicate batches or decisions</w:t>
            </w:r>
          </w:p>
        </w:tc>
        <w:tc>
          <w:tcPr>
            <w:tcW w:type="dxa" w:w="2498"/>
          </w:tcPr>
          <w:p>
            <w:pPr>
              <w:spacing w:after="40" w:line="240" w:lineRule="auto"/>
            </w:pPr>
            <w:r>
              <w:t>Idempotency keys, replay protection, request timestamps where appropriate</w:t>
            </w:r>
          </w:p>
        </w:tc>
        <w:tc>
          <w:tcPr>
            <w:tcW w:type="dxa" w:w="2498"/>
          </w:tcPr>
          <w:p>
            <w:pPr>
              <w:spacing w:after="40" w:line="240" w:lineRule="auto"/>
            </w:pPr>
            <w:r>
              <w:t>Replay test and duplicate-write check.</w:t>
            </w:r>
          </w:p>
        </w:tc>
      </w:tr>
      <w:tr>
        <w:tc>
          <w:tcPr>
            <w:tcW w:type="dxa" w:w="2498"/>
          </w:tcPr>
          <w:p>
            <w:pPr>
              <w:spacing w:after="40" w:line="240" w:lineRule="auto"/>
            </w:pPr>
            <w:r>
              <w:t>Fake integration response</w:t>
            </w:r>
          </w:p>
        </w:tc>
        <w:tc>
          <w:tcPr>
            <w:tcW w:type="dxa" w:w="2498"/>
          </w:tcPr>
          <w:p>
            <w:pPr>
              <w:spacing w:after="40" w:line="240" w:lineRule="auto"/>
            </w:pPr>
            <w:r>
              <w:t>False verification status</w:t>
            </w:r>
          </w:p>
        </w:tc>
        <w:tc>
          <w:tcPr>
            <w:tcW w:type="dxa" w:w="2498"/>
          </w:tcPr>
          <w:p>
            <w:pPr>
              <w:spacing w:after="40" w:line="240" w:lineRule="auto"/>
            </w:pPr>
            <w:r>
              <w:t>TLS, credential validation, schema validation, signed response verification where supported</w:t>
            </w:r>
          </w:p>
        </w:tc>
        <w:tc>
          <w:tcPr>
            <w:tcW w:type="dxa" w:w="2498"/>
          </w:tcPr>
          <w:p>
            <w:pPr>
              <w:spacing w:after="40" w:line="240" w:lineRule="auto"/>
            </w:pPr>
            <w:r>
              <w:t>Contract tests and adapter evidence.</w:t>
            </w:r>
          </w:p>
        </w:tc>
      </w:tr>
      <w:tr>
        <w:tc>
          <w:tcPr>
            <w:tcW w:type="dxa" w:w="2498"/>
          </w:tcPr>
          <w:p>
            <w:pPr>
              <w:spacing w:after="40" w:line="240" w:lineRule="auto"/>
            </w:pPr>
            <w:r>
              <w:t>Audit tampering</w:t>
            </w:r>
          </w:p>
        </w:tc>
        <w:tc>
          <w:tcPr>
            <w:tcW w:type="dxa" w:w="2498"/>
          </w:tcPr>
          <w:p>
            <w:pPr>
              <w:spacing w:after="40" w:line="240" w:lineRule="auto"/>
            </w:pPr>
            <w:r>
              <w:t>Loss of accountability</w:t>
            </w:r>
          </w:p>
        </w:tc>
        <w:tc>
          <w:tcPr>
            <w:tcW w:type="dxa" w:w="2498"/>
          </w:tcPr>
          <w:p>
            <w:pPr>
              <w:spacing w:after="40" w:line="240" w:lineRule="auto"/>
            </w:pPr>
            <w:r>
              <w:t>Restricted append-only writes, integrity checkpoints, separate admin roles, backup and restore test</w:t>
            </w:r>
          </w:p>
        </w:tc>
        <w:tc>
          <w:tcPr>
            <w:tcW w:type="dxa" w:w="2498"/>
          </w:tcPr>
          <w:p>
            <w:pPr>
              <w:spacing w:after="40" w:line="240" w:lineRule="auto"/>
            </w:pPr>
            <w:r>
              <w:t>Tamper-detection exercise.</w:t>
            </w:r>
          </w:p>
        </w:tc>
      </w:tr>
    </w:tbl>
    <w:p>
      <w:pPr>
        <w:pStyle w:val="Heading3"/>
        <w:keepNext/>
      </w:pPr>
      <w:r>
        <w:t>22.1 Security design rules</w:t>
      </w:r>
    </w:p>
    <w:p>
      <w:pPr>
        <w:pStyle w:val="ListBullet"/>
      </w:pPr>
      <w:r>
        <w:t>Classify every field as public, internal, confidential, or highly restricted before implementation.</w:t>
      </w:r>
    </w:p>
    <w:p>
      <w:pPr>
        <w:pStyle w:val="ListBullet"/>
      </w:pPr>
      <w:r>
        <w:t>Never log full APAAR IDs, Aadhaar numbers, passport identifiers, full phone numbers, raw identity documents, access tokens, or raw encoded linkage values.</w:t>
      </w:r>
    </w:p>
    <w:p>
      <w:pPr>
        <w:pStyle w:val="ListBullet"/>
      </w:pPr>
      <w:r>
        <w:t>Use a secret manager for cryptographic keys and API secrets; never place secrets in source code, client apps, spreadsheets, or sample data.</w:t>
      </w:r>
    </w:p>
    <w:p>
      <w:pPr>
        <w:pStyle w:val="ListBullet"/>
      </w:pPr>
      <w:r>
        <w:t>Encrypt network traffic and sensitive stored fields; use separate keys for encryption, tokenization, and integrity checks.</w:t>
      </w:r>
    </w:p>
    <w:p>
      <w:pPr>
        <w:pStyle w:val="ListBullet"/>
      </w:pPr>
      <w:r>
        <w:t>Apply least privilege to both people and services. Administrative access does not automatically grant plaintext identity access.</w:t>
      </w:r>
    </w:p>
    <w:p>
      <w:pPr>
        <w:pStyle w:val="ListBullet"/>
      </w:pPr>
      <w:r>
        <w:t>Keep development/test datasets synthetic unless a formally approved process permits controlled real data.</w:t>
      </w:r>
    </w:p>
    <w:p>
      <w:pPr>
        <w:pStyle w:val="ListBullet"/>
      </w:pPr>
      <w:r>
        <w:t>Provide incident response steps for containment, key rotation, notification assessment, recovery, and evidence preservation.</w:t>
      </w:r>
    </w:p>
    <w:p>
      <w:pPr>
        <w:pStyle w:val="Heading2"/>
        <w:keepNext/>
      </w:pPr>
      <w:r>
        <w:t>23. Deployment and environment architecture</w:t>
      </w:r>
    </w:p>
    <w:tbl>
      <w:tblPr>
        <w:tblStyle w:val="LightShading-Accent1"/>
        <w:tblW w:type="auto" w:w="0"/>
        <w:tblLayout w:type="autofit"/>
        <w:tblLook w:firstColumn="1" w:firstRow="1" w:lastColumn="0" w:lastRow="0" w:noHBand="0" w:noVBand="1" w:val="04A0"/>
      </w:tblPr>
      <w:tblGrid>
        <w:gridCol w:w="1999"/>
        <w:gridCol w:w="1999"/>
        <w:gridCol w:w="1999"/>
        <w:gridCol w:w="1999"/>
        <w:gridCol w:w="1999"/>
      </w:tblGrid>
      <w:tr>
        <w:tc>
          <w:tcPr>
            <w:tcW w:type="dxa" w:w="1999"/>
          </w:tcPr>
          <w:p>
            <w:pPr>
              <w:spacing w:after="40" w:line="240" w:lineRule="auto"/>
            </w:pPr>
            <w:r>
              <w:t>Environment</w:t>
            </w:r>
          </w:p>
        </w:tc>
        <w:tc>
          <w:tcPr>
            <w:tcW w:type="dxa" w:w="1999"/>
          </w:tcPr>
          <w:p>
            <w:pPr>
              <w:spacing w:after="40" w:line="240" w:lineRule="auto"/>
            </w:pPr>
            <w:r>
              <w:t>Purpose</w:t>
            </w:r>
          </w:p>
        </w:tc>
        <w:tc>
          <w:tcPr>
            <w:tcW w:type="dxa" w:w="1999"/>
          </w:tcPr>
          <w:p>
            <w:pPr>
              <w:spacing w:after="40" w:line="240" w:lineRule="auto"/>
            </w:pPr>
            <w:r>
              <w:t>Data policy</w:t>
            </w:r>
          </w:p>
        </w:tc>
        <w:tc>
          <w:tcPr>
            <w:tcW w:type="dxa" w:w="1999"/>
          </w:tcPr>
          <w:p>
            <w:pPr>
              <w:spacing w:after="40" w:line="240" w:lineRule="auto"/>
            </w:pPr>
            <w:r>
              <w:t>Integration policy</w:t>
            </w:r>
          </w:p>
        </w:tc>
        <w:tc>
          <w:tcPr>
            <w:tcW w:type="dxa" w:w="1999"/>
          </w:tcPr>
          <w:p>
            <w:pPr>
              <w:spacing w:after="40" w:line="240" w:lineRule="auto"/>
            </w:pPr>
            <w:r>
              <w:t>Release gate</w:t>
            </w:r>
          </w:p>
        </w:tc>
      </w:tr>
      <w:tr>
        <w:tc>
          <w:tcPr>
            <w:tcW w:type="dxa" w:w="1999"/>
          </w:tcPr>
          <w:p>
            <w:pPr>
              <w:spacing w:after="40" w:line="240" w:lineRule="auto"/>
            </w:pPr>
            <w:r>
              <w:t>Local development</w:t>
            </w:r>
          </w:p>
        </w:tc>
        <w:tc>
          <w:tcPr>
            <w:tcW w:type="dxa" w:w="1999"/>
          </w:tcPr>
          <w:p>
            <w:pPr>
              <w:spacing w:after="40" w:line="240" w:lineRule="auto"/>
            </w:pPr>
            <w:r>
              <w:t>Rapid engineering</w:t>
            </w:r>
          </w:p>
        </w:tc>
        <w:tc>
          <w:tcPr>
            <w:tcW w:type="dxa" w:w="1999"/>
          </w:tcPr>
          <w:p>
            <w:pPr>
              <w:spacing w:after="40" w:line="240" w:lineRule="auto"/>
            </w:pPr>
            <w:r>
              <w:t>Synthetic fixtures only</w:t>
            </w:r>
          </w:p>
        </w:tc>
        <w:tc>
          <w:tcPr>
            <w:tcW w:type="dxa" w:w="1999"/>
          </w:tcPr>
          <w:p>
            <w:pPr>
              <w:spacing w:after="40" w:line="240" w:lineRule="auto"/>
            </w:pPr>
            <w:r>
              <w:t>Mocks by default</w:t>
            </w:r>
          </w:p>
        </w:tc>
        <w:tc>
          <w:tcPr>
            <w:tcW w:type="dxa" w:w="1999"/>
          </w:tcPr>
          <w:p>
            <w:pPr>
              <w:spacing w:after="40" w:line="240" w:lineRule="auto"/>
            </w:pPr>
            <w:r>
              <w:t>Unit tests and lint pass.</w:t>
            </w:r>
          </w:p>
        </w:tc>
      </w:tr>
      <w:tr>
        <w:tc>
          <w:tcPr>
            <w:tcW w:type="dxa" w:w="1999"/>
          </w:tcPr>
          <w:p>
            <w:pPr>
              <w:spacing w:after="40" w:line="240" w:lineRule="auto"/>
            </w:pPr>
            <w:r>
              <w:t>CI test</w:t>
            </w:r>
          </w:p>
        </w:tc>
        <w:tc>
          <w:tcPr>
            <w:tcW w:type="dxa" w:w="1999"/>
          </w:tcPr>
          <w:p>
            <w:pPr>
              <w:spacing w:after="40" w:line="240" w:lineRule="auto"/>
            </w:pPr>
            <w:r>
              <w:t>Repeatable automated checks</w:t>
            </w:r>
          </w:p>
        </w:tc>
        <w:tc>
          <w:tcPr>
            <w:tcW w:type="dxa" w:w="1999"/>
          </w:tcPr>
          <w:p>
            <w:pPr>
              <w:spacing w:after="40" w:line="240" w:lineRule="auto"/>
            </w:pPr>
            <w:r>
              <w:t>Synthetic fixtures generated per run</w:t>
            </w:r>
          </w:p>
        </w:tc>
        <w:tc>
          <w:tcPr>
            <w:tcW w:type="dxa" w:w="1999"/>
          </w:tcPr>
          <w:p>
            <w:pPr>
              <w:spacing w:after="40" w:line="240" w:lineRule="auto"/>
            </w:pPr>
            <w:r>
              <w:t>Contract simulators</w:t>
            </w:r>
          </w:p>
        </w:tc>
        <w:tc>
          <w:tcPr>
            <w:tcW w:type="dxa" w:w="1999"/>
          </w:tcPr>
          <w:p>
            <w:pPr>
              <w:spacing w:after="40" w:line="240" w:lineRule="auto"/>
            </w:pPr>
            <w:r>
              <w:t>Unit, integration, migration, security, and policy regression tests pass.</w:t>
            </w:r>
          </w:p>
        </w:tc>
      </w:tr>
      <w:tr>
        <w:tc>
          <w:tcPr>
            <w:tcW w:type="dxa" w:w="1999"/>
          </w:tcPr>
          <w:p>
            <w:pPr>
              <w:spacing w:after="40" w:line="240" w:lineRule="auto"/>
            </w:pPr>
            <w:r>
              <w:t>Demo / staging</w:t>
            </w:r>
          </w:p>
        </w:tc>
        <w:tc>
          <w:tcPr>
            <w:tcW w:type="dxa" w:w="1999"/>
          </w:tcPr>
          <w:p>
            <w:pPr>
              <w:spacing w:after="40" w:line="240" w:lineRule="auto"/>
            </w:pPr>
            <w:r>
              <w:t>Judges and pilot workflow</w:t>
            </w:r>
          </w:p>
        </w:tc>
        <w:tc>
          <w:tcPr>
            <w:tcW w:type="dxa" w:w="1999"/>
          </w:tcPr>
          <w:p>
            <w:pPr>
              <w:spacing w:after="40" w:line="240" w:lineRule="auto"/>
            </w:pPr>
            <w:r>
              <w:t>Synthetic or formally approved masked data</w:t>
            </w:r>
          </w:p>
        </w:tc>
        <w:tc>
          <w:tcPr>
            <w:tcW w:type="dxa" w:w="1999"/>
          </w:tcPr>
          <w:p>
            <w:pPr>
              <w:spacing w:after="40" w:line="240" w:lineRule="auto"/>
            </w:pPr>
            <w:r>
              <w:t>Explicitly labelled mock adapters unless authorized sandbox is confirmed</w:t>
            </w:r>
          </w:p>
        </w:tc>
        <w:tc>
          <w:tcPr>
            <w:tcW w:type="dxa" w:w="1999"/>
          </w:tcPr>
          <w:p>
            <w:pPr>
              <w:spacing w:after="40" w:line="240" w:lineRule="auto"/>
            </w:pPr>
            <w:r>
              <w:t>End-to-end demo script and reset procedure tested.</w:t>
            </w:r>
          </w:p>
        </w:tc>
      </w:tr>
      <w:tr>
        <w:tc>
          <w:tcPr>
            <w:tcW w:type="dxa" w:w="1999"/>
          </w:tcPr>
          <w:p>
            <w:pPr>
              <w:spacing w:after="40" w:line="240" w:lineRule="auto"/>
            </w:pPr>
            <w:r>
              <w:t>Pilot</w:t>
            </w:r>
          </w:p>
        </w:tc>
        <w:tc>
          <w:tcPr>
            <w:tcW w:type="dxa" w:w="1999"/>
          </w:tcPr>
          <w:p>
            <w:pPr>
              <w:spacing w:after="40" w:line="240" w:lineRule="auto"/>
            </w:pPr>
            <w:r>
              <w:t>Limited institution trial</w:t>
            </w:r>
          </w:p>
        </w:tc>
        <w:tc>
          <w:tcPr>
            <w:tcW w:type="dxa" w:w="1999"/>
          </w:tcPr>
          <w:p>
            <w:pPr>
              <w:spacing w:after="40" w:line="240" w:lineRule="auto"/>
            </w:pPr>
            <w:r>
              <w:t>Approved minimum necessary data under agreement</w:t>
            </w:r>
          </w:p>
        </w:tc>
        <w:tc>
          <w:tcPr>
            <w:tcW w:type="dxa" w:w="1999"/>
          </w:tcPr>
          <w:p>
            <w:pPr>
              <w:spacing w:after="40" w:line="240" w:lineRule="auto"/>
            </w:pPr>
            <w:r>
              <w:t>Only authorized, tested connectors</w:t>
            </w:r>
          </w:p>
        </w:tc>
        <w:tc>
          <w:tcPr>
            <w:tcW w:type="dxa" w:w="1999"/>
          </w:tcPr>
          <w:p>
            <w:pPr>
              <w:spacing w:after="40" w:line="240" w:lineRule="auto"/>
            </w:pPr>
            <w:r>
              <w:t>Security/privacy/legal approval; incident and support plan.</w:t>
            </w:r>
          </w:p>
        </w:tc>
      </w:tr>
      <w:tr>
        <w:tc>
          <w:tcPr>
            <w:tcW w:type="dxa" w:w="1999"/>
          </w:tcPr>
          <w:p>
            <w:pPr>
              <w:spacing w:after="40" w:line="240" w:lineRule="auto"/>
            </w:pPr>
            <w:r>
              <w:t>Production</w:t>
            </w:r>
          </w:p>
        </w:tc>
        <w:tc>
          <w:tcPr>
            <w:tcW w:type="dxa" w:w="1999"/>
          </w:tcPr>
          <w:p>
            <w:pPr>
              <w:spacing w:after="40" w:line="240" w:lineRule="auto"/>
            </w:pPr>
            <w:r>
              <w:t>Regulated operational use</w:t>
            </w:r>
          </w:p>
        </w:tc>
        <w:tc>
          <w:tcPr>
            <w:tcW w:type="dxa" w:w="1999"/>
          </w:tcPr>
          <w:p>
            <w:pPr>
              <w:spacing w:after="40" w:line="240" w:lineRule="auto"/>
            </w:pPr>
            <w:r>
              <w:t>Approved retention and data-sharing design</w:t>
            </w:r>
          </w:p>
        </w:tc>
        <w:tc>
          <w:tcPr>
            <w:tcW w:type="dxa" w:w="1999"/>
          </w:tcPr>
          <w:p>
            <w:pPr>
              <w:spacing w:after="40" w:line="240" w:lineRule="auto"/>
            </w:pPr>
            <w:r>
              <w:t>Approved production credentials and documented contracts</w:t>
            </w:r>
          </w:p>
        </w:tc>
        <w:tc>
          <w:tcPr>
            <w:tcW w:type="dxa" w:w="1999"/>
          </w:tcPr>
          <w:p>
            <w:pPr>
              <w:spacing w:after="40" w:line="240" w:lineRule="auto"/>
            </w:pPr>
            <w:r>
              <w:t>Formal release approval, monitoring, backup/restore and audit readiness.</w:t>
            </w:r>
          </w:p>
        </w:tc>
      </w:tr>
    </w:tbl>
    <w:p>
      <w:pPr>
        <w:pStyle w:val="Heading3"/>
        <w:keepNext/>
      </w:pPr>
      <w:r>
        <w:t>23.1 Recommended prototype topology</w:t>
      </w:r>
    </w:p>
    <w:p>
      <w:r>
        <w:t>For the SIH build, use a modular monolith with clear internal service boundaries, a relational database, background worker for batch processing, object storage for controlled upload staging, and a secret-management boundary. Deploy the frontend, API, worker, and database as separate processes or managed services only where this materially improves reliability. Do not begin with a distributed microservice mesh.</w:t>
      </w:r>
    </w:p>
    <w:p>
      <w:pPr>
        <w:pStyle w:val="Heading3"/>
        <w:keepNext/>
      </w:pPr>
      <w:r>
        <w:t>23.2 Operational requirements</w:t>
      </w:r>
    </w:p>
    <w:p>
      <w:pPr>
        <w:pStyle w:val="ListBullet"/>
      </w:pPr>
      <w:r>
        <w:t>Health endpoints distinguish liveness from readiness; readiness checks database and required dependencies.</w:t>
      </w:r>
    </w:p>
    <w:p>
      <w:pPr>
        <w:pStyle w:val="ListBullet"/>
      </w:pPr>
      <w:r>
        <w:t>Backups are encrypted and restore-tested; backup retention follows approved policy.</w:t>
      </w:r>
    </w:p>
    <w:p>
      <w:pPr>
        <w:pStyle w:val="ListBullet"/>
      </w:pPr>
      <w:r>
        <w:t>Background jobs use bounded retries, exponential backoff, dead-letter/quarantine state, and idempotent handlers.</w:t>
      </w:r>
    </w:p>
    <w:p>
      <w:pPr>
        <w:pStyle w:val="ListBullet"/>
      </w:pPr>
      <w:r>
        <w:t>All batch and integration jobs carry correlation IDs; error details shown to users are safe and actionable.</w:t>
      </w:r>
    </w:p>
    <w:p>
      <w:pPr>
        <w:pStyle w:val="ListBullet"/>
      </w:pPr>
      <w:r>
        <w:t>Configuration changes are versioned; production secrets are injected at runtime, not committed.</w:t>
      </w:r>
    </w:p>
    <w:p>
      <w:pPr>
        <w:pStyle w:val="ListBullet"/>
      </w:pPr>
      <w:r>
        <w:t>Define RPO/RTO only after the service owner supplies availability requirements; do not invent targets.</w:t>
      </w:r>
    </w:p>
    <w:p>
      <w:pPr>
        <w:pStyle w:val="Heading2"/>
        <w:keepNext/>
      </w:pPr>
      <w:r>
        <w:t>24. Performance and accuracy evaluation protocol</w:t>
      </w:r>
    </w:p>
    <w:p>
      <w:r>
        <w:t>Performance figures in the source are hypotheses/targets unless a reproducible benchmark is attached. No precision, false-accept rate, latency, or throughput claim should be presented as measured without the dataset, hardware, software version, method, and test output.</w:t>
      </w:r>
    </w:p>
    <w:tbl>
      <w:tblPr>
        <w:tblStyle w:val="LightShading-Accent1"/>
        <w:tblW w:type="auto" w:w="0"/>
        <w:tblLayout w:type="autofit"/>
        <w:tblLook w:firstColumn="1" w:firstRow="1" w:lastColumn="0" w:lastRow="0" w:noHBand="0" w:noVBand="1" w:val="04A0"/>
      </w:tblPr>
      <w:tblGrid>
        <w:gridCol w:w="3331"/>
        <w:gridCol w:w="3331"/>
        <w:gridCol w:w="3331"/>
      </w:tblGrid>
      <w:tr>
        <w:tc>
          <w:tcPr>
            <w:tcW w:type="dxa" w:w="3331"/>
          </w:tcPr>
          <w:p>
            <w:pPr>
              <w:spacing w:after="40" w:line="240" w:lineRule="auto"/>
            </w:pPr>
            <w:r>
              <w:t>Measure</w:t>
            </w:r>
          </w:p>
        </w:tc>
        <w:tc>
          <w:tcPr>
            <w:tcW w:type="dxa" w:w="3331"/>
          </w:tcPr>
          <w:p>
            <w:pPr>
              <w:spacing w:after="40" w:line="240" w:lineRule="auto"/>
            </w:pPr>
            <w:r>
              <w:t>Protocol</w:t>
            </w:r>
          </w:p>
        </w:tc>
        <w:tc>
          <w:tcPr>
            <w:tcW w:type="dxa" w:w="3331"/>
          </w:tcPr>
          <w:p>
            <w:pPr>
              <w:spacing w:after="40" w:line="240" w:lineRule="auto"/>
            </w:pPr>
            <w:r>
              <w:t>Report</w:t>
            </w:r>
          </w:p>
        </w:tc>
      </w:tr>
      <w:tr>
        <w:tc>
          <w:tcPr>
            <w:tcW w:type="dxa" w:w="3331"/>
          </w:tcPr>
          <w:p>
            <w:pPr>
              <w:spacing w:after="40" w:line="240" w:lineRule="auto"/>
            </w:pPr>
            <w:r>
              <w:t>Roster ingestion</w:t>
            </w:r>
          </w:p>
        </w:tc>
        <w:tc>
          <w:tcPr>
            <w:tcW w:type="dxa" w:w="3331"/>
          </w:tcPr>
          <w:p>
            <w:pPr>
              <w:spacing w:after="40" w:line="240" w:lineRule="auto"/>
            </w:pPr>
            <w:r>
              <w:t>Run increasing batch sizes with fixed schemas and controlled concurrency.</w:t>
            </w:r>
          </w:p>
        </w:tc>
        <w:tc>
          <w:tcPr>
            <w:tcW w:type="dxa" w:w="3331"/>
          </w:tcPr>
          <w:p>
            <w:pPr>
              <w:spacing w:after="40" w:line="240" w:lineRule="auto"/>
            </w:pPr>
            <w:r>
              <w:t>Rows/second, p50/p95/p99 time, error rate, memory, CPU, hardware.</w:t>
            </w:r>
          </w:p>
        </w:tc>
      </w:tr>
      <w:tr>
        <w:tc>
          <w:tcPr>
            <w:tcW w:type="dxa" w:w="3331"/>
          </w:tcPr>
          <w:p>
            <w:pPr>
              <w:spacing w:after="40" w:line="240" w:lineRule="auto"/>
            </w:pPr>
            <w:r>
              <w:t>Reconciliation determinism</w:t>
            </w:r>
          </w:p>
        </w:tc>
        <w:tc>
          <w:tcPr>
            <w:tcW w:type="dxa" w:w="3331"/>
          </w:tcPr>
          <w:p>
            <w:pPr>
              <w:spacing w:after="40" w:line="240" w:lineRule="auto"/>
            </w:pPr>
            <w:r>
              <w:t>Repeat same input digest and policy version multiple times; compare output digest.</w:t>
            </w:r>
          </w:p>
        </w:tc>
        <w:tc>
          <w:tcPr>
            <w:tcW w:type="dxa" w:w="3331"/>
          </w:tcPr>
          <w:p>
            <w:pPr>
              <w:spacing w:after="40" w:line="240" w:lineRule="auto"/>
            </w:pPr>
            <w:r>
              <w:t>Number of mismatches; all mismatches investigated.</w:t>
            </w:r>
          </w:p>
        </w:tc>
      </w:tr>
      <w:tr>
        <w:tc>
          <w:tcPr>
            <w:tcW w:type="dxa" w:w="3331"/>
          </w:tcPr>
          <w:p>
            <w:pPr>
              <w:spacing w:after="40" w:line="240" w:lineRule="auto"/>
            </w:pPr>
            <w:r>
              <w:t>Identity matching quality</w:t>
            </w:r>
          </w:p>
        </w:tc>
        <w:tc>
          <w:tcPr>
            <w:tcW w:type="dxa" w:w="3331"/>
          </w:tcPr>
          <w:p>
            <w:pPr>
              <w:spacing w:after="40" w:line="240" w:lineRule="auto"/>
            </w:pPr>
            <w:r>
              <w:t>Use a labelled synthetic test set including spelling variants, shared names, missing identifiers, shared/recycled phones, and deliberately hard negatives.</w:t>
            </w:r>
          </w:p>
        </w:tc>
        <w:tc>
          <w:tcPr>
            <w:tcW w:type="dxa" w:w="3331"/>
          </w:tcPr>
          <w:p>
            <w:pPr>
              <w:spacing w:after="40" w:line="240" w:lineRule="auto"/>
            </w:pPr>
            <w:r>
              <w:t>Precision/recall, false candidate rate, false negative rate, confidence intervals, dataset construction.</w:t>
            </w:r>
          </w:p>
        </w:tc>
      </w:tr>
      <w:tr>
        <w:tc>
          <w:tcPr>
            <w:tcW w:type="dxa" w:w="3331"/>
          </w:tcPr>
          <w:p>
            <w:pPr>
              <w:spacing w:after="40" w:line="240" w:lineRule="auto"/>
            </w:pPr>
            <w:r>
              <w:t>Privacy leakage tests</w:t>
            </w:r>
          </w:p>
        </w:tc>
        <w:tc>
          <w:tcPr>
            <w:tcW w:type="dxa" w:w="3331"/>
          </w:tcPr>
          <w:p>
            <w:pPr>
              <w:spacing w:after="40" w:line="240" w:lineRule="auto"/>
            </w:pPr>
            <w:r>
              <w:t>Attempt frequency analysis, linkage across scopes, and inference from query results.</w:t>
            </w:r>
          </w:p>
        </w:tc>
        <w:tc>
          <w:tcPr>
            <w:tcW w:type="dxa" w:w="3331"/>
          </w:tcPr>
          <w:p>
            <w:pPr>
              <w:spacing w:after="40" w:line="240" w:lineRule="auto"/>
            </w:pPr>
            <w:r>
              <w:t>Attack setup, success rate, mitigations, residual risk.</w:t>
            </w:r>
          </w:p>
        </w:tc>
      </w:tr>
      <w:tr>
        <w:tc>
          <w:tcPr>
            <w:tcW w:type="dxa" w:w="3331"/>
          </w:tcPr>
          <w:p>
            <w:pPr>
              <w:spacing w:after="40" w:line="240" w:lineRule="auto"/>
            </w:pPr>
            <w:r>
              <w:t>Authorization</w:t>
            </w:r>
          </w:p>
        </w:tc>
        <w:tc>
          <w:tcPr>
            <w:tcW w:type="dxa" w:w="3331"/>
          </w:tcPr>
          <w:p>
            <w:pPr>
              <w:spacing w:after="40" w:line="240" w:lineRule="auto"/>
            </w:pPr>
            <w:r>
              <w:t>Test all role/resource combinations, including guessed IDs and cross-tenant object references.</w:t>
            </w:r>
          </w:p>
        </w:tc>
        <w:tc>
          <w:tcPr>
            <w:tcW w:type="dxa" w:w="3331"/>
          </w:tcPr>
          <w:p>
            <w:pPr>
              <w:spacing w:after="40" w:line="240" w:lineRule="auto"/>
            </w:pPr>
            <w:r>
              <w:t>Denied/allowed cases and any failures.</w:t>
            </w:r>
          </w:p>
        </w:tc>
      </w:tr>
      <w:tr>
        <w:tc>
          <w:tcPr>
            <w:tcW w:type="dxa" w:w="3331"/>
          </w:tcPr>
          <w:p>
            <w:pPr>
              <w:spacing w:after="40" w:line="240" w:lineRule="auto"/>
            </w:pPr>
            <w:r>
              <w:t>Integration resilience</w:t>
            </w:r>
          </w:p>
        </w:tc>
        <w:tc>
          <w:tcPr>
            <w:tcW w:type="dxa" w:w="3331"/>
          </w:tcPr>
          <w:p>
            <w:pPr>
              <w:spacing w:after="40" w:line="240" w:lineRule="auto"/>
            </w:pPr>
            <w:r>
              <w:t>Inject timeout, malformed response, expired credential, duplicate webhook, and prolonged outage.</w:t>
            </w:r>
          </w:p>
        </w:tc>
        <w:tc>
          <w:tcPr>
            <w:tcW w:type="dxa" w:w="3331"/>
          </w:tcPr>
          <w:p>
            <w:pPr>
              <w:spacing w:after="40" w:line="240" w:lineRule="auto"/>
            </w:pPr>
            <w:r>
              <w:t>Retry behavior, data integrity, alert time, recovery.</w:t>
            </w:r>
          </w:p>
        </w:tc>
      </w:tr>
      <w:tr>
        <w:tc>
          <w:tcPr>
            <w:tcW w:type="dxa" w:w="3331"/>
          </w:tcPr>
          <w:p>
            <w:pPr>
              <w:spacing w:after="40" w:line="240" w:lineRule="auto"/>
            </w:pPr>
            <w:r>
              <w:t>Audit integrity</w:t>
            </w:r>
          </w:p>
        </w:tc>
        <w:tc>
          <w:tcPr>
            <w:tcW w:type="dxa" w:w="3331"/>
          </w:tcPr>
          <w:p>
            <w:pPr>
              <w:spacing w:after="40" w:line="240" w:lineRule="auto"/>
            </w:pPr>
            <w:r>
              <w:t>Attempt modification/deletion through application and database roles; restore from backup.</w:t>
            </w:r>
          </w:p>
        </w:tc>
        <w:tc>
          <w:tcPr>
            <w:tcW w:type="dxa" w:w="3331"/>
          </w:tcPr>
          <w:p>
            <w:pPr>
              <w:spacing w:after="40" w:line="240" w:lineRule="auto"/>
            </w:pPr>
            <w:r>
              <w:t>Detected tampering, privilege boundaries, recovery evidence.</w:t>
            </w:r>
          </w:p>
        </w:tc>
      </w:tr>
    </w:tbl>
    <w:p>
      <w:pPr>
        <w:pStyle w:val="Heading3"/>
        <w:keepNext/>
      </w:pPr>
      <w:r>
        <w:t>24.1 Benchmark reporting template</w:t>
      </w:r>
    </w:p>
    <w:p>
      <w:r>
        <w:t>Record: test date; commit hash; build version; environment; CPU/RAM/storage; database version; dataset size and generation seed; concurrency; warm-up method; number of runs; p50/p95/p99; error rate; precision/recall definitions; confidence intervals; known limitations; raw results location.</w:t>
      </w:r>
    </w:p>
    <w:p>
      <w:pPr>
        <w:pStyle w:val="Heading2"/>
        <w:keepNext/>
      </w:pPr>
      <w:r>
        <w:t>25. Implementation backlog and milestones</w:t>
      </w:r>
    </w:p>
    <w:tbl>
      <w:tblPr>
        <w:tblStyle w:val="LightShading-Accent1"/>
        <w:tblW w:type="auto" w:w="0"/>
        <w:tblLayout w:type="autofit"/>
        <w:tblLook w:firstColumn="1" w:firstRow="1" w:lastColumn="0" w:lastRow="0" w:noHBand="0" w:noVBand="1" w:val="04A0"/>
      </w:tblPr>
      <w:tblGrid>
        <w:gridCol w:w="2498"/>
        <w:gridCol w:w="2498"/>
        <w:gridCol w:w="2498"/>
        <w:gridCol w:w="2498"/>
      </w:tblGrid>
      <w:tr>
        <w:tc>
          <w:tcPr>
            <w:tcW w:type="dxa" w:w="2498"/>
          </w:tcPr>
          <w:p>
            <w:pPr>
              <w:spacing w:after="40" w:line="240" w:lineRule="auto"/>
            </w:pPr>
            <w:r>
              <w:t>Phase</w:t>
            </w:r>
          </w:p>
        </w:tc>
        <w:tc>
          <w:tcPr>
            <w:tcW w:type="dxa" w:w="2498"/>
          </w:tcPr>
          <w:p>
            <w:pPr>
              <w:spacing w:after="40" w:line="240" w:lineRule="auto"/>
            </w:pPr>
            <w:r>
              <w:t>Deliverables</w:t>
            </w:r>
          </w:p>
        </w:tc>
        <w:tc>
          <w:tcPr>
            <w:tcW w:type="dxa" w:w="2498"/>
          </w:tcPr>
          <w:p>
            <w:pPr>
              <w:spacing w:after="40" w:line="240" w:lineRule="auto"/>
            </w:pPr>
            <w:r>
              <w:t>Definition of done</w:t>
            </w:r>
          </w:p>
        </w:tc>
        <w:tc>
          <w:tcPr>
            <w:tcW w:type="dxa" w:w="2498"/>
          </w:tcPr>
          <w:p>
            <w:pPr>
              <w:spacing w:after="40" w:line="240" w:lineRule="auto"/>
            </w:pPr>
            <w:r>
              <w:t>Explicitly deferred</w:t>
            </w:r>
          </w:p>
        </w:tc>
      </w:tr>
      <w:tr>
        <w:tc>
          <w:tcPr>
            <w:tcW w:type="dxa" w:w="2498"/>
          </w:tcPr>
          <w:p>
            <w:pPr>
              <w:spacing w:after="40" w:line="240" w:lineRule="auto"/>
            </w:pPr>
            <w:r>
              <w:t>P0 — Foundation</w:t>
            </w:r>
          </w:p>
        </w:tc>
        <w:tc>
          <w:tcPr>
            <w:tcW w:type="dxa" w:w="2498"/>
          </w:tcPr>
          <w:p>
            <w:pPr>
              <w:spacing w:after="40" w:line="240" w:lineRule="auto"/>
            </w:pPr>
            <w:r>
              <w:t>Repository, architecture decision records, schema baseline, synthetic fixture generator, authentication and tenant scope</w:t>
            </w:r>
          </w:p>
        </w:tc>
        <w:tc>
          <w:tcPr>
            <w:tcW w:type="dxa" w:w="2498"/>
          </w:tcPr>
          <w:p>
            <w:pPr>
              <w:spacing w:after="40" w:line="240" w:lineRule="auto"/>
            </w:pPr>
            <w:r>
              <w:t>CI passes; migrations repeatable; demo data resettable; roles tested</w:t>
            </w:r>
          </w:p>
        </w:tc>
        <w:tc>
          <w:tcPr>
            <w:tcW w:type="dxa" w:w="2498"/>
          </w:tcPr>
          <w:p>
            <w:pPr>
              <w:spacing w:after="40" w:line="240" w:lineRule="auto"/>
            </w:pPr>
            <w:r>
              <w:t>Live government APIs; credential issuance.</w:t>
            </w:r>
          </w:p>
        </w:tc>
      </w:tr>
      <w:tr>
        <w:tc>
          <w:tcPr>
            <w:tcW w:type="dxa" w:w="2498"/>
          </w:tcPr>
          <w:p>
            <w:pPr>
              <w:spacing w:after="40" w:line="240" w:lineRule="auto"/>
            </w:pPr>
            <w:r>
              <w:t>P1 — Intake vertical slice</w:t>
            </w:r>
          </w:p>
        </w:tc>
        <w:tc>
          <w:tcPr>
            <w:tcW w:type="dxa" w:w="2498"/>
          </w:tcPr>
          <w:p>
            <w:pPr>
              <w:spacing w:after="40" w:line="240" w:lineRule="auto"/>
            </w:pPr>
            <w:r>
              <w:t>CSV/XLSX upload, mapping, row validation, checksum, batch state machine</w:t>
            </w:r>
          </w:p>
        </w:tc>
        <w:tc>
          <w:tcPr>
            <w:tcW w:type="dxa" w:w="2498"/>
          </w:tcPr>
          <w:p>
            <w:pPr>
              <w:spacing w:after="40" w:line="240" w:lineRule="auto"/>
            </w:pPr>
            <w:r>
              <w:t>Valid/invalid fixtures produce expected row counts; no silent loss; idempotency tested</w:t>
            </w:r>
          </w:p>
        </w:tc>
        <w:tc>
          <w:tcPr>
            <w:tcW w:type="dxa" w:w="2498"/>
          </w:tcPr>
          <w:p>
            <w:pPr>
              <w:spacing w:after="40" w:line="240" w:lineRule="auto"/>
            </w:pPr>
            <w:r>
              <w:t>Complex campus ERP integrations.</w:t>
            </w:r>
          </w:p>
        </w:tc>
      </w:tr>
      <w:tr>
        <w:tc>
          <w:tcPr>
            <w:tcW w:type="dxa" w:w="2498"/>
          </w:tcPr>
          <w:p>
            <w:pPr>
              <w:spacing w:after="40" w:line="240" w:lineRule="auto"/>
            </w:pPr>
            <w:r>
              <w:t>P2 — Approved-intake reconciliation</w:t>
            </w:r>
          </w:p>
        </w:tc>
        <w:tc>
          <w:tcPr>
            <w:tcW w:type="dxa" w:w="2498"/>
          </w:tcPr>
          <w:p>
            <w:pPr>
              <w:spacing w:after="40" w:line="240" w:lineRule="auto"/>
            </w:pPr>
            <w:r>
              <w:t>Versioned intake snapshots, deterministic rules, discrepancy report</w:t>
            </w:r>
          </w:p>
        </w:tc>
        <w:tc>
          <w:tcPr>
            <w:tcW w:type="dxa" w:w="2498"/>
          </w:tcPr>
          <w:p>
            <w:pPr>
              <w:spacing w:after="40" w:line="240" w:lineRule="auto"/>
            </w:pPr>
            <w:r>
              <w:t>Boundary tests pass; each result cites snapshot and policy version</w:t>
            </w:r>
          </w:p>
        </w:tc>
        <w:tc>
          <w:tcPr>
            <w:tcW w:type="dxa" w:w="2498"/>
          </w:tcPr>
          <w:p>
            <w:pPr>
              <w:spacing w:after="40" w:line="240" w:lineRule="auto"/>
            </w:pPr>
            <w:r>
              <w:t>Unverified quota rules in production mode.</w:t>
            </w:r>
          </w:p>
        </w:tc>
      </w:tr>
      <w:tr>
        <w:tc>
          <w:tcPr>
            <w:tcW w:type="dxa" w:w="2498"/>
          </w:tcPr>
          <w:p>
            <w:pPr>
              <w:spacing w:after="40" w:line="240" w:lineRule="auto"/>
            </w:pPr>
            <w:r>
              <w:t>P3 — Identity linkage prototype</w:t>
            </w:r>
          </w:p>
        </w:tc>
        <w:tc>
          <w:tcPr>
            <w:tcW w:type="dxa" w:w="2498"/>
          </w:tcPr>
          <w:p>
            <w:pPr>
              <w:spacing w:after="40" w:line="240" w:lineRule="auto"/>
            </w:pPr>
            <w:r>
              <w:t>Institution-local vault simulation, exact token path, PPRL candidate generation, review UI</w:t>
            </w:r>
          </w:p>
        </w:tc>
        <w:tc>
          <w:tcPr>
            <w:tcW w:type="dxa" w:w="2498"/>
          </w:tcPr>
          <w:p>
            <w:pPr>
              <w:spacing w:after="40" w:line="240" w:lineRule="auto"/>
            </w:pPr>
            <w:r>
              <w:t>No plaintext PII in central matcher tables/logs; privacy tests documented</w:t>
            </w:r>
          </w:p>
        </w:tc>
        <w:tc>
          <w:tcPr>
            <w:tcW w:type="dxa" w:w="2498"/>
          </w:tcPr>
          <w:p>
            <w:pPr>
              <w:spacing w:after="40" w:line="240" w:lineRule="auto"/>
            </w:pPr>
            <w:r>
              <w:t>Production PPRL claim before independent review.</w:t>
            </w:r>
          </w:p>
        </w:tc>
      </w:tr>
      <w:tr>
        <w:tc>
          <w:tcPr>
            <w:tcW w:type="dxa" w:w="2498"/>
          </w:tcPr>
          <w:p>
            <w:pPr>
              <w:spacing w:after="40" w:line="240" w:lineRule="auto"/>
            </w:pPr>
            <w:r>
              <w:t>P4 — Adjudication and audit</w:t>
            </w:r>
          </w:p>
        </w:tc>
        <w:tc>
          <w:tcPr>
            <w:tcW w:type="dxa" w:w="2498"/>
          </w:tcPr>
          <w:p>
            <w:pPr>
              <w:spacing w:after="40" w:line="240" w:lineRule="auto"/>
            </w:pPr>
            <w:r>
              <w:t>Case queue, reason codes, decision history, correction/appeal path, audit events</w:t>
            </w:r>
          </w:p>
        </w:tc>
        <w:tc>
          <w:tcPr>
            <w:tcW w:type="dxa" w:w="2498"/>
          </w:tcPr>
          <w:p>
            <w:pPr>
              <w:spacing w:after="40" w:line="240" w:lineRule="auto"/>
            </w:pPr>
            <w:r>
              <w:t>No penalty from score alone; every decision is reproducible</w:t>
            </w:r>
          </w:p>
        </w:tc>
        <w:tc>
          <w:tcPr>
            <w:tcW w:type="dxa" w:w="2498"/>
          </w:tcPr>
          <w:p>
            <w:pPr>
              <w:spacing w:after="40" w:line="240" w:lineRule="auto"/>
            </w:pPr>
            <w:r>
              <w:t>Automated adverse enforcement.</w:t>
            </w:r>
          </w:p>
        </w:tc>
      </w:tr>
      <w:tr>
        <w:tc>
          <w:tcPr>
            <w:tcW w:type="dxa" w:w="2498"/>
          </w:tcPr>
          <w:p>
            <w:pPr>
              <w:spacing w:after="40" w:line="240" w:lineRule="auto"/>
            </w:pPr>
            <w:r>
              <w:t>P5 — Verification and adapters</w:t>
            </w:r>
          </w:p>
        </w:tc>
        <w:tc>
          <w:tcPr>
            <w:tcW w:type="dxa" w:w="2498"/>
          </w:tcPr>
          <w:p>
            <w:pPr>
              <w:spacing w:after="40" w:line="240" w:lineRule="auto"/>
            </w:pPr>
            <w:r>
              <w:t>Purpose-limited request workflow, mock adapter contracts, adapter status monitor</w:t>
            </w:r>
          </w:p>
        </w:tc>
        <w:tc>
          <w:tcPr>
            <w:tcW w:type="dxa" w:w="2498"/>
          </w:tcPr>
          <w:p>
            <w:pPr>
              <w:spacing w:after="40" w:line="240" w:lineRule="auto"/>
            </w:pPr>
            <w:r>
              <w:t>Mock/live status cannot be confused; minimum claims enforced</w:t>
            </w:r>
          </w:p>
        </w:tc>
        <w:tc>
          <w:tcPr>
            <w:tcW w:type="dxa" w:w="2498"/>
          </w:tcPr>
          <w:p>
            <w:pPr>
              <w:spacing w:after="40" w:line="240" w:lineRule="auto"/>
            </w:pPr>
            <w:r>
              <w:t>Production credentials and real integration until approved.</w:t>
            </w:r>
          </w:p>
        </w:tc>
      </w:tr>
      <w:tr>
        <w:tc>
          <w:tcPr>
            <w:tcW w:type="dxa" w:w="2498"/>
          </w:tcPr>
          <w:p>
            <w:pPr>
              <w:spacing w:after="40" w:line="240" w:lineRule="auto"/>
            </w:pPr>
            <w:r>
              <w:t>P6 — Pilot hardening</w:t>
            </w:r>
          </w:p>
        </w:tc>
        <w:tc>
          <w:tcPr>
            <w:tcW w:type="dxa" w:w="2498"/>
          </w:tcPr>
          <w:p>
            <w:pPr>
              <w:spacing w:after="40" w:line="240" w:lineRule="auto"/>
            </w:pPr>
            <w:r>
              <w:t>Security review, retention/deletion jobs, backup/restore, observability, operator runbooks</w:t>
            </w:r>
          </w:p>
        </w:tc>
        <w:tc>
          <w:tcPr>
            <w:tcW w:type="dxa" w:w="2498"/>
          </w:tcPr>
          <w:p>
            <w:pPr>
              <w:spacing w:after="40" w:line="240" w:lineRule="auto"/>
            </w:pPr>
            <w:r>
              <w:t>Release gate checklist signed off by accountable owners</w:t>
            </w:r>
          </w:p>
        </w:tc>
        <w:tc>
          <w:tcPr>
            <w:tcW w:type="dxa" w:w="2498"/>
          </w:tcPr>
          <w:p>
            <w:pPr>
              <w:spacing w:after="40" w:line="240" w:lineRule="auto"/>
            </w:pPr>
            <w:r>
              <w:t>Production release without governance approvals.</w:t>
            </w:r>
          </w:p>
        </w:tc>
      </w:tr>
    </w:tbl>
    <w:p>
      <w:pPr>
        <w:pStyle w:val="Heading3"/>
        <w:keepNext/>
      </w:pPr>
      <w:r>
        <w:t>25.1 Suggested sprint order</w:t>
      </w:r>
    </w:p>
    <w:p>
      <w:pPr>
        <w:pStyle w:val="ListBullet"/>
      </w:pPr>
      <w:r>
        <w:t>Sprint 1: domain model, synthetic data, auth/tenant isolation, batch state machine.</w:t>
      </w:r>
    </w:p>
    <w:p>
      <w:pPr>
        <w:pStyle w:val="ListBullet"/>
      </w:pPr>
      <w:r>
        <w:t>Sprint 2: import, validation, approved-intake snapshots, reconciliation report.</w:t>
      </w:r>
    </w:p>
    <w:p>
      <w:pPr>
        <w:pStyle w:val="ListBullet"/>
      </w:pPr>
      <w:r>
        <w:t>Sprint 3: local identity vault simulation, exact linkage, candidate case workflow.</w:t>
      </w:r>
    </w:p>
    <w:p>
      <w:pPr>
        <w:pStyle w:val="ListBullet"/>
      </w:pPr>
      <w:r>
        <w:t>Sprint 4: policy versioning, adjudication, audit log, reviewer screens.</w:t>
      </w:r>
    </w:p>
    <w:p>
      <w:pPr>
        <w:pStyle w:val="ListBullet"/>
      </w:pPr>
      <w:r>
        <w:t>Sprint 5: purpose-limited verification, mock integrations, operational dashboards.</w:t>
      </w:r>
    </w:p>
    <w:p>
      <w:pPr>
        <w:pStyle w:val="ListBullet"/>
      </w:pPr>
      <w:r>
        <w:t>Sprint 6: threat tests, performance protocol, demo polish, documentation, release rehearsal.</w:t>
      </w:r>
    </w:p>
    <w:p>
      <w:r>
        <w:t>This sprint sequence is a planning proposal; adjust it to team size, the official submission deadline, and demonstrated progress. It is not a guarantee of delivery.</w:t>
      </w:r>
    </w:p>
    <w:p>
      <w:pPr>
        <w:pStyle w:val="Heading2"/>
        <w:keepNext/>
      </w:pPr>
      <w:r>
        <w:t>26. UI and role-based screen inventory</w:t>
      </w:r>
    </w:p>
    <w:tbl>
      <w:tblPr>
        <w:tblStyle w:val="LightShading-Accent1"/>
        <w:tblW w:type="auto" w:w="0"/>
        <w:tblLayout w:type="autofit"/>
        <w:tblLook w:firstColumn="1" w:firstRow="1" w:lastColumn="0" w:lastRow="0" w:noHBand="0" w:noVBand="1" w:val="04A0"/>
      </w:tblPr>
      <w:tblGrid>
        <w:gridCol w:w="2498"/>
        <w:gridCol w:w="2498"/>
        <w:gridCol w:w="2498"/>
        <w:gridCol w:w="2498"/>
      </w:tblGrid>
      <w:tr>
        <w:tc>
          <w:tcPr>
            <w:tcW w:type="dxa" w:w="2498"/>
          </w:tcPr>
          <w:p>
            <w:pPr>
              <w:spacing w:after="40" w:line="240" w:lineRule="auto"/>
            </w:pPr>
            <w:r>
              <w:t>Screen</w:t>
            </w:r>
          </w:p>
        </w:tc>
        <w:tc>
          <w:tcPr>
            <w:tcW w:type="dxa" w:w="2498"/>
          </w:tcPr>
          <w:p>
            <w:pPr>
              <w:spacing w:after="40" w:line="240" w:lineRule="auto"/>
            </w:pPr>
            <w:r>
              <w:t>Primary user</w:t>
            </w:r>
          </w:p>
        </w:tc>
        <w:tc>
          <w:tcPr>
            <w:tcW w:type="dxa" w:w="2498"/>
          </w:tcPr>
          <w:p>
            <w:pPr>
              <w:spacing w:after="40" w:line="240" w:lineRule="auto"/>
            </w:pPr>
            <w:r>
              <w:t>Required elements</w:t>
            </w:r>
          </w:p>
        </w:tc>
        <w:tc>
          <w:tcPr>
            <w:tcW w:type="dxa" w:w="2498"/>
          </w:tcPr>
          <w:p>
            <w:pPr>
              <w:spacing w:after="40" w:line="240" w:lineRule="auto"/>
            </w:pPr>
            <w:r>
              <w:t>Critical restriction</w:t>
            </w:r>
          </w:p>
        </w:tc>
      </w:tr>
      <w:tr>
        <w:tc>
          <w:tcPr>
            <w:tcW w:type="dxa" w:w="2498"/>
          </w:tcPr>
          <w:p>
            <w:pPr>
              <w:spacing w:after="40" w:line="240" w:lineRule="auto"/>
            </w:pPr>
            <w:r>
              <w:t>Institution dashboard</w:t>
            </w:r>
          </w:p>
        </w:tc>
        <w:tc>
          <w:tcPr>
            <w:tcW w:type="dxa" w:w="2498"/>
          </w:tcPr>
          <w:p>
            <w:pPr>
              <w:spacing w:after="40" w:line="240" w:lineRule="auto"/>
            </w:pPr>
            <w:r>
              <w:t>Institution operator</w:t>
            </w:r>
          </w:p>
        </w:tc>
        <w:tc>
          <w:tcPr>
            <w:tcW w:type="dxa" w:w="2498"/>
          </w:tcPr>
          <w:p>
            <w:pPr>
              <w:spacing w:after="40" w:line="240" w:lineRule="auto"/>
            </w:pPr>
            <w:r>
              <w:t>Batch status, row errors, open cases, intake variance, correction actions</w:t>
            </w:r>
          </w:p>
        </w:tc>
        <w:tc>
          <w:tcPr>
            <w:tcW w:type="dxa" w:w="2498"/>
          </w:tcPr>
          <w:p>
            <w:pPr>
              <w:spacing w:after="40" w:line="240" w:lineRule="auto"/>
            </w:pPr>
            <w:r>
              <w:t>Only own institution's records.</w:t>
            </w:r>
          </w:p>
        </w:tc>
      </w:tr>
      <w:tr>
        <w:tc>
          <w:tcPr>
            <w:tcW w:type="dxa" w:w="2498"/>
          </w:tcPr>
          <w:p>
            <w:pPr>
              <w:spacing w:after="40" w:line="240" w:lineRule="auto"/>
            </w:pPr>
            <w:r>
              <w:t>Batch import wizard</w:t>
            </w:r>
          </w:p>
        </w:tc>
        <w:tc>
          <w:tcPr>
            <w:tcW w:type="dxa" w:w="2498"/>
          </w:tcPr>
          <w:p>
            <w:pPr>
              <w:spacing w:after="40" w:line="240" w:lineRule="auto"/>
            </w:pPr>
            <w:r>
              <w:t>Data operator</w:t>
            </w:r>
          </w:p>
        </w:tc>
        <w:tc>
          <w:tcPr>
            <w:tcW w:type="dxa" w:w="2498"/>
          </w:tcPr>
          <w:p>
            <w:pPr>
              <w:spacing w:after="40" w:line="240" w:lineRule="auto"/>
            </w:pPr>
            <w:r>
              <w:t>File upload, mapping preview, validation summary, duplicate-row warning, checksum and schema version</w:t>
            </w:r>
          </w:p>
        </w:tc>
        <w:tc>
          <w:tcPr>
            <w:tcW w:type="dxa" w:w="2498"/>
          </w:tcPr>
          <w:p>
            <w:pPr>
              <w:spacing w:after="40" w:line="240" w:lineRule="auto"/>
            </w:pPr>
            <w:r>
              <w:t>Do not expose another institution's roster.</w:t>
            </w:r>
          </w:p>
        </w:tc>
      </w:tr>
      <w:tr>
        <w:tc>
          <w:tcPr>
            <w:tcW w:type="dxa" w:w="2498"/>
          </w:tcPr>
          <w:p>
            <w:pPr>
              <w:spacing w:after="40" w:line="240" w:lineRule="auto"/>
            </w:pPr>
            <w:r>
              <w:t>Intake reconciliation</w:t>
            </w:r>
          </w:p>
        </w:tc>
        <w:tc>
          <w:tcPr>
            <w:tcW w:type="dxa" w:w="2498"/>
          </w:tcPr>
          <w:p>
            <w:pPr>
              <w:spacing w:after="40" w:line="240" w:lineRule="auto"/>
            </w:pPr>
            <w:r>
              <w:t>Nodal officer / reviewer</w:t>
            </w:r>
          </w:p>
        </w:tc>
        <w:tc>
          <w:tcPr>
            <w:tcW w:type="dxa" w:w="2498"/>
          </w:tcPr>
          <w:p>
            <w:pPr>
              <w:spacing w:after="40" w:line="240" w:lineRule="auto"/>
            </w:pPr>
            <w:r>
              <w:t>Approved snapshot, category counts, formula trace, variance, unresolved fields</w:t>
            </w:r>
          </w:p>
        </w:tc>
        <w:tc>
          <w:tcPr>
            <w:tcW w:type="dxa" w:w="2498"/>
          </w:tcPr>
          <w:p>
            <w:pPr>
              <w:spacing w:after="40" w:line="240" w:lineRule="auto"/>
            </w:pPr>
            <w:r>
              <w:t>Display policy source/version and assumptions.</w:t>
            </w:r>
          </w:p>
        </w:tc>
      </w:tr>
      <w:tr>
        <w:tc>
          <w:tcPr>
            <w:tcW w:type="dxa" w:w="2498"/>
          </w:tcPr>
          <w:p>
            <w:pPr>
              <w:spacing w:after="40" w:line="240" w:lineRule="auto"/>
            </w:pPr>
            <w:r>
              <w:t>Identity exceptions</w:t>
            </w:r>
          </w:p>
        </w:tc>
        <w:tc>
          <w:tcPr>
            <w:tcW w:type="dxa" w:w="2498"/>
          </w:tcPr>
          <w:p>
            <w:pPr>
              <w:spacing w:after="40" w:line="240" w:lineRule="auto"/>
            </w:pPr>
            <w:r>
              <w:t>Authorized identity operator</w:t>
            </w:r>
          </w:p>
        </w:tc>
        <w:tc>
          <w:tcPr>
            <w:tcW w:type="dxa" w:w="2498"/>
          </w:tcPr>
          <w:p>
            <w:pPr>
              <w:spacing w:after="40" w:line="240" w:lineRule="auto"/>
            </w:pPr>
            <w:r>
              <w:t>APAAR state, correction task, evidence provenance, local-vault status</w:t>
            </w:r>
          </w:p>
        </w:tc>
        <w:tc>
          <w:tcPr>
            <w:tcW w:type="dxa" w:w="2498"/>
          </w:tcPr>
          <w:p>
            <w:pPr>
              <w:spacing w:after="40" w:line="240" w:lineRule="auto"/>
            </w:pPr>
            <w:r>
              <w:t>Mask sensitive identifiers by default.</w:t>
            </w:r>
          </w:p>
        </w:tc>
      </w:tr>
      <w:tr>
        <w:tc>
          <w:tcPr>
            <w:tcW w:type="dxa" w:w="2498"/>
          </w:tcPr>
          <w:p>
            <w:pPr>
              <w:spacing w:after="40" w:line="240" w:lineRule="auto"/>
            </w:pPr>
            <w:r>
              <w:t>Candidate review</w:t>
            </w:r>
          </w:p>
        </w:tc>
        <w:tc>
          <w:tcPr>
            <w:tcW w:type="dxa" w:w="2498"/>
          </w:tcPr>
          <w:p>
            <w:pPr>
              <w:spacing w:after="40" w:line="240" w:lineRule="auto"/>
            </w:pPr>
            <w:r>
              <w:t>Authorized reviewer</w:t>
            </w:r>
          </w:p>
        </w:tc>
        <w:tc>
          <w:tcPr>
            <w:tcW w:type="dxa" w:w="2498"/>
          </w:tcPr>
          <w:p>
            <w:pPr>
              <w:spacing w:after="40" w:line="240" w:lineRule="auto"/>
            </w:pPr>
            <w:r>
              <w:t>Candidate explanation, method/version, score band, permissible context, actions and evidence references</w:t>
            </w:r>
          </w:p>
        </w:tc>
        <w:tc>
          <w:tcPr>
            <w:tcW w:type="dxa" w:w="2498"/>
          </w:tcPr>
          <w:p>
            <w:pPr>
              <w:spacing w:after="40" w:line="240" w:lineRule="auto"/>
            </w:pPr>
            <w:r>
              <w:t>No guilt/fraud label based only on score.</w:t>
            </w:r>
          </w:p>
        </w:tc>
      </w:tr>
      <w:tr>
        <w:tc>
          <w:tcPr>
            <w:tcW w:type="dxa" w:w="2498"/>
          </w:tcPr>
          <w:p>
            <w:pPr>
              <w:spacing w:after="40" w:line="240" w:lineRule="auto"/>
            </w:pPr>
            <w:r>
              <w:t>Policy administration</w:t>
            </w:r>
          </w:p>
        </w:tc>
        <w:tc>
          <w:tcPr>
            <w:tcW w:type="dxa" w:w="2498"/>
          </w:tcPr>
          <w:p>
            <w:pPr>
              <w:spacing w:after="40" w:line="240" w:lineRule="auto"/>
            </w:pPr>
            <w:r>
              <w:t>Policy administrator</w:t>
            </w:r>
          </w:p>
        </w:tc>
        <w:tc>
          <w:tcPr>
            <w:tcW w:type="dxa" w:w="2498"/>
          </w:tcPr>
          <w:p>
            <w:pPr>
              <w:spacing w:after="40" w:line="240" w:lineRule="auto"/>
            </w:pPr>
            <w:r>
              <w:t>Draft, test, approve, publish, effective dates, diff, rollback/supersede</w:t>
            </w:r>
          </w:p>
        </w:tc>
        <w:tc>
          <w:tcPr>
            <w:tcW w:type="dxa" w:w="2498"/>
          </w:tcPr>
          <w:p>
            <w:pPr>
              <w:spacing w:after="40" w:line="240" w:lineRule="auto"/>
            </w:pPr>
            <w:r>
              <w:t>Separate author and approver for production policy.</w:t>
            </w:r>
          </w:p>
        </w:tc>
      </w:tr>
      <w:tr>
        <w:tc>
          <w:tcPr>
            <w:tcW w:type="dxa" w:w="2498"/>
          </w:tcPr>
          <w:p>
            <w:pPr>
              <w:spacing w:after="40" w:line="240" w:lineRule="auto"/>
            </w:pPr>
            <w:r>
              <w:t>Verification request</w:t>
            </w:r>
          </w:p>
        </w:tc>
        <w:tc>
          <w:tcPr>
            <w:tcW w:type="dxa" w:w="2498"/>
          </w:tcPr>
          <w:p>
            <w:pPr>
              <w:spacing w:after="40" w:line="240" w:lineRule="auto"/>
            </w:pPr>
            <w:r>
              <w:t>External verifier / requester</w:t>
            </w:r>
          </w:p>
        </w:tc>
        <w:tc>
          <w:tcPr>
            <w:tcW w:type="dxa" w:w="2498"/>
          </w:tcPr>
          <w:p>
            <w:pPr>
              <w:spacing w:after="40" w:line="240" w:lineRule="auto"/>
            </w:pPr>
            <w:r>
              <w:t>Purpose, requested claims, authority/consent state, expiry, response</w:t>
            </w:r>
          </w:p>
        </w:tc>
        <w:tc>
          <w:tcPr>
            <w:tcW w:type="dxa" w:w="2498"/>
          </w:tcPr>
          <w:p>
            <w:pPr>
              <w:spacing w:after="40" w:line="240" w:lineRule="auto"/>
            </w:pPr>
            <w:r>
              <w:t>No roster browsing or unrestricted search.</w:t>
            </w:r>
          </w:p>
        </w:tc>
      </w:tr>
      <w:tr>
        <w:tc>
          <w:tcPr>
            <w:tcW w:type="dxa" w:w="2498"/>
          </w:tcPr>
          <w:p>
            <w:pPr>
              <w:spacing w:after="40" w:line="240" w:lineRule="auto"/>
            </w:pPr>
            <w:r>
              <w:t>Audit explorer</w:t>
            </w:r>
          </w:p>
        </w:tc>
        <w:tc>
          <w:tcPr>
            <w:tcW w:type="dxa" w:w="2498"/>
          </w:tcPr>
          <w:p>
            <w:pPr>
              <w:spacing w:after="40" w:line="240" w:lineRule="auto"/>
            </w:pPr>
            <w:r>
              <w:t>Security auditor</w:t>
            </w:r>
          </w:p>
        </w:tc>
        <w:tc>
          <w:tcPr>
            <w:tcW w:type="dxa" w:w="2498"/>
          </w:tcPr>
          <w:p>
            <w:pPr>
              <w:spacing w:after="40" w:line="240" w:lineRule="auto"/>
            </w:pPr>
            <w:r>
              <w:t>Actor, event type, timestamp, object, result, correlation ID</w:t>
            </w:r>
          </w:p>
        </w:tc>
        <w:tc>
          <w:tcPr>
            <w:tcW w:type="dxa" w:w="2498"/>
          </w:tcPr>
          <w:p>
            <w:pPr>
              <w:spacing w:after="40" w:line="240" w:lineRule="auto"/>
            </w:pPr>
            <w:r>
              <w:t>Sensitive fields and secrets never shown.</w:t>
            </w:r>
          </w:p>
        </w:tc>
      </w:tr>
      <w:tr>
        <w:tc>
          <w:tcPr>
            <w:tcW w:type="dxa" w:w="2498"/>
          </w:tcPr>
          <w:p>
            <w:pPr>
              <w:spacing w:after="40" w:line="240" w:lineRule="auto"/>
            </w:pPr>
            <w:r>
              <w:t>Integration monitor</w:t>
            </w:r>
          </w:p>
        </w:tc>
        <w:tc>
          <w:tcPr>
            <w:tcW w:type="dxa" w:w="2498"/>
          </w:tcPr>
          <w:p>
            <w:pPr>
              <w:spacing w:after="40" w:line="240" w:lineRule="auto"/>
            </w:pPr>
            <w:r>
              <w:t>Integration administrator</w:t>
            </w:r>
          </w:p>
        </w:tc>
        <w:tc>
          <w:tcPr>
            <w:tcW w:type="dxa" w:w="2498"/>
          </w:tcPr>
          <w:p>
            <w:pPr>
              <w:spacing w:after="40" w:line="240" w:lineRule="auto"/>
            </w:pPr>
            <w:r>
              <w:t>Adapter status, last success, retries, safe error, correlation ID</w:t>
            </w:r>
          </w:p>
        </w:tc>
        <w:tc>
          <w:tcPr>
            <w:tcW w:type="dxa" w:w="2498"/>
          </w:tcPr>
          <w:p>
            <w:pPr>
              <w:spacing w:after="40" w:line="240" w:lineRule="auto"/>
            </w:pPr>
            <w:r>
              <w:t>Never display credentials or raw sensitive payloads.</w:t>
            </w:r>
          </w:p>
        </w:tc>
      </w:tr>
      <w:tr>
        <w:tc>
          <w:tcPr>
            <w:tcW w:type="dxa" w:w="2498"/>
          </w:tcPr>
          <w:p>
            <w:pPr>
              <w:spacing w:after="40" w:line="240" w:lineRule="auto"/>
            </w:pPr>
            <w:r>
              <w:t>Security administration</w:t>
            </w:r>
          </w:p>
        </w:tc>
        <w:tc>
          <w:tcPr>
            <w:tcW w:type="dxa" w:w="2498"/>
          </w:tcPr>
          <w:p>
            <w:pPr>
              <w:spacing w:after="40" w:line="240" w:lineRule="auto"/>
            </w:pPr>
            <w:r>
              <w:t>Security administrator</w:t>
            </w:r>
          </w:p>
        </w:tc>
        <w:tc>
          <w:tcPr>
            <w:tcW w:type="dxa" w:w="2498"/>
          </w:tcPr>
          <w:p>
            <w:pPr>
              <w:spacing w:after="40" w:line="240" w:lineRule="auto"/>
            </w:pPr>
            <w:r>
              <w:t>Role assignments, MFA state, session revocation, privileged activity</w:t>
            </w:r>
          </w:p>
        </w:tc>
        <w:tc>
          <w:tcPr>
            <w:tcW w:type="dxa" w:w="2498"/>
          </w:tcPr>
          <w:p>
            <w:pPr>
              <w:spacing w:after="40" w:line="240" w:lineRule="auto"/>
            </w:pPr>
            <w:r>
              <w:t>Admin role does not imply identity-data access.</w:t>
            </w:r>
          </w:p>
        </w:tc>
      </w:tr>
    </w:tbl>
    <w:p>
      <w:pPr>
        <w:pStyle w:val="Heading2"/>
        <w:keepNext/>
      </w:pPr>
      <w:r>
        <w:t>27. Governance, retention, correction and appeals</w:t>
      </w:r>
    </w:p>
    <w:p>
      <w:r>
        <w:t>The platform must not define retention or statutory notice periods by guesswork. Data categories and lifecycle rules require the accountable institution/controller and qualified counsel to confirm applicable law, agreements, and sectoral obligations.</w:t>
      </w:r>
    </w:p>
    <w:p>
      <w:pPr>
        <w:pStyle w:val="ListBullet"/>
      </w:pPr>
      <w:r>
        <w:t>Maintain a data inventory that identifies purpose, source, controller/processor role, recipients, retention period, and deletion method for each category.</w:t>
      </w:r>
    </w:p>
    <w:p>
      <w:pPr>
        <w:pStyle w:val="ListBullet"/>
      </w:pPr>
      <w:r>
        <w:t>Keep source records, derived tokens, PPRL encodings, candidate cases, exports, and audit events on separate retention schedules where justified.</w:t>
      </w:r>
    </w:p>
    <w:p>
      <w:pPr>
        <w:pStyle w:val="ListBullet"/>
      </w:pPr>
      <w:r>
        <w:t>Provide correction workflows that retain prior versions and record who requested and approved each change.</w:t>
      </w:r>
    </w:p>
    <w:p>
      <w:pPr>
        <w:pStyle w:val="ListBullet"/>
      </w:pPr>
      <w:r>
        <w:t>Provide a documented appeal or reconsideration route for adverse or disputed outcomes; never treat a probabilistic match as final evidence.</w:t>
      </w:r>
    </w:p>
    <w:p>
      <w:pPr>
        <w:pStyle w:val="ListBullet"/>
      </w:pPr>
      <w:r>
        <w:t>Define legal hold and incident hold procedures with authorized owners; do not silently extend retention.</w:t>
      </w:r>
    </w:p>
    <w:p>
      <w:pPr>
        <w:pStyle w:val="ListBullet"/>
      </w:pPr>
      <w:r>
        <w:t>Review access periodically and revoke access promptly when employment, institutional role, or project participation ends.</w:t>
      </w:r>
    </w:p>
    <w:p>
      <w:pPr>
        <w:pStyle w:val="Heading2"/>
        <w:keepNext/>
      </w:pPr>
      <w:r>
        <w:t>28. Demo plan and judge-facing evidence</w:t>
      </w:r>
    </w:p>
    <w:tbl>
      <w:tblPr>
        <w:tblStyle w:val="LightShading-Accent1"/>
        <w:tblW w:type="auto" w:w="0"/>
        <w:tblLayout w:type="autofit"/>
        <w:tblLook w:firstColumn="1" w:firstRow="1" w:lastColumn="0" w:lastRow="0" w:noHBand="0" w:noVBand="1" w:val="04A0"/>
      </w:tblPr>
      <w:tblGrid>
        <w:gridCol w:w="2498"/>
        <w:gridCol w:w="2498"/>
        <w:gridCol w:w="2498"/>
        <w:gridCol w:w="2498"/>
      </w:tblGrid>
      <w:tr>
        <w:tc>
          <w:tcPr>
            <w:tcW w:type="dxa" w:w="2498"/>
          </w:tcPr>
          <w:p>
            <w:pPr>
              <w:spacing w:after="40" w:line="240" w:lineRule="auto"/>
            </w:pPr>
            <w:r>
              <w:t>Demo step</w:t>
            </w:r>
          </w:p>
        </w:tc>
        <w:tc>
          <w:tcPr>
            <w:tcW w:type="dxa" w:w="2498"/>
          </w:tcPr>
          <w:p>
            <w:pPr>
              <w:spacing w:after="40" w:line="240" w:lineRule="auto"/>
            </w:pPr>
            <w:r>
              <w:t>Input</w:t>
            </w:r>
          </w:p>
        </w:tc>
        <w:tc>
          <w:tcPr>
            <w:tcW w:type="dxa" w:w="2498"/>
          </w:tcPr>
          <w:p>
            <w:pPr>
              <w:spacing w:after="40" w:line="240" w:lineRule="auto"/>
            </w:pPr>
            <w:r>
              <w:t>Expected output</w:t>
            </w:r>
          </w:p>
        </w:tc>
        <w:tc>
          <w:tcPr>
            <w:tcW w:type="dxa" w:w="2498"/>
          </w:tcPr>
          <w:p>
            <w:pPr>
              <w:spacing w:after="40" w:line="240" w:lineRule="auto"/>
            </w:pPr>
            <w:r>
              <w:t>Evidence shown</w:t>
            </w:r>
          </w:p>
        </w:tc>
      </w:tr>
      <w:tr>
        <w:tc>
          <w:tcPr>
            <w:tcW w:type="dxa" w:w="2498"/>
          </w:tcPr>
          <w:p>
            <w:pPr>
              <w:spacing w:after="40" w:line="240" w:lineRule="auto"/>
            </w:pPr>
            <w:r>
              <w:t>1. Load approved intake</w:t>
            </w:r>
          </w:p>
        </w:tc>
        <w:tc>
          <w:tcPr>
            <w:tcW w:type="dxa" w:w="2498"/>
          </w:tcPr>
          <w:p>
            <w:pPr>
              <w:spacing w:after="40" w:line="240" w:lineRule="auto"/>
            </w:pPr>
            <w:r>
              <w:t>Synthetic institution/course/year snapshot</w:t>
            </w:r>
          </w:p>
        </w:tc>
        <w:tc>
          <w:tcPr>
            <w:tcW w:type="dxa" w:w="2498"/>
          </w:tcPr>
          <w:p>
            <w:pPr>
              <w:spacing w:after="40" w:line="240" w:lineRule="auto"/>
            </w:pPr>
            <w:r>
              <w:t>Versioned snapshot with provenance label</w:t>
            </w:r>
          </w:p>
        </w:tc>
        <w:tc>
          <w:tcPr>
            <w:tcW w:type="dxa" w:w="2498"/>
          </w:tcPr>
          <w:p>
            <w:pPr>
              <w:spacing w:after="40" w:line="240" w:lineRule="auto"/>
            </w:pPr>
            <w:r>
              <w:t>Snapshot ID and effective date.</w:t>
            </w:r>
          </w:p>
        </w:tc>
      </w:tr>
      <w:tr>
        <w:tc>
          <w:tcPr>
            <w:tcW w:type="dxa" w:w="2498"/>
          </w:tcPr>
          <w:p>
            <w:pPr>
              <w:spacing w:after="40" w:line="240" w:lineRule="auto"/>
            </w:pPr>
            <w:r>
              <w:t>2. Upload roster</w:t>
            </w:r>
          </w:p>
        </w:tc>
        <w:tc>
          <w:tcPr>
            <w:tcW w:type="dxa" w:w="2498"/>
          </w:tcPr>
          <w:p>
            <w:pPr>
              <w:spacing w:after="40" w:line="240" w:lineRule="auto"/>
            </w:pPr>
            <w:r>
              <w:t>Synthetic CSV with valid and invalid rows</w:t>
            </w:r>
          </w:p>
        </w:tc>
        <w:tc>
          <w:tcPr>
            <w:tcW w:type="dxa" w:w="2498"/>
          </w:tcPr>
          <w:p>
            <w:pPr>
              <w:spacing w:after="40" w:line="240" w:lineRule="auto"/>
            </w:pPr>
            <w:r>
              <w:t>Batch ID, checksum, row-level validation results</w:t>
            </w:r>
          </w:p>
        </w:tc>
        <w:tc>
          <w:tcPr>
            <w:tcW w:type="dxa" w:w="2498"/>
          </w:tcPr>
          <w:p>
            <w:pPr>
              <w:spacing w:after="40" w:line="240" w:lineRule="auto"/>
            </w:pPr>
            <w:r>
              <w:t>Counts before/after validation; no dropped rows.</w:t>
            </w:r>
          </w:p>
        </w:tc>
      </w:tr>
      <w:tr>
        <w:tc>
          <w:tcPr>
            <w:tcW w:type="dxa" w:w="2498"/>
          </w:tcPr>
          <w:p>
            <w:pPr>
              <w:spacing w:after="40" w:line="240" w:lineRule="auto"/>
            </w:pPr>
            <w:r>
              <w:t>3. Reconcile intake</w:t>
            </w:r>
          </w:p>
        </w:tc>
        <w:tc>
          <w:tcPr>
            <w:tcW w:type="dxa" w:w="2498"/>
          </w:tcPr>
          <w:p>
            <w:pPr>
              <w:spacing w:after="40" w:line="240" w:lineRule="auto"/>
            </w:pPr>
            <w:r>
              <w:t>Batch + approved snapshot + policy fixture</w:t>
            </w:r>
          </w:p>
        </w:tc>
        <w:tc>
          <w:tcPr>
            <w:tcW w:type="dxa" w:w="2498"/>
          </w:tcPr>
          <w:p>
            <w:pPr>
              <w:spacing w:after="40" w:line="240" w:lineRule="auto"/>
            </w:pPr>
            <w:r>
              <w:t>Deterministic totals and discrepancy codes</w:t>
            </w:r>
          </w:p>
        </w:tc>
        <w:tc>
          <w:tcPr>
            <w:tcW w:type="dxa" w:w="2498"/>
          </w:tcPr>
          <w:p>
            <w:pPr>
              <w:spacing w:after="40" w:line="240" w:lineRule="auto"/>
            </w:pPr>
            <w:r>
              <w:t>Policy version, calculation trace, output digest.</w:t>
            </w:r>
          </w:p>
        </w:tc>
      </w:tr>
      <w:tr>
        <w:tc>
          <w:tcPr>
            <w:tcW w:type="dxa" w:w="2498"/>
          </w:tcPr>
          <w:p>
            <w:pPr>
              <w:spacing w:after="40" w:line="240" w:lineRule="auto"/>
            </w:pPr>
            <w:r>
              <w:t>4. Generate identity candidate</w:t>
            </w:r>
          </w:p>
        </w:tc>
        <w:tc>
          <w:tcPr>
            <w:tcW w:type="dxa" w:w="2498"/>
          </w:tcPr>
          <w:p>
            <w:pPr>
              <w:spacing w:after="40" w:line="240" w:lineRule="auto"/>
            </w:pPr>
            <w:r>
              <w:t>Synthetic identity variants</w:t>
            </w:r>
          </w:p>
        </w:tc>
        <w:tc>
          <w:tcPr>
            <w:tcW w:type="dxa" w:w="2498"/>
          </w:tcPr>
          <w:p>
            <w:pPr>
              <w:spacing w:after="40" w:line="240" w:lineRule="auto"/>
            </w:pPr>
            <w:r>
              <w:t>Candidate with reason codes and method version</w:t>
            </w:r>
          </w:p>
        </w:tc>
        <w:tc>
          <w:tcPr>
            <w:tcW w:type="dxa" w:w="2498"/>
          </w:tcPr>
          <w:p>
            <w:pPr>
              <w:spacing w:after="40" w:line="240" w:lineRule="auto"/>
            </w:pPr>
            <w:r>
              <w:t>No raw identity displayed in central matcher view.</w:t>
            </w:r>
          </w:p>
        </w:tc>
      </w:tr>
      <w:tr>
        <w:tc>
          <w:tcPr>
            <w:tcW w:type="dxa" w:w="2498"/>
          </w:tcPr>
          <w:p>
            <w:pPr>
              <w:spacing w:after="40" w:line="240" w:lineRule="auto"/>
            </w:pPr>
            <w:r>
              <w:t>5. Review candidate</w:t>
            </w:r>
          </w:p>
        </w:tc>
        <w:tc>
          <w:tcPr>
            <w:tcW w:type="dxa" w:w="2498"/>
          </w:tcPr>
          <w:p>
            <w:pPr>
              <w:spacing w:after="40" w:line="240" w:lineRule="auto"/>
            </w:pPr>
            <w:r>
              <w:t>Candidate plus programme context</w:t>
            </w:r>
          </w:p>
        </w:tc>
        <w:tc>
          <w:tcPr>
            <w:tcW w:type="dxa" w:w="2498"/>
          </w:tcPr>
          <w:p>
            <w:pPr>
              <w:spacing w:after="40" w:line="240" w:lineRule="auto"/>
            </w:pPr>
            <w:r>
              <w:t>Human-reviewed outcome with evidence references</w:t>
            </w:r>
          </w:p>
        </w:tc>
        <w:tc>
          <w:tcPr>
            <w:tcW w:type="dxa" w:w="2498"/>
          </w:tcPr>
          <w:p>
            <w:pPr>
              <w:spacing w:after="40" w:line="240" w:lineRule="auto"/>
            </w:pPr>
            <w:r>
              <w:t>Candidate score not treated as violation proof.</w:t>
            </w:r>
          </w:p>
        </w:tc>
      </w:tr>
      <w:tr>
        <w:tc>
          <w:tcPr>
            <w:tcW w:type="dxa" w:w="2498"/>
          </w:tcPr>
          <w:p>
            <w:pPr>
              <w:spacing w:after="40" w:line="240" w:lineRule="auto"/>
            </w:pPr>
            <w:r>
              <w:t>6. Request verification</w:t>
            </w:r>
          </w:p>
        </w:tc>
        <w:tc>
          <w:tcPr>
            <w:tcW w:type="dxa" w:w="2498"/>
          </w:tcPr>
          <w:p>
            <w:pPr>
              <w:spacing w:after="40" w:line="240" w:lineRule="auto"/>
            </w:pPr>
            <w:r>
              <w:t>Mock verifier requests limited claims</w:t>
            </w:r>
          </w:p>
        </w:tc>
        <w:tc>
          <w:tcPr>
            <w:tcW w:type="dxa" w:w="2498"/>
          </w:tcPr>
          <w:p>
            <w:pPr>
              <w:spacing w:after="40" w:line="240" w:lineRule="auto"/>
            </w:pPr>
            <w:r>
              <w:t>Allow/deny/pending decision and minimal response</w:t>
            </w:r>
          </w:p>
        </w:tc>
        <w:tc>
          <w:tcPr>
            <w:tcW w:type="dxa" w:w="2498"/>
          </w:tcPr>
          <w:p>
            <w:pPr>
              <w:spacing w:after="40" w:line="240" w:lineRule="auto"/>
            </w:pPr>
            <w:r>
              <w:t>Mock status clearly visible; authority/purpose recorded.</w:t>
            </w:r>
          </w:p>
        </w:tc>
      </w:tr>
      <w:tr>
        <w:tc>
          <w:tcPr>
            <w:tcW w:type="dxa" w:w="2498"/>
          </w:tcPr>
          <w:p>
            <w:pPr>
              <w:spacing w:after="40" w:line="240" w:lineRule="auto"/>
            </w:pPr>
            <w:r>
              <w:t>7. Inspect audit</w:t>
            </w:r>
          </w:p>
        </w:tc>
        <w:tc>
          <w:tcPr>
            <w:tcW w:type="dxa" w:w="2498"/>
          </w:tcPr>
          <w:p>
            <w:pPr>
              <w:spacing w:after="40" w:line="240" w:lineRule="auto"/>
            </w:pPr>
            <w:r>
              <w:t>Events from previous steps</w:t>
            </w:r>
          </w:p>
        </w:tc>
        <w:tc>
          <w:tcPr>
            <w:tcW w:type="dxa" w:w="2498"/>
          </w:tcPr>
          <w:p>
            <w:pPr>
              <w:spacing w:after="40" w:line="240" w:lineRule="auto"/>
            </w:pPr>
            <w:r>
              <w:t>Chronological trace and correlation IDs</w:t>
            </w:r>
          </w:p>
        </w:tc>
        <w:tc>
          <w:tcPr>
            <w:tcW w:type="dxa" w:w="2498"/>
          </w:tcPr>
          <w:p>
            <w:pPr>
              <w:spacing w:after="40" w:line="240" w:lineRule="auto"/>
            </w:pPr>
            <w:r>
              <w:t>Sensitive values redacted; audit integrity limitations disclosed.</w:t>
            </w:r>
          </w:p>
        </w:tc>
      </w:tr>
    </w:tbl>
    <w:p>
      <w:r>
        <w:t>Use only synthetic student records in a public demo. Every screen that uses a mock external service should show a persistent DEMO / SIMULATED status so judges cannot mistake a simulated result for an official verification.</w:t>
      </w:r>
    </w:p>
    <w:p>
      <w:pPr>
        <w:pStyle w:val="Heading2"/>
        <w:keepNext/>
      </w:pPr>
      <w:r>
        <w:t>29. Architecture decision register</w:t>
      </w:r>
    </w:p>
    <w:tbl>
      <w:tblPr>
        <w:tblStyle w:val="LightShading-Accent1"/>
        <w:tblW w:type="auto" w:w="0"/>
        <w:tblLayout w:type="autofit"/>
        <w:tblLook w:firstColumn="1" w:firstRow="1" w:lastColumn="0" w:lastRow="0" w:noHBand="0" w:noVBand="1" w:val="04A0"/>
      </w:tblPr>
      <w:tblGrid>
        <w:gridCol w:w="2498"/>
        <w:gridCol w:w="2498"/>
        <w:gridCol w:w="2498"/>
        <w:gridCol w:w="2498"/>
      </w:tblGrid>
      <w:tr>
        <w:tc>
          <w:tcPr>
            <w:tcW w:type="dxa" w:w="2498"/>
          </w:tcPr>
          <w:p>
            <w:pPr>
              <w:spacing w:after="40" w:line="240" w:lineRule="auto"/>
            </w:pPr>
            <w:r>
              <w:t>ADR</w:t>
            </w:r>
          </w:p>
        </w:tc>
        <w:tc>
          <w:tcPr>
            <w:tcW w:type="dxa" w:w="2498"/>
          </w:tcPr>
          <w:p>
            <w:pPr>
              <w:spacing w:after="40" w:line="240" w:lineRule="auto"/>
            </w:pPr>
            <w:r>
              <w:t>Decision</w:t>
            </w:r>
          </w:p>
        </w:tc>
        <w:tc>
          <w:tcPr>
            <w:tcW w:type="dxa" w:w="2498"/>
          </w:tcPr>
          <w:p>
            <w:pPr>
              <w:spacing w:after="40" w:line="240" w:lineRule="auto"/>
            </w:pPr>
            <w:r>
              <w:t>Status</w:t>
            </w:r>
          </w:p>
        </w:tc>
        <w:tc>
          <w:tcPr>
            <w:tcW w:type="dxa" w:w="2498"/>
          </w:tcPr>
          <w:p>
            <w:pPr>
              <w:spacing w:after="40" w:line="240" w:lineRule="auto"/>
            </w:pPr>
            <w:r>
              <w:t>Reason / consequence</w:t>
            </w:r>
          </w:p>
        </w:tc>
      </w:tr>
      <w:tr>
        <w:tc>
          <w:tcPr>
            <w:tcW w:type="dxa" w:w="2498"/>
          </w:tcPr>
          <w:p>
            <w:pPr>
              <w:spacing w:after="40" w:line="240" w:lineRule="auto"/>
            </w:pPr>
            <w:r>
              <w:t>ADR-001</w:t>
            </w:r>
          </w:p>
        </w:tc>
        <w:tc>
          <w:tcPr>
            <w:tcW w:type="dxa" w:w="2498"/>
          </w:tcPr>
          <w:p>
            <w:pPr>
              <w:spacing w:after="40" w:line="240" w:lineRule="auto"/>
            </w:pPr>
            <w:r>
              <w:t>Use modular monolith for the prototype</w:t>
            </w:r>
          </w:p>
        </w:tc>
        <w:tc>
          <w:tcPr>
            <w:tcW w:type="dxa" w:w="2498"/>
          </w:tcPr>
          <w:p>
            <w:pPr>
              <w:spacing w:after="40" w:line="240" w:lineRule="auto"/>
            </w:pPr>
            <w:r>
              <w:t>Proposed</w:t>
            </w:r>
          </w:p>
        </w:tc>
        <w:tc>
          <w:tcPr>
            <w:tcW w:type="dxa" w:w="2498"/>
          </w:tcPr>
          <w:p>
            <w:pPr>
              <w:spacing w:after="40" w:line="240" w:lineRule="auto"/>
            </w:pPr>
            <w:r>
              <w:t>Reduces operational overhead while preserving service boundaries.</w:t>
            </w:r>
          </w:p>
        </w:tc>
      </w:tr>
      <w:tr>
        <w:tc>
          <w:tcPr>
            <w:tcW w:type="dxa" w:w="2498"/>
          </w:tcPr>
          <w:p>
            <w:pPr>
              <w:spacing w:after="40" w:line="240" w:lineRule="auto"/>
            </w:pPr>
            <w:r>
              <w:t>ADR-002</w:t>
            </w:r>
          </w:p>
        </w:tc>
        <w:tc>
          <w:tcPr>
            <w:tcW w:type="dxa" w:w="2498"/>
          </w:tcPr>
          <w:p>
            <w:pPr>
              <w:spacing w:after="40" w:line="240" w:lineRule="auto"/>
            </w:pPr>
            <w:r>
              <w:t>Keep plaintext identity attributes institution-side</w:t>
            </w:r>
          </w:p>
        </w:tc>
        <w:tc>
          <w:tcPr>
            <w:tcW w:type="dxa" w:w="2498"/>
          </w:tcPr>
          <w:p>
            <w:pPr>
              <w:spacing w:after="40" w:line="240" w:lineRule="auto"/>
            </w:pPr>
            <w:r>
              <w:t>Proposed; security review required</w:t>
            </w:r>
          </w:p>
        </w:tc>
        <w:tc>
          <w:tcPr>
            <w:tcW w:type="dxa" w:w="2498"/>
          </w:tcPr>
          <w:p>
            <w:pPr>
              <w:spacing w:after="40" w:line="240" w:lineRule="auto"/>
            </w:pPr>
            <w:r>
              <w:t>Avoids central plaintext repository; local vault and matching process remain sensitive.</w:t>
            </w:r>
          </w:p>
        </w:tc>
      </w:tr>
      <w:tr>
        <w:tc>
          <w:tcPr>
            <w:tcW w:type="dxa" w:w="2498"/>
          </w:tcPr>
          <w:p>
            <w:pPr>
              <w:spacing w:after="40" w:line="240" w:lineRule="auto"/>
            </w:pPr>
            <w:r>
              <w:t>ADR-003</w:t>
            </w:r>
          </w:p>
        </w:tc>
        <w:tc>
          <w:tcPr>
            <w:tcW w:type="dxa" w:w="2498"/>
          </w:tcPr>
          <w:p>
            <w:pPr>
              <w:spacing w:after="40" w:line="240" w:lineRule="auto"/>
            </w:pPr>
            <w:r>
              <w:t>Use exact scoped token match before fuzzy candidate generation</w:t>
            </w:r>
          </w:p>
        </w:tc>
        <w:tc>
          <w:tcPr>
            <w:tcW w:type="dxa" w:w="2498"/>
          </w:tcPr>
          <w:p>
            <w:pPr>
              <w:spacing w:after="40" w:line="240" w:lineRule="auto"/>
            </w:pPr>
            <w:r>
              <w:t>Proposed</w:t>
            </w:r>
          </w:p>
        </w:tc>
        <w:tc>
          <w:tcPr>
            <w:tcW w:type="dxa" w:w="2498"/>
          </w:tcPr>
          <w:p>
            <w:pPr>
              <w:spacing w:after="40" w:line="240" w:lineRule="auto"/>
            </w:pPr>
            <w:r>
              <w:t>Deterministic high-value path before probabilistic candidate generation.</w:t>
            </w:r>
          </w:p>
        </w:tc>
      </w:tr>
      <w:tr>
        <w:tc>
          <w:tcPr>
            <w:tcW w:type="dxa" w:w="2498"/>
          </w:tcPr>
          <w:p>
            <w:pPr>
              <w:spacing w:after="40" w:line="240" w:lineRule="auto"/>
            </w:pPr>
            <w:r>
              <w:t>ADR-004</w:t>
            </w:r>
          </w:p>
        </w:tc>
        <w:tc>
          <w:tcPr>
            <w:tcW w:type="dxa" w:w="2498"/>
          </w:tcPr>
          <w:p>
            <w:pPr>
              <w:spacing w:after="40" w:line="240" w:lineRule="auto"/>
            </w:pPr>
            <w:r>
              <w:t>Do not run Jaro–Winkler on Bloom-filter bit arrays</w:t>
            </w:r>
          </w:p>
        </w:tc>
        <w:tc>
          <w:tcPr>
            <w:tcW w:type="dxa" w:w="2498"/>
          </w:tcPr>
          <w:p>
            <w:pPr>
              <w:spacing w:after="40" w:line="240" w:lineRule="auto"/>
            </w:pPr>
            <w:r>
              <w:t>Required correction</w:t>
            </w:r>
          </w:p>
        </w:tc>
        <w:tc>
          <w:tcPr>
            <w:tcW w:type="dxa" w:w="2498"/>
          </w:tcPr>
          <w:p>
            <w:pPr>
              <w:spacing w:after="40" w:line="240" w:lineRule="auto"/>
            </w:pPr>
            <w:r>
              <w:t>Use a compatible encoded similarity such as a reviewed Dice method, or compute string similarity only inside an authorized plaintext boundary.</w:t>
            </w:r>
          </w:p>
        </w:tc>
      </w:tr>
      <w:tr>
        <w:tc>
          <w:tcPr>
            <w:tcW w:type="dxa" w:w="2498"/>
          </w:tcPr>
          <w:p>
            <w:pPr>
              <w:spacing w:after="40" w:line="240" w:lineRule="auto"/>
            </w:pPr>
            <w:r>
              <w:t>ADR-005</w:t>
            </w:r>
          </w:p>
        </w:tc>
        <w:tc>
          <w:tcPr>
            <w:tcW w:type="dxa" w:w="2498"/>
          </w:tcPr>
          <w:p>
            <w:pPr>
              <w:spacing w:after="40" w:line="240" w:lineRule="auto"/>
            </w:pPr>
            <w:r>
              <w:t>Treat matching output as a candidate, not a violation finding</w:t>
            </w:r>
          </w:p>
        </w:tc>
        <w:tc>
          <w:tcPr>
            <w:tcW w:type="dxa" w:w="2498"/>
          </w:tcPr>
          <w:p>
            <w:pPr>
              <w:spacing w:after="40" w:line="240" w:lineRule="auto"/>
            </w:pPr>
            <w:r>
              <w:t>Required</w:t>
            </w:r>
          </w:p>
        </w:tc>
        <w:tc>
          <w:tcPr>
            <w:tcW w:type="dxa" w:w="2498"/>
          </w:tcPr>
          <w:p>
            <w:pPr>
              <w:spacing w:after="40" w:line="240" w:lineRule="auto"/>
            </w:pPr>
            <w:r>
              <w:t>Prevents automated adverse action based solely on probabilistic identity evidence.</w:t>
            </w:r>
          </w:p>
        </w:tc>
      </w:tr>
      <w:tr>
        <w:tc>
          <w:tcPr>
            <w:tcW w:type="dxa" w:w="2498"/>
          </w:tcPr>
          <w:p>
            <w:pPr>
              <w:spacing w:after="40" w:line="240" w:lineRule="auto"/>
            </w:pPr>
            <w:r>
              <w:t>ADR-006</w:t>
            </w:r>
          </w:p>
        </w:tc>
        <w:tc>
          <w:tcPr>
            <w:tcW w:type="dxa" w:w="2498"/>
          </w:tcPr>
          <w:p>
            <w:pPr>
              <w:spacing w:after="40" w:line="240" w:lineRule="auto"/>
            </w:pPr>
            <w:r>
              <w:t>Version all regulatory policies and approved-intake snapshots</w:t>
            </w:r>
          </w:p>
        </w:tc>
        <w:tc>
          <w:tcPr>
            <w:tcW w:type="dxa" w:w="2498"/>
          </w:tcPr>
          <w:p>
            <w:pPr>
              <w:spacing w:after="40" w:line="240" w:lineRule="auto"/>
            </w:pPr>
            <w:r>
              <w:t>Required</w:t>
            </w:r>
          </w:p>
        </w:tc>
        <w:tc>
          <w:tcPr>
            <w:tcW w:type="dxa" w:w="2498"/>
          </w:tcPr>
          <w:p>
            <w:pPr>
              <w:spacing w:after="40" w:line="240" w:lineRule="auto"/>
            </w:pPr>
            <w:r>
              <w:t>Enables reproducibility and audit.</w:t>
            </w:r>
          </w:p>
        </w:tc>
      </w:tr>
      <w:tr>
        <w:tc>
          <w:tcPr>
            <w:tcW w:type="dxa" w:w="2498"/>
          </w:tcPr>
          <w:p>
            <w:pPr>
              <w:spacing w:after="40" w:line="240" w:lineRule="auto"/>
            </w:pPr>
            <w:r>
              <w:t>ADR-007</w:t>
            </w:r>
          </w:p>
        </w:tc>
        <w:tc>
          <w:tcPr>
            <w:tcW w:type="dxa" w:w="2498"/>
          </w:tcPr>
          <w:p>
            <w:pPr>
              <w:spacing w:after="40" w:line="240" w:lineRule="auto"/>
            </w:pPr>
            <w:r>
              <w:t>Mock external connectors until contracts/access are confirmed</w:t>
            </w:r>
          </w:p>
        </w:tc>
        <w:tc>
          <w:tcPr>
            <w:tcW w:type="dxa" w:w="2498"/>
          </w:tcPr>
          <w:p>
            <w:pPr>
              <w:spacing w:after="40" w:line="240" w:lineRule="auto"/>
            </w:pPr>
            <w:r>
              <w:t>Required</w:t>
            </w:r>
          </w:p>
        </w:tc>
        <w:tc>
          <w:tcPr>
            <w:tcW w:type="dxa" w:w="2498"/>
          </w:tcPr>
          <w:p>
            <w:pPr>
              <w:spacing w:after="40" w:line="240" w:lineRule="auto"/>
            </w:pPr>
            <w:r>
              <w:t>Prevents invented endpoints and misleading integration claims.</w:t>
            </w:r>
          </w:p>
        </w:tc>
      </w:tr>
      <w:tr>
        <w:tc>
          <w:tcPr>
            <w:tcW w:type="dxa" w:w="2498"/>
          </w:tcPr>
          <w:p>
            <w:pPr>
              <w:spacing w:after="40" w:line="240" w:lineRule="auto"/>
            </w:pPr>
            <w:r>
              <w:t>ADR-008</w:t>
            </w:r>
          </w:p>
        </w:tc>
        <w:tc>
          <w:tcPr>
            <w:tcW w:type="dxa" w:w="2498"/>
          </w:tcPr>
          <w:p>
            <w:pPr>
              <w:spacing w:after="40" w:line="240" w:lineRule="auto"/>
            </w:pPr>
            <w:r>
              <w:t>Defer verifiable credential issuance until upstream lifecycle is stable</w:t>
            </w:r>
          </w:p>
        </w:tc>
        <w:tc>
          <w:tcPr>
            <w:tcW w:type="dxa" w:w="2498"/>
          </w:tcPr>
          <w:p>
            <w:pPr>
              <w:spacing w:after="40" w:line="240" w:lineRule="auto"/>
            </w:pPr>
            <w:r>
              <w:t>Recommended</w:t>
            </w:r>
          </w:p>
        </w:tc>
        <w:tc>
          <w:tcPr>
            <w:tcW w:type="dxa" w:w="2498"/>
          </w:tcPr>
          <w:p>
            <w:pPr>
              <w:spacing w:after="40" w:line="240" w:lineRule="auto"/>
            </w:pPr>
            <w:r>
              <w:t>Credential issuance does not correct inaccurate source data.</w:t>
            </w:r>
          </w:p>
        </w:tc>
      </w:tr>
    </w:tbl>
    <w:p>
      <w:pPr>
        <w:pStyle w:val="Heading2"/>
        <w:keepNext/>
      </w:pPr>
      <w:r>
        <w:t>30. Consolidated [VERIFY] register and release gates</w:t>
      </w:r>
    </w:p>
    <w:p>
      <w:r>
        <w:t>This list consolidates items that must be checked against primary sources and accountable stakeholders. A [VERIFY] item should not be converted into a definitive claim merely because it appears in a draft or a secondary article.</w:t>
      </w:r>
    </w:p>
    <w:tbl>
      <w:tblPr>
        <w:tblStyle w:val="LightShading-Accent1"/>
        <w:tblW w:type="auto" w:w="0"/>
        <w:tblLayout w:type="autofit"/>
        <w:tblLook w:firstColumn="1" w:firstRow="1" w:lastColumn="0" w:lastRow="0" w:noHBand="0" w:noVBand="1" w:val="04A0"/>
      </w:tblPr>
      <w:tblGrid>
        <w:gridCol w:w="2498"/>
        <w:gridCol w:w="2498"/>
        <w:gridCol w:w="2498"/>
        <w:gridCol w:w="2498"/>
      </w:tblGrid>
      <w:tr>
        <w:tc>
          <w:tcPr>
            <w:tcW w:type="dxa" w:w="2498"/>
          </w:tcPr>
          <w:p>
            <w:pPr>
              <w:spacing w:after="40" w:line="240" w:lineRule="auto"/>
            </w:pPr>
            <w:r>
              <w:t>ID</w:t>
            </w:r>
          </w:p>
        </w:tc>
        <w:tc>
          <w:tcPr>
            <w:tcW w:type="dxa" w:w="2498"/>
          </w:tcPr>
          <w:p>
            <w:pPr>
              <w:spacing w:after="40" w:line="240" w:lineRule="auto"/>
            </w:pPr>
            <w:r>
              <w:t>Item to verify</w:t>
            </w:r>
          </w:p>
        </w:tc>
        <w:tc>
          <w:tcPr>
            <w:tcW w:type="dxa" w:w="2498"/>
          </w:tcPr>
          <w:p>
            <w:pPr>
              <w:spacing w:after="40" w:line="240" w:lineRule="auto"/>
            </w:pPr>
            <w:r>
              <w:t>Required evidence</w:t>
            </w:r>
          </w:p>
        </w:tc>
        <w:tc>
          <w:tcPr>
            <w:tcW w:type="dxa" w:w="2498"/>
          </w:tcPr>
          <w:p>
            <w:pPr>
              <w:spacing w:after="40" w:line="240" w:lineRule="auto"/>
            </w:pPr>
            <w:r>
              <w:t>Owner / gate</w:t>
            </w:r>
          </w:p>
        </w:tc>
      </w:tr>
      <w:tr>
        <w:tc>
          <w:tcPr>
            <w:tcW w:type="dxa" w:w="2498"/>
          </w:tcPr>
          <w:p>
            <w:pPr>
              <w:spacing w:after="40" w:line="240" w:lineRule="auto"/>
            </w:pPr>
            <w:r>
              <w:t>V-01</w:t>
            </w:r>
          </w:p>
        </w:tc>
        <w:tc>
          <w:tcPr>
            <w:tcW w:type="dxa" w:w="2498"/>
          </w:tcPr>
          <w:p>
            <w:pPr>
              <w:spacing w:after="40" w:line="240" w:lineRule="auto"/>
            </w:pPr>
            <w:r>
              <w:t>Official SIH26263 identifier, exact title, owner, companion statements, dates and deadline</w:t>
            </w:r>
          </w:p>
        </w:tc>
        <w:tc>
          <w:tcPr>
            <w:tcW w:type="dxa" w:w="2498"/>
          </w:tcPr>
          <w:p>
            <w:pPr>
              <w:spacing w:after="40" w:line="240" w:lineRule="auto"/>
            </w:pPr>
            <w:r>
              <w:t>Official SIH portal capture or downloadable official statement</w:t>
            </w:r>
          </w:p>
        </w:tc>
        <w:tc>
          <w:tcPr>
            <w:tcW w:type="dxa" w:w="2498"/>
          </w:tcPr>
          <w:p>
            <w:pPr>
              <w:spacing w:after="40" w:line="240" w:lineRule="auto"/>
            </w:pPr>
            <w:r>
              <w:t>Before submission narrative is finalized.</w:t>
            </w:r>
          </w:p>
        </w:tc>
      </w:tr>
      <w:tr>
        <w:tc>
          <w:tcPr>
            <w:tcW w:type="dxa" w:w="2498"/>
          </w:tcPr>
          <w:p>
            <w:pPr>
              <w:spacing w:after="40" w:line="240" w:lineRule="auto"/>
            </w:pPr>
            <w:r>
              <w:t>V-02</w:t>
            </w:r>
          </w:p>
        </w:tc>
        <w:tc>
          <w:tcPr>
            <w:tcW w:type="dxa" w:w="2498"/>
          </w:tcPr>
          <w:p>
            <w:pPr>
              <w:spacing w:after="40" w:line="240" w:lineRule="auto"/>
            </w:pPr>
            <w:r>
              <w:t>AICTE APH 2024–2027 and any current amendments governing each programme</w:t>
            </w:r>
          </w:p>
        </w:tc>
        <w:tc>
          <w:tcPr>
            <w:tcW w:type="dxa" w:w="2498"/>
          </w:tcPr>
          <w:p>
            <w:pPr>
              <w:spacing w:after="40" w:line="240" w:lineRule="auto"/>
            </w:pPr>
            <w:r>
              <w:t>Official handbook, clause references, dated amendments</w:t>
            </w:r>
          </w:p>
        </w:tc>
        <w:tc>
          <w:tcPr>
            <w:tcW w:type="dxa" w:w="2498"/>
          </w:tcPr>
          <w:p>
            <w:pPr>
              <w:spacing w:after="40" w:line="240" w:lineRule="auto"/>
            </w:pPr>
            <w:r>
              <w:t>Before quota and penalty rules are enabled.</w:t>
            </w:r>
          </w:p>
        </w:tc>
      </w:tr>
      <w:tr>
        <w:tc>
          <w:tcPr>
            <w:tcW w:type="dxa" w:w="2498"/>
          </w:tcPr>
          <w:p>
            <w:pPr>
              <w:spacing w:after="40" w:line="240" w:lineRule="auto"/>
            </w:pPr>
            <w:r>
              <w:t>V-03</w:t>
            </w:r>
          </w:p>
        </w:tc>
        <w:tc>
          <w:tcPr>
            <w:tcW w:type="dxa" w:w="2498"/>
          </w:tcPr>
          <w:p>
            <w:pPr>
              <w:spacing w:after="40" w:line="240" w:lineRule="auto"/>
            </w:pPr>
            <w:r>
              <w:t>Sanctioned intake and seat-category calculations, quota caps, conversion rules and penalty arithmetic</w:t>
            </w:r>
          </w:p>
        </w:tc>
        <w:tc>
          <w:tcPr>
            <w:tcW w:type="dxa" w:w="2498"/>
          </w:tcPr>
          <w:p>
            <w:pPr>
              <w:spacing w:after="40" w:line="240" w:lineRule="auto"/>
            </w:pPr>
            <w:r>
              <w:t>Official clause/table plus independently checked examples</w:t>
            </w:r>
          </w:p>
        </w:tc>
        <w:tc>
          <w:tcPr>
            <w:tcW w:type="dxa" w:w="2498"/>
          </w:tcPr>
          <w:p>
            <w:pPr>
              <w:spacing w:after="40" w:line="240" w:lineRule="auto"/>
            </w:pPr>
            <w:r>
              <w:t>Before any adverse or regulatory output.</w:t>
            </w:r>
          </w:p>
        </w:tc>
      </w:tr>
      <w:tr>
        <w:tc>
          <w:tcPr>
            <w:tcW w:type="dxa" w:w="2498"/>
          </w:tcPr>
          <w:p>
            <w:pPr>
              <w:spacing w:after="40" w:line="240" w:lineRule="auto"/>
            </w:pPr>
            <w:r>
              <w:t>V-04</w:t>
            </w:r>
          </w:p>
        </w:tc>
        <w:tc>
          <w:tcPr>
            <w:tcW w:type="dxa" w:w="2498"/>
          </w:tcPr>
          <w:p>
            <w:pPr>
              <w:spacing w:after="40" w:line="240" w:lineRule="auto"/>
            </w:pPr>
            <w:r>
              <w:t>UGC simultaneous-programme rules and 2025 modification described in source</w:t>
            </w:r>
          </w:p>
        </w:tc>
        <w:tc>
          <w:tcPr>
            <w:tcW w:type="dxa" w:w="2498"/>
          </w:tcPr>
          <w:p>
            <w:pPr>
              <w:spacing w:after="40" w:line="240" w:lineRule="auto"/>
            </w:pPr>
            <w:r>
              <w:t>Official UGC notification/guideline and applicability analysis</w:t>
            </w:r>
          </w:p>
        </w:tc>
        <w:tc>
          <w:tcPr>
            <w:tcW w:type="dxa" w:w="2498"/>
          </w:tcPr>
          <w:p>
            <w:pPr>
              <w:spacing w:after="40" w:line="240" w:lineRule="auto"/>
            </w:pPr>
            <w:r>
              <w:t>Before policy adjudicator is labelled legally correct.</w:t>
            </w:r>
          </w:p>
        </w:tc>
      </w:tr>
      <w:tr>
        <w:tc>
          <w:tcPr>
            <w:tcW w:type="dxa" w:w="2498"/>
          </w:tcPr>
          <w:p>
            <w:pPr>
              <w:spacing w:after="40" w:line="240" w:lineRule="auto"/>
            </w:pPr>
            <w:r>
              <w:t>V-05</w:t>
            </w:r>
          </w:p>
        </w:tc>
        <w:tc>
          <w:tcPr>
            <w:tcW w:type="dxa" w:w="2498"/>
          </w:tcPr>
          <w:p>
            <w:pPr>
              <w:spacing w:after="40" w:line="240" w:lineRule="auto"/>
            </w:pPr>
            <w:r>
              <w:t>DPDP Act, DPDP Rules 2025, commencement/deadlines, exemptions, minors, notice, consent, erasure and sharing</w:t>
            </w:r>
          </w:p>
        </w:tc>
        <w:tc>
          <w:tcPr>
            <w:tcW w:type="dxa" w:w="2498"/>
          </w:tcPr>
          <w:p>
            <w:pPr>
              <w:spacing w:after="40" w:line="240" w:lineRule="auto"/>
            </w:pPr>
            <w:r>
              <w:t>Official Gazette/MeitY text and legal review</w:t>
            </w:r>
          </w:p>
        </w:tc>
        <w:tc>
          <w:tcPr>
            <w:tcW w:type="dxa" w:w="2498"/>
          </w:tcPr>
          <w:p>
            <w:pPr>
              <w:spacing w:after="40" w:line="240" w:lineRule="auto"/>
            </w:pPr>
            <w:r>
              <w:t>Before processing real student data.</w:t>
            </w:r>
          </w:p>
        </w:tc>
      </w:tr>
      <w:tr>
        <w:tc>
          <w:tcPr>
            <w:tcW w:type="dxa" w:w="2498"/>
          </w:tcPr>
          <w:p>
            <w:pPr>
              <w:spacing w:after="40" w:line="240" w:lineRule="auto"/>
            </w:pPr>
            <w:r>
              <w:t>V-06</w:t>
            </w:r>
          </w:p>
        </w:tc>
        <w:tc>
          <w:tcPr>
            <w:tcW w:type="dxa" w:w="2498"/>
          </w:tcPr>
          <w:p>
            <w:pPr>
              <w:spacing w:after="40" w:line="240" w:lineRule="auto"/>
            </w:pPr>
            <w:r>
              <w:t>APAAR/ABC identifier lifecycle and demographic verification rules</w:t>
            </w:r>
          </w:p>
        </w:tc>
        <w:tc>
          <w:tcPr>
            <w:tcW w:type="dxa" w:w="2498"/>
          </w:tcPr>
          <w:p>
            <w:pPr>
              <w:spacing w:after="40" w:line="240" w:lineRule="auto"/>
            </w:pPr>
            <w:r>
              <w:t>Official APAAR/ABC documentation</w:t>
            </w:r>
          </w:p>
        </w:tc>
        <w:tc>
          <w:tcPr>
            <w:tcW w:type="dxa" w:w="2498"/>
          </w:tcPr>
          <w:p>
            <w:pPr>
              <w:spacing w:after="40" w:line="240" w:lineRule="auto"/>
            </w:pPr>
            <w:r>
              <w:t>Before identity states are presented as authoritative.</w:t>
            </w:r>
          </w:p>
        </w:tc>
      </w:tr>
      <w:tr>
        <w:tc>
          <w:tcPr>
            <w:tcW w:type="dxa" w:w="2498"/>
          </w:tcPr>
          <w:p>
            <w:pPr>
              <w:spacing w:after="40" w:line="240" w:lineRule="auto"/>
            </w:pPr>
            <w:r>
              <w:t>V-07</w:t>
            </w:r>
          </w:p>
        </w:tc>
        <w:tc>
          <w:tcPr>
            <w:tcW w:type="dxa" w:w="2498"/>
          </w:tcPr>
          <w:p>
            <w:pPr>
              <w:spacing w:after="40" w:line="240" w:lineRule="auto"/>
            </w:pPr>
            <w:r>
              <w:t>DigiLocker/API Setu partner API URI formats, authentication, scopes, consent and availability</w:t>
            </w:r>
          </w:p>
        </w:tc>
        <w:tc>
          <w:tcPr>
            <w:tcW w:type="dxa" w:w="2498"/>
          </w:tcPr>
          <w:p>
            <w:pPr>
              <w:spacing w:after="40" w:line="240" w:lineRule="auto"/>
            </w:pPr>
            <w:r>
              <w:t>Current official API specifications and approved sandbox access</w:t>
            </w:r>
          </w:p>
        </w:tc>
        <w:tc>
          <w:tcPr>
            <w:tcW w:type="dxa" w:w="2498"/>
          </w:tcPr>
          <w:p>
            <w:pPr>
              <w:spacing w:after="40" w:line="240" w:lineRule="auto"/>
            </w:pPr>
            <w:r>
              <w:t>Before live integration is claimed.</w:t>
            </w:r>
          </w:p>
        </w:tc>
      </w:tr>
      <w:tr>
        <w:tc>
          <w:tcPr>
            <w:tcW w:type="dxa" w:w="2498"/>
          </w:tcPr>
          <w:p>
            <w:pPr>
              <w:spacing w:after="40" w:line="240" w:lineRule="auto"/>
            </w:pPr>
            <w:r>
              <w:t>V-08</w:t>
            </w:r>
          </w:p>
        </w:tc>
        <w:tc>
          <w:tcPr>
            <w:tcW w:type="dxa" w:w="2498"/>
          </w:tcPr>
          <w:p>
            <w:pPr>
              <w:spacing w:after="40" w:line="240" w:lineRule="auto"/>
            </w:pPr>
            <w:r>
              <w:t>ONOD/AICTE schema, authentication, data contract and access permission</w:t>
            </w:r>
          </w:p>
        </w:tc>
        <w:tc>
          <w:tcPr>
            <w:tcW w:type="dxa" w:w="2498"/>
          </w:tcPr>
          <w:p>
            <w:pPr>
              <w:spacing w:after="40" w:line="240" w:lineRule="auto"/>
            </w:pPr>
            <w:r>
              <w:t>Official interface documentation and written access approval</w:t>
            </w:r>
          </w:p>
        </w:tc>
        <w:tc>
          <w:tcPr>
            <w:tcW w:type="dxa" w:w="2498"/>
          </w:tcPr>
          <w:p>
            <w:pPr>
              <w:spacing w:after="40" w:line="240" w:lineRule="auto"/>
            </w:pPr>
            <w:r>
              <w:t>Before connector implementation is called live.</w:t>
            </w:r>
          </w:p>
        </w:tc>
      </w:tr>
      <w:tr>
        <w:tc>
          <w:tcPr>
            <w:tcW w:type="dxa" w:w="2498"/>
          </w:tcPr>
          <w:p>
            <w:pPr>
              <w:spacing w:after="40" w:line="240" w:lineRule="auto"/>
            </w:pPr>
            <w:r>
              <w:t>V-09</w:t>
            </w:r>
          </w:p>
        </w:tc>
        <w:tc>
          <w:tcPr>
            <w:tcW w:type="dxa" w:w="2498"/>
          </w:tcPr>
          <w:p>
            <w:pPr>
              <w:spacing w:after="40" w:line="240" w:lineRule="auto"/>
            </w:pPr>
            <w:r>
              <w:t>PPRL construction, encoding profile, key management, leakage risk and accuracy</w:t>
            </w:r>
          </w:p>
        </w:tc>
        <w:tc>
          <w:tcPr>
            <w:tcW w:type="dxa" w:w="2498"/>
          </w:tcPr>
          <w:p>
            <w:pPr>
              <w:spacing w:after="40" w:line="240" w:lineRule="auto"/>
            </w:pPr>
            <w:r>
              <w:t>Independent cryptographic/privacy review and labelled evaluation</w:t>
            </w:r>
          </w:p>
        </w:tc>
        <w:tc>
          <w:tcPr>
            <w:tcW w:type="dxa" w:w="2498"/>
          </w:tcPr>
          <w:p>
            <w:pPr>
              <w:spacing w:after="40" w:line="240" w:lineRule="auto"/>
            </w:pPr>
            <w:r>
              <w:t>Before privacy-preserving linkage claim is made.</w:t>
            </w:r>
          </w:p>
        </w:tc>
      </w:tr>
      <w:tr>
        <w:tc>
          <w:tcPr>
            <w:tcW w:type="dxa" w:w="2498"/>
          </w:tcPr>
          <w:p>
            <w:pPr>
              <w:spacing w:after="40" w:line="240" w:lineRule="auto"/>
            </w:pPr>
            <w:r>
              <w:t>V-10</w:t>
            </w:r>
          </w:p>
        </w:tc>
        <w:tc>
          <w:tcPr>
            <w:tcW w:type="dxa" w:w="2498"/>
          </w:tcPr>
          <w:p>
            <w:pPr>
              <w:spacing w:after="40" w:line="240" w:lineRule="auto"/>
            </w:pPr>
            <w:r>
              <w:t>Data-controller/processor roles, retention, deletion, rights workflows, incident duties, institutional agreements</w:t>
            </w:r>
          </w:p>
        </w:tc>
        <w:tc>
          <w:tcPr>
            <w:tcW w:type="dxa" w:w="2498"/>
          </w:tcPr>
          <w:p>
            <w:pPr>
              <w:spacing w:after="40" w:line="240" w:lineRule="auto"/>
            </w:pPr>
            <w:r>
              <w:t>Signed data-flow map, legal/privacy review, approved retention schedule</w:t>
            </w:r>
          </w:p>
        </w:tc>
        <w:tc>
          <w:tcPr>
            <w:tcW w:type="dxa" w:w="2498"/>
          </w:tcPr>
          <w:p>
            <w:pPr>
              <w:spacing w:after="40" w:line="240" w:lineRule="auto"/>
            </w:pPr>
            <w:r>
              <w:t>Before pilot data onboarding.</w:t>
            </w:r>
          </w:p>
        </w:tc>
      </w:tr>
      <w:tr>
        <w:tc>
          <w:tcPr>
            <w:tcW w:type="dxa" w:w="2498"/>
          </w:tcPr>
          <w:p>
            <w:pPr>
              <w:spacing w:after="40" w:line="240" w:lineRule="auto"/>
            </w:pPr>
            <w:r>
              <w:t>V-11</w:t>
            </w:r>
          </w:p>
        </w:tc>
        <w:tc>
          <w:tcPr>
            <w:tcW w:type="dxa" w:w="2498"/>
          </w:tcPr>
          <w:p>
            <w:pPr>
              <w:spacing w:after="40" w:line="240" w:lineRule="auto"/>
            </w:pPr>
            <w:r>
              <w:t>Institution ERP fields and mapping</w:t>
            </w:r>
          </w:p>
        </w:tc>
        <w:tc>
          <w:tcPr>
            <w:tcW w:type="dxa" w:w="2498"/>
          </w:tcPr>
          <w:p>
            <w:pPr>
              <w:spacing w:after="40" w:line="240" w:lineRule="auto"/>
            </w:pPr>
            <w:r>
              <w:t>Pilot institution schema and signed mapping</w:t>
            </w:r>
          </w:p>
        </w:tc>
        <w:tc>
          <w:tcPr>
            <w:tcW w:type="dxa" w:w="2498"/>
          </w:tcPr>
          <w:p>
            <w:pPr>
              <w:spacing w:after="40" w:line="240" w:lineRule="auto"/>
            </w:pPr>
            <w:r>
              <w:t>Before live import.</w:t>
            </w:r>
          </w:p>
        </w:tc>
      </w:tr>
      <w:tr>
        <w:tc>
          <w:tcPr>
            <w:tcW w:type="dxa" w:w="2498"/>
          </w:tcPr>
          <w:p>
            <w:pPr>
              <w:spacing w:after="40" w:line="240" w:lineRule="auto"/>
            </w:pPr>
            <w:r>
              <w:t>V-12</w:t>
            </w:r>
          </w:p>
        </w:tc>
        <w:tc>
          <w:tcPr>
            <w:tcW w:type="dxa" w:w="2498"/>
          </w:tcPr>
          <w:p>
            <w:pPr>
              <w:spacing w:after="40" w:line="240" w:lineRule="auto"/>
            </w:pPr>
            <w:r>
              <w:t>Any stated benchmark such as precision ≥0.97, FAR 0.0%, latency &lt;20 ms</w:t>
            </w:r>
          </w:p>
        </w:tc>
        <w:tc>
          <w:tcPr>
            <w:tcW w:type="dxa" w:w="2498"/>
          </w:tcPr>
          <w:p>
            <w:pPr>
              <w:spacing w:after="40" w:line="240" w:lineRule="auto"/>
            </w:pPr>
            <w:r>
              <w:t>Reproducible benchmark package and test methodology</w:t>
            </w:r>
          </w:p>
        </w:tc>
        <w:tc>
          <w:tcPr>
            <w:tcW w:type="dxa" w:w="2498"/>
          </w:tcPr>
          <w:p>
            <w:pPr>
              <w:spacing w:after="40" w:line="240" w:lineRule="auto"/>
            </w:pPr>
            <w:r>
              <w:t>Before performance claims in presentation.</w:t>
            </w:r>
          </w:p>
        </w:tc>
      </w:tr>
    </w:tbl>
    <w:p>
      <w:pPr>
        <w:pStyle w:val="Heading3"/>
        <w:keepNext/>
      </w:pPr>
      <w:r>
        <w:t>30.1 Release gate checklist</w:t>
      </w:r>
    </w:p>
    <w:p>
      <w:pPr>
        <w:pStyle w:val="ListBullet"/>
      </w:pPr>
      <w:r>
        <w:t>No unresolved high-severity cross-tenant authorization failure.</w:t>
      </w:r>
    </w:p>
    <w:p>
      <w:pPr>
        <w:pStyle w:val="ListBullet"/>
      </w:pPr>
      <w:r>
        <w:t>No plaintext sensitive identity fields in central matching tables or routine logs, consistent with the chosen design.</w:t>
      </w:r>
    </w:p>
    <w:p>
      <w:pPr>
        <w:pStyle w:val="ListBullet"/>
      </w:pPr>
      <w:r>
        <w:t>Policy packages are versioned, testable, approved, and traceable to authoritative source clauses.</w:t>
      </w:r>
    </w:p>
    <w:p>
      <w:pPr>
        <w:pStyle w:val="ListBullet"/>
      </w:pPr>
      <w:r>
        <w:t>No adverse decision or penalty is triggered by similarity score alone.</w:t>
      </w:r>
    </w:p>
    <w:p>
      <w:pPr>
        <w:pStyle w:val="ListBullet"/>
      </w:pPr>
      <w:r>
        <w:t>Mock/live integration status is explicit in UI, logs, reports, and demo narration.</w:t>
      </w:r>
    </w:p>
    <w:p>
      <w:pPr>
        <w:pStyle w:val="ListBullet"/>
      </w:pPr>
      <w:r>
        <w:t>Retention, deletion, backup, incident, correction, and appeal workflows have named owners.</w:t>
      </w:r>
    </w:p>
    <w:p>
      <w:pPr>
        <w:pStyle w:val="ListBullet"/>
      </w:pPr>
      <w:r>
        <w:t>Performance and matching claims are reproducible and appropriately qualified.</w:t>
      </w:r>
    </w:p>
    <w:p>
      <w:pPr>
        <w:pStyle w:val="ListBullet"/>
      </w:pPr>
      <w:r>
        <w:t>All remaining [VERIFY] items affecting real-data processing are closed or formally accepted by accountable owners.</w:t>
      </w:r>
    </w:p>
    <w:p>
      <w:pPr>
        <w:pStyle w:val="Heading2"/>
        <w:keepNext/>
      </w:pPr>
      <w:r>
        <w:t>31. Final assessment and recommended build order</w:t>
      </w:r>
    </w:p>
    <w:p>
      <w:r>
        <w:t>PRAMAAN–AICTE should be implemented as a regulatory workflow and verification layer, not as a replacement for national education repositories or a full campus ERP. The strongest prototype demonstrates one complete, auditable vertical slice before adding complex cryptography or live integrations.</w:t>
      </w:r>
    </w:p>
    <w:p>
      <w:pPr>
        <w:pStyle w:val="ListBullet"/>
      </w:pPr>
      <w:r>
        <w:t>First: approved-intake fixture + roster upload + row validation + deterministic reconciliation.</w:t>
      </w:r>
    </w:p>
    <w:p>
      <w:pPr>
        <w:pStyle w:val="ListBullet"/>
      </w:pPr>
      <w:r>
        <w:t>Second: identity linkage with institution-local plaintext boundary, exact token path, and controlled candidate review.</w:t>
      </w:r>
    </w:p>
    <w:p>
      <w:pPr>
        <w:pStyle w:val="ListBullet"/>
      </w:pPr>
      <w:r>
        <w:t>Third: versioned UGC/concurrency adjudication with human decision and correction path.</w:t>
      </w:r>
    </w:p>
    <w:p>
      <w:pPr>
        <w:pStyle w:val="ListBullet"/>
      </w:pPr>
      <w:r>
        <w:t>Fourth: purpose-limited verification with mock adapters and explicit integration state.</w:t>
      </w:r>
    </w:p>
    <w:p>
      <w:pPr>
        <w:pStyle w:val="ListBullet"/>
      </w:pPr>
      <w:r>
        <w:t>Fifth: security, privacy, performance, operations, and governance evidence required for pilot readiness.</w:t>
      </w:r>
    </w:p>
    <w:p>
      <w:r>
        <w:t>Final limitation: this report is a complete design and implementation blueprint assembled from the corrected source research and the redesign. It does not independently establish the truth of every external claim in the source, does not constitute legal advice, and does not prove production security or integration access. Close the verification register before making those claims.</w:t>
      </w:r>
    </w:p>
    <w:sectPr w:rsidR="00FC693F" w:rsidRPr="0006063C" w:rsidSect="00034616">
      <w:pgSz w:w="12240" w:h="15840"/>
      <w:pgMar w:top="1008" w:right="1152" w:bottom="1008" w:left="1152" w:header="720" w:footer="720" w:gutter="0"/>
      <w:cols w:space="720"/>
      <w:docGrid w:linePitch="360"/>
    </w:sectPr>
    <w:p>
      <w:pPr>
        <w:jc w:val="center"/>
      </w:pPr>
      <w:r>
        <w:rPr>
          <w:rFonts w:ascii="Aptos Display" w:hAnsi="Aptos Display"/>
          <w:b/>
          <w:color w:val="12304A"/>
          <w:sz w:val="60"/>
        </w:rPr>
        <w:t>PRAMAAN–AICTE</w:t>
      </w:r>
    </w:p>
    <w:p>
      <w:pPr>
        <w:jc w:val="center"/>
      </w:pPr>
      <w:r>
        <w:rPr>
          <w:b/>
          <w:color w:val="176B87"/>
          <w:sz w:val="36"/>
        </w:rPr>
        <w:t>Redesigned Architecture &amp; ERP Summary</w:t>
      </w:r>
    </w:p>
    <w:p>
      <w:pPr>
        <w:jc w:val="center"/>
      </w:pPr>
      <w:r>
        <w:rPr>
          <w:sz w:val="20"/>
        </w:rPr>
        <w:t>APAAR-anchored student data management, intake reconciliation, privacy-aware entity resolution, and verification</w:t>
      </w:r>
    </w:p>
    <w:p/>
    <w:tbl>
      <w:tblPr>
        <w:tblStyle w:val="TableGrid"/>
        <w:tblW w:type="auto" w:w="0"/>
        <w:jc w:val="center"/>
        <w:tblLayout w:type="autofit"/>
        <w:tblLook w:firstColumn="1" w:firstRow="1" w:lastColumn="0" w:lastRow="0" w:noHBand="0" w:noVBand="1" w:val="04A0"/>
      </w:tblPr>
      <w:tblGrid>
        <w:gridCol w:w="3389"/>
        <w:gridCol w:w="3389"/>
        <w:gridCol w:w="3389"/>
      </w:tblGrid>
      <w:tr>
        <w:tc>
          <w:tcPr>
            <w:tcW w:type="dxa" w:w="3389"/>
            <w:vAlign w:val="center"/>
            <w:shd w:fill="DCEAF2"/>
          </w:tcPr>
          <w:p>
            <w:pPr>
              <w:spacing w:after="40" w:line="240" w:lineRule="auto"/>
            </w:pPr>
            <w:r>
              <w:t>Document status</w:t>
            </w:r>
          </w:p>
        </w:tc>
        <w:tc>
          <w:tcPr>
            <w:tcW w:type="dxa" w:w="3389"/>
            <w:vAlign w:val="center"/>
            <w:shd w:fill="DCEAF2"/>
          </w:tcPr>
          <w:p>
            <w:pPr>
              <w:spacing w:after="40" w:line="240" w:lineRule="auto"/>
            </w:pPr>
            <w:r>
              <w:t>Scope</w:t>
            </w:r>
          </w:p>
        </w:tc>
        <w:tc>
          <w:tcPr>
            <w:tcW w:type="dxa" w:w="3389"/>
            <w:vAlign w:val="center"/>
            <w:shd w:fill="DCEAF2"/>
          </w:tcPr>
          <w:p>
            <w:pPr>
              <w:spacing w:after="40" w:line="240" w:lineRule="auto"/>
            </w:pPr>
            <w:r>
              <w:t>Design posture</w:t>
            </w:r>
          </w:p>
        </w:tc>
      </w:tr>
      <w:tr>
        <w:tc>
          <w:tcPr>
            <w:tcW w:type="dxa" w:w="3389"/>
            <w:vAlign w:val="center"/>
          </w:tcPr>
          <w:p>
            <w:pPr>
              <w:spacing w:after="40" w:line="240" w:lineRule="auto"/>
            </w:pPr>
            <w:r>
              <w:t>Proposed redesign — not an official AICTE specification</w:t>
            </w:r>
          </w:p>
        </w:tc>
        <w:tc>
          <w:tcPr>
            <w:tcW w:type="dxa" w:w="3389"/>
            <w:vAlign w:val="center"/>
          </w:tcPr>
          <w:p>
            <w:pPr>
              <w:spacing w:after="40" w:line="240" w:lineRule="auto"/>
            </w:pPr>
            <w:r>
              <w:t>SIH prototype architecture with a production-evolution path</w:t>
            </w:r>
          </w:p>
        </w:tc>
        <w:tc>
          <w:tcPr>
            <w:tcW w:type="dxa" w:w="3389"/>
            <w:vAlign w:val="center"/>
          </w:tcPr>
          <w:p>
            <w:pPr>
              <w:spacing w:after="40" w:line="240" w:lineRule="auto"/>
            </w:pPr>
            <w:r>
              <w:t>Privacy-minimizing, policy-versioned, auditable, human-reviewed</w:t>
            </w:r>
          </w:p>
        </w:tc>
      </w:tr>
    </w:tbl>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Aptos" w:hAnsi="Aptos"/>
        <w:sz w:val="16"/>
      </w:rPr>
      <w:t xml:space="preserve">PRAMAAN–AICTE  |  Complete Master Report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w:hAnsi="Aptos"/>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