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Style w:val="Title"/>
      </w:pPr>
      <w:r>
        <w:rPr>
          <w:rFonts w:ascii="Arial" w:hAnsi="Arial"/>
          <w:b/>
          <w:sz w:val="24"/>
          <w:color w:val="000000"/>
        </w:rPr>
        <w:t xml:space="preserve">GroundTruth Knowledge Base</w:t>
      </w:r>
    </w:p>
    <w:p>
      <w:pPr>
        <w:spacing w:before="0" w:after="160"/>
        <w:pStyle w:val="Subtitle"/>
      </w:pPr>
      <w:r>
        <w:rPr>
          <w:rFonts w:ascii="Arial" w:hAnsi="Arial"/>
          <w:b/>
          <w:sz w:val="48"/>
          <w:color w:val="000000"/>
        </w:rPr>
        <w:t xml:space="preserve">System Architecture Document</w:t>
      </w:r>
    </w:p>
    <w:p>
      <w:pPr>
        <w:spacing w:before="0" w:after="360"/>
      </w:pPr>
      <w:r>
        <w:rPr>
          <w:rFonts w:ascii="Calibri" w:hAnsi="Calibri"/>
          <w:i/>
          <w:color w:val="475569"/>
          <w:sz w:val="26"/>
        </w:rPr>
        <w:t xml:space="preserve">Current architecture evidence and intended end state</w:t>
      </w:r>
    </w:p>
    <w:tbl>
      <w:tblPr>
        <w:tblW w:type="auto" w:w="0"/>
        <w:jc w:val="center"/>
        <w:tblLook w:firstColumn="1" w:firstRow="1" w:lastColumn="0" w:lastRow="0" w:noHBand="0" w:noVBand="1" w:val="04A0"/>
      </w:tblPr>
      <w:tblGrid>
        <w:gridCol w:w="4680"/>
        <w:gridCol w:w="4680"/>
      </w:tblGrid>
      <w:tr>
        <w:trPr>
          <w:cantSplit/>
          <w:tblHeader/>
        </w:trPr>
        <w:tc>
          <w:tcPr>
            <w:tcW w:type="dxa" w:w="3168"/>
            <w:tcMar>
              <w:top w:w="80" w:type="dxa"/>
              <w:bottom w:w="80" w:type="dxa"/>
              <w:left w:w="120" w:type="dxa"/>
              <w:right w:w="120" w:type="dxa"/>
            </w:tcMar>
            <w:vAlign w:val="center"/>
            <w:shd w:fill="1E4E79"/>
            <w:tcBorders>
              <w:top w:val="single" w:sz="8" w:space="0" w:color="002244"/>
              <w:left w:val="none" w:sz="8" w:space="0" w:color="002244"/>
              <w:bottom w:val="single" w:sz="8" w:space="0" w:color="002244"/>
              <w:right w:val="none" w:sz="8" w:space="0" w:color="002244"/>
            </w:tcBorders>
          </w:tcPr>
          <w:p>
            <w:pPr>
              <w:spacing w:before="0" w:after="0"/>
            </w:pPr>
            <w:r>
              <w:rPr>
                <w:rFonts w:ascii="Arial" w:hAnsi="Arial"/>
                <w:b/>
                <w:color w:val="FFFFFF"/>
                <w:sz w:val="18"/>
              </w:rPr>
              <w:t>DOCUMENT IDENTIFIER</w:t>
            </w:r>
          </w:p>
        </w:tc>
        <w:tc>
          <w:tcPr>
            <w:tcW w:type="dxa" w:w="6192"/>
            <w:tcMar>
              <w:top w:w="80" w:type="dxa"/>
              <w:bottom w:w="80" w:type="dxa"/>
              <w:left w:w="120" w:type="dxa"/>
              <w:right w:w="120" w:type="dxa"/>
            </w:tcMar>
            <w:vAlign w:val="center"/>
            <w:shd w:fill="1E4E79"/>
            <w:tcBorders>
              <w:top w:val="single" w:sz="8" w:space="0" w:color="002244"/>
              <w:left w:val="none" w:sz="8" w:space="0" w:color="002244"/>
              <w:bottom w:val="single" w:sz="8" w:space="0" w:color="002244"/>
              <w:right w:val="none" w:sz="8" w:space="0" w:color="002244"/>
            </w:tcBorders>
          </w:tcPr>
          <w:p>
            <w:pPr>
              <w:spacing w:before="0" w:after="0"/>
            </w:pPr>
            <w:r>
              <w:rPr>
                <w:rFonts w:ascii="Arial" w:hAnsi="Arial"/>
                <w:b/>
                <w:color w:val="FFFFFF"/>
                <w:sz w:val="18"/>
              </w:rPr>
              <w:t>SAD-GTKB-TARGET-ENDSTATE-2026-001</w:t>
            </w:r>
          </w:p>
        </w:tc>
      </w:tr>
      <w:tr>
        <w:trPr>
          <w:cantSplit/>
        </w:trPr>
        <w:tc>
          <w:tcPr>
            <w:tcW w:type="dxa" w:w="3168"/>
            <w:tcMar>
              <w:top w:w="80" w:type="dxa"/>
              <w:bottom w:w="80" w:type="dxa"/>
              <w:left w:w="120" w:type="dxa"/>
              <w:right w:w="120" w:type="dxa"/>
            </w:tcMar>
            <w:vAlign w:val="center"/>
            <w:shd w:fill="FFFFFF"/>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b/>
                <w:color w:val="1E293B"/>
                <w:sz w:val="18"/>
              </w:rPr>
              <w:t xml:space="preserve">DRAFT STATUS</w:t>
            </w:r>
          </w:p>
        </w:tc>
        <w:tc>
          <w:tcPr>
            <w:tcW w:type="dxa" w:w="6192"/>
            <w:tcMar>
              <w:top w:w="80" w:type="dxa"/>
              <w:bottom w:w="80" w:type="dxa"/>
              <w:left w:w="120" w:type="dxa"/>
              <w:right w:w="120" w:type="dxa"/>
            </w:tcMar>
            <w:vAlign w:val="center"/>
            <w:shd w:fill="FFFFFF"/>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color w:val="1E293B"/>
                <w:sz w:val="18"/>
              </w:rPr>
              <w:t xml:space="preserve">Isolated September 30 correction draft against released c124 (a633aba). Informative architecture reference; release qualification remains pending.</w:t>
            </w:r>
          </w:p>
        </w:tc>
      </w:tr>
      <w:tr>
        <w:trPr>
          <w:cantSplit/>
        </w:trPr>
        <w:tc>
          <w:tcPr>
            <w:tcW w:type="dxa" w:w="3168"/>
            <w:tcMar>
              <w:top w:w="80" w:type="dxa"/>
              <w:bottom w:w="80" w:type="dxa"/>
              <w:left w:w="120" w:type="dxa"/>
              <w:right w:w="120" w:type="dxa"/>
            </w:tcMar>
            <w:vAlign w:val="center"/>
            <w:shd w:fill="F8FAFC"/>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b/>
                <w:color w:val="1E293B"/>
                <w:sz w:val="18"/>
              </w:rPr>
              <w:t xml:space="preserve">PREPARATION DATE</w:t>
            </w:r>
          </w:p>
        </w:tc>
        <w:tc>
          <w:tcPr>
            <w:tcW w:type="dxa" w:w="6192"/>
            <w:tcMar>
              <w:top w:w="80" w:type="dxa"/>
              <w:bottom w:w="80" w:type="dxa"/>
              <w:left w:w="120" w:type="dxa"/>
              <w:right w:w="120" w:type="dxa"/>
            </w:tcMar>
            <w:vAlign w:val="center"/>
            <w:shd w:fill="F8FAFC"/>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color w:val="1E293B"/>
                <w:sz w:val="18"/>
              </w:rPr>
              <w:t xml:space="preserve">2026-10-02. c124 is installed; the September 30 corrections remain isolated.</w:t>
            </w:r>
          </w:p>
        </w:tc>
      </w:tr>
      <w:tr>
        <w:trPr>
          <w:cantSplit/>
        </w:trPr>
        <w:tc>
          <w:tcPr>
            <w:tcW w:type="dxa" w:w="3168"/>
            <w:tcMar>
              <w:top w:w="80" w:type="dxa"/>
              <w:bottom w:w="80" w:type="dxa"/>
              <w:left w:w="120" w:type="dxa"/>
              <w:right w:w="120" w:type="dxa"/>
            </w:tcMar>
            <w:vAlign w:val="center"/>
            <w:shd w:fill="FFFFFF"/>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b/>
                <w:color w:val="1E293B"/>
                <w:sz w:val="18"/>
              </w:rPr>
              <w:t xml:space="preserve">READERS</w:t>
            </w:r>
          </w:p>
        </w:tc>
        <w:tc>
          <w:tcPr>
            <w:tcW w:type="dxa" w:w="6192"/>
            <w:tcMar>
              <w:top w:w="80" w:type="dxa"/>
              <w:bottom w:w="80" w:type="dxa"/>
              <w:left w:w="120" w:type="dxa"/>
              <w:right w:w="120" w:type="dxa"/>
            </w:tcMar>
            <w:vAlign w:val="center"/>
            <w:shd w:fill="FFFFFF"/>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color w:val="1E293B"/>
                <w:sz w:val="18"/>
              </w:rPr>
              <w:t xml:space="preserve">Owner, platform implementers and independent reviewers</w:t>
            </w:r>
          </w:p>
        </w:tc>
      </w:tr>
      <w:tr>
        <w:trPr>
          <w:cantSplit/>
        </w:trPr>
        <w:tc>
          <w:tcPr>
            <w:tcW w:type="dxa" w:w="3168"/>
            <w:tcMar>
              <w:top w:w="80" w:type="dxa"/>
              <w:bottom w:w="80" w:type="dxa"/>
              <w:left w:w="120" w:type="dxa"/>
              <w:right w:w="120" w:type="dxa"/>
            </w:tcMar>
            <w:vAlign w:val="center"/>
            <w:shd w:fill="F8FAFC"/>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b/>
                <w:color w:val="1E293B"/>
                <w:sz w:val="18"/>
              </w:rPr>
              <w:t xml:space="preserve">REFERENCE BASIS</w:t>
            </w:r>
          </w:p>
        </w:tc>
        <w:tc>
          <w:tcPr>
            <w:tcW w:type="dxa" w:w="6192"/>
            <w:tcMar>
              <w:top w:w="80" w:type="dxa"/>
              <w:bottom w:w="80" w:type="dxa"/>
              <w:left w:w="120" w:type="dxa"/>
              <w:right w:w="120" w:type="dxa"/>
            </w:tcMar>
            <w:vAlign w:val="center"/>
            <w:shd w:fill="F8FAFC"/>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color w:val="1E293B"/>
                <w:sz w:val="18"/>
              </w:rPr>
              <w:t xml:space="preserve">Seven active formal records were read through the native service on 2026-10-02. Their exact IDs and current row versions are identified in the relevant sections.</w:t>
            </w:r>
          </w:p>
        </w:tc>
      </w:tr>
      <w:tr>
        <w:trPr>
          <w:cantSplit/>
        </w:trPr>
        <w:tc>
          <w:tcPr>
            <w:tcW w:type="dxa" w:w="3168"/>
            <w:tcMar>
              <w:top w:w="80" w:type="dxa"/>
              <w:bottom w:w="80" w:type="dxa"/>
              <w:left w:w="120" w:type="dxa"/>
              <w:right w:w="120" w:type="dxa"/>
            </w:tcMar>
            <w:vAlign w:val="center"/>
            <w:shd w:fill="FFFFFF"/>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b/>
                <w:color w:val="1E293B"/>
                <w:sz w:val="18"/>
              </w:rPr>
              <w:t xml:space="preserve">SOURCE OF TRUTH</w:t>
            </w:r>
          </w:p>
        </w:tc>
        <w:tc>
          <w:tcPr>
            <w:tcW w:type="dxa" w:w="6192"/>
            <w:tcMar>
              <w:top w:w="80" w:type="dxa"/>
              <w:bottom w:w="80" w:type="dxa"/>
              <w:left w:w="120" w:type="dxa"/>
              <w:right w:w="120" w:type="dxa"/>
            </w:tcMar>
            <w:vAlign w:val="center"/>
            <w:shd w:fill="FFFFFF"/>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color w:val="1E293B"/>
                <w:sz w:val="18"/>
              </w:rPr>
              <w:t xml:space="preserve">Native PostgreSQL domain and coordination services; authored instruction and registration sources; actual Git work product. This document is informative.</w:t>
            </w:r>
          </w:p>
        </w:tc>
      </w:tr>
      <w:tr>
        <w:trPr>
          <w:cantSplit/>
        </w:trPr>
        <w:tc>
          <w:tcPr>
            <w:tcW w:type="dxa" w:w="3168"/>
            <w:tcMar>
              <w:top w:w="80" w:type="dxa"/>
              <w:bottom w:w="80" w:type="dxa"/>
              <w:left w:w="120" w:type="dxa"/>
              <w:right w:w="120" w:type="dxa"/>
            </w:tcMar>
            <w:vAlign w:val="center"/>
            <w:shd w:fill="F8FAFC"/>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b/>
                <w:color w:val="1E293B"/>
                <w:sz w:val="18"/>
              </w:rPr>
              <w:t xml:space="preserve">DRAFT AUTHOR</w:t>
            </w:r>
          </w:p>
        </w:tc>
        <w:tc>
          <w:tcPr>
            <w:tcW w:type="dxa" w:w="6192"/>
            <w:tcMar>
              <w:top w:w="80" w:type="dxa"/>
              <w:bottom w:w="80" w:type="dxa"/>
              <w:left w:w="120" w:type="dxa"/>
              <w:right w:w="120" w:type="dxa"/>
            </w:tcMar>
            <w:vAlign w:val="center"/>
            <w:shd w:fill="F8FAFC"/>
            <w:tcBorders>
              <w:top w:val="single" w:sz="4" w:space="0" w:color="CBD5E1"/>
              <w:left w:val="none" w:sz="4" w:space="0" w:color="CBD5E1"/>
              <w:bottom w:val="single" w:sz="4" w:space="0" w:color="CBD5E1"/>
              <w:right w:val="none" w:sz="4" w:space="0" w:color="CBD5E1"/>
            </w:tcBorders>
          </w:tcPr>
          <w:p>
            <w:pPr>
              <w:spacing w:before="0" w:after="0"/>
            </w:pPr>
            <w:r>
              <w:rPr>
                <w:rFonts w:ascii="Calibri" w:hAnsi="Calibri"/>
                <w:color w:val="1E293B"/>
                <w:sz w:val="18"/>
              </w:rPr>
              <w:t xml:space="preserve">External OVERWATCH. Original attribution is preserved in the unchanged precursor; this draft carries no formal GTKB acceptance.</w:t>
            </w:r>
          </w:p>
        </w:tc>
      </w:tr>
    </w:tbl>
    <w:p>
      <w:pPr>
        <w:spacing w:after="100" w:line="276" w:lineRule="auto"/>
      </w:pPr>
      <w:r>
        <w:rPr>
          <w:rFonts w:ascii="Calibri" w:hAnsi="Calibri"/>
          <w:i w:val="0"/>
          <w:color w:val="222222"/>
          <w:sz w:val="21"/>
        </w:rPr>
        <w:t xml:space="preserve">This document has no independent authority. It separates current owner and active formal intent from source-backed implementation and planned capabilities. Source integration uses released c124 (a633aba), including the 8767 Dashboard default. WP0, WP2 and WP3 are not reported as installed. WP6 context, baseline Skills and model-admission code remains proposed and unqualified; ADR v5 and REQ v3 descriptions are applied. Current typed row version and status control citations where a description body has an older header.</w:t>
      </w:r>
    </w:p>
    <w:p>
      <w:r>
        <w:br w:type="page"/>
      </w:r>
    </w:p>
    <w:p>
      <w:pPr>
        <w:keepNext/>
        <w:spacing w:before="360" w:after="160"/>
      </w:pPr>
      <w:r>
        <w:rPr>
          <w:rFonts w:ascii="Arial" w:hAnsi="Arial"/>
          <w:b/>
          <w:sz w:val="32"/>
          <w:color w:val="000000"/>
        </w:rPr>
        <w:t xml:space="preserve">Part 1 Executive Summary</w:t>
      </w:r>
    </w:p>
    <w:p>
      <w:pPr>
        <w:keepNext/>
        <w:spacing w:before="280" w:after="120"/>
      </w:pPr>
      <w:r>
        <w:rPr>
          <w:rFonts w:ascii="Arial" w:hAnsi="Arial"/>
          <w:b/>
          <w:sz w:val="26"/>
          <w:color w:val="000000"/>
        </w:rPr>
        <w:t xml:space="preserve">1 1 Platform purpose</w:t>
      </w:r>
    </w:p>
    <w:p>
      <w:pPr>
        <w:spacing w:after="100" w:line="276" w:lineRule="auto"/>
      </w:pPr>
      <w:r>
        <w:rPr>
          <w:rFonts w:ascii="Calibri" w:hAnsi="Calibri"/>
          <w:i w:val="0"/>
          <w:color w:val="222222"/>
          <w:sz w:val="21"/>
        </w:rPr>
        <w:t xml:space="preserve">GTKB is intended to let agents with relevant baseline knowledge create usable work items that other agents turn into specification-matching, tested work product and complete project commits. This draft corrects architecture statements that would misdirect that work.</w:t>
      </w:r>
    </w:p>
    <w:p>
      <w:pPr>
        <w:spacing w:after="100" w:line="276" w:lineRule="auto"/>
      </w:pPr>
      <w:r>
        <w:rPr>
          <w:rFonts w:ascii="Calibri" w:hAnsi="Calibri"/>
          <w:i w:val="0"/>
          <w:color w:val="222222"/>
          <w:sz w:val="21"/>
        </w:rPr>
        <w:t xml:space="preserve">The principal risks are incorrect authority, incomplete context, unreviewed work and drift between intended behavior and implementation. Independent review and current-source retrieval address those risks without making historical reports or additional permission records authoritative.</w:t>
      </w:r>
    </w:p>
    <w:p>
      <w:pPr>
        <w:pStyle w:val="ListBullet"/>
        <w:spacing w:after="60"/>
        <w:ind w:left="360"/>
      </w:pPr>
      <w:r>
        <w:rPr>
          <w:rFonts w:ascii="Calibri" w:hAnsi="Calibri"/>
          <w:b/>
          <w:color w:val="111827"/>
          <w:sz w:val="21"/>
        </w:rPr>
        <w:t xml:space="preserve">Implementation and independent review use separate contexts. The receiving context obtains its role from the accepted initialization marker, and a bridge claim reserves only its next artifact action.</w:t>
      </w:r>
    </w:p>
    <w:p>
      <w:pPr>
        <w:pStyle w:val="ListBullet"/>
        <w:spacing w:after="60"/>
        <w:ind w:left="360"/>
      </w:pPr>
      <w:r>
        <w:rPr>
          <w:rFonts w:ascii="Calibri" w:hAnsi="Calibri"/>
          <w:b/>
          <w:color w:val="111827"/>
          <w:sz w:val="21"/>
        </w:rPr>
        <w:t xml:space="preserve">Context is reconstructed from current formal sources, project and work-item facts and authored instructions. A generated reference or cached result cannot exempt adjacent requirements or replace a fresh authoritative read.</w:t>
      </w:r>
    </w:p>
    <w:p>
      <w:pPr>
        <w:pStyle w:val="ListBullet"/>
        <w:spacing w:after="60"/>
        <w:ind w:left="360"/>
      </w:pPr>
      <w:r>
        <w:rPr>
          <w:rFonts w:ascii="Calibri" w:hAnsi="Calibri"/>
          <w:b/>
          <w:color w:val="111827"/>
          <w:sz w:val="21"/>
        </w:rPr>
        <w:t xml:space="preserve">Attribution connects governed effects to the actual native context and its immutable GTKB binding. It does not claim hostile multi-tenant isolation, cryptographic identity assurance or regulatory certification.</w:t>
      </w:r>
    </w:p>
    <w:p>
      <w:pPr>
        <w:pStyle w:val="ListBullet"/>
        <w:spacing w:after="60"/>
        <w:ind w:left="360"/>
      </w:pPr>
      <w:r>
        <w:rPr>
          <w:rFonts w:ascii="Calibri" w:hAnsi="Calibri"/>
          <w:b/>
          <w:color w:val="111827"/>
          <w:sz w:val="21"/>
        </w:rPr>
        <w:t xml:space="preserve">A change is complete when its smallest provable affected semantic closure is reconciled. Implementation, formal requirements, tests, authored instructions and documentation must agree for the affected scope.</w:t>
      </w:r>
    </w:p>
    <w:p>
      <w:pPr>
        <w:spacing w:after="100" w:line="276" w:lineRule="auto"/>
      </w:pPr>
      <w:r>
        <w:rPr>
          <w:rFonts w:ascii="Calibri" w:hAnsi="Calibri"/>
          <w:i w:val="0"/>
          <w:color w:val="222222"/>
          <w:sz w:val="21"/>
        </w:rPr>
        <w:t xml:space="preserve">GTKB combines specification-linked work, independent review and mechanical checks. Checks return evidence and recovery routes. Owner direction resolves contradictory rules or implementation; refusal does not make a contradicted mechanism authoritative.</w:t>
      </w:r>
    </w:p>
    <w:p>
      <w:pPr>
        <w:spacing w:after="80"/>
      </w:pPr>
    </w:p>
    <w:p>
      <w:pPr>
        <w:keepNext/>
        <w:spacing w:before="280" w:after="120"/>
      </w:pPr>
      <w:r>
        <w:rPr>
          <w:rFonts w:ascii="Arial" w:hAnsi="Arial"/>
          <w:b/>
          <w:sz w:val="26"/>
          <w:color w:val="000000"/>
        </w:rPr>
        <w:t xml:space="preserve">1 2 Intended outcomes and evidence</w:t>
      </w:r>
    </w:p>
    <w:p>
      <w:pPr>
        <w:spacing w:after="100" w:line="276" w:lineRule="auto"/>
      </w:pPr>
      <w:r>
        <w:rPr>
          <w:rFonts w:ascii="Calibri" w:hAnsi="Calibri"/>
          <w:i w:val="0"/>
          <w:color w:val="222222"/>
          <w:sz w:val="21"/>
        </w:rPr>
        <w:t xml:space="preserve">The intended end state includes owner-directed ordering, independent review, complete project commitment, derived architecture context and qualified automated dispatch. Dispatcher Next and SAD shard compilation remain planned. Their design below does not establish installation.</w:t>
      </w:r>
    </w:p>
    <w:p>
      <w:pPr>
        <w:spacing w:after="100" w:line="276" w:lineRule="auto"/>
      </w:pPr>
      <w:r>
        <w:rPr>
          <w:rFonts w:ascii="Calibri" w:hAnsi="Calibri"/>
          <w:b/>
          <w:color w:val="111827"/>
          <w:sz w:val="21"/>
        </w:rPr>
        <w:t xml:space="preserve">These objectives are qualitative. The original numerical comparison lacked measurement evidence; this draft claims no defect rate, review-time reduction or cost saving.</w:t>
      </w:r>
    </w:p>
    <w:tbl>
      <w:tblPr>
        <w:jc w:val="center"/>
        <w:tblLook w:firstColumn="1" w:firstRow="1" w:lastColumn="0" w:lastRow="0" w:noHBand="0" w:noVBand="1" w:val="04A0"/>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00"/>
        <w:gridCol w:w="3480"/>
        <w:gridCol w:w="3480"/>
      </w:tblGrid>
      <w:tr>
        <w:trPr>
          <w:cantSplit/>
          <w:tblHeader/>
        </w:trPr>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2400" w:type="dxa"/>
            <w:vAlign w:val="center"/>
            <w:shd w:val="clear" w:fill="203864"/>
          </w:tcPr>
          <w:p>
            <w:pPr>
              <w:spacing w:before="40" w:after="40" w:line="240" w:lineRule="auto"/>
            </w:pPr>
            <w:r>
              <w:rPr>
                <w:rFonts w:ascii="Arial" w:hAnsi="Arial"/>
                <w:color w:val="FFFFFF"/>
                <w:sz w:val="21"/>
                <w:szCs w:val="21"/>
                <w:b/>
              </w:rPr>
              <w:t xml:space="preserve">OBJECTIVE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3480" w:type="dxa"/>
            <w:vAlign w:val="center"/>
            <w:shd w:val="clear" w:fill="203864"/>
          </w:tcPr>
          <w:p>
            <w:pPr>
              <w:spacing w:before="40" w:after="40" w:line="240" w:lineRule="auto"/>
            </w:pPr>
            <w:r>
              <w:rPr>
                <w:rFonts w:ascii="Arial" w:hAnsi="Arial"/>
                <w:color w:val="FFFFFF"/>
                <w:sz w:val="21"/>
                <w:szCs w:val="21"/>
                <w:b/>
              </w:rPr>
              <w:t xml:space="preserve">CURRENT EVIDENCE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3480" w:type="dxa"/>
            <w:vAlign w:val="center"/>
            <w:shd w:val="clear" w:fill="203864"/>
          </w:tcPr>
          <w:p>
            <w:pPr>
              <w:spacing w:before="40" w:after="40" w:line="240" w:lineRule="auto"/>
            </w:pPr>
            <w:r>
              <w:rPr>
                <w:rFonts w:ascii="Arial" w:hAnsi="Arial"/>
                <w:color w:val="FFFFFF"/>
                <w:sz w:val="21"/>
                <w:szCs w:val="21"/>
                <w:b/>
              </w:rPr>
              <w:t xml:space="preserve">INTENDED RESULT</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400" w:type="dxa"/>
            <w:vAlign w:val="center"/>
            <w:shd w:val="clear" w:fill="FFFFFF"/>
          </w:tcPr>
          <w:p>
            <w:pPr>
              <w:spacing w:before="40" w:after="40" w:line="240" w:lineRule="auto"/>
            </w:pPr>
            <w:r>
              <w:rPr>
                <w:rFonts w:ascii="Calibri" w:hAnsi="Calibri"/>
                <w:color w:val="000000"/>
                <w:sz w:val="21"/>
                <w:szCs w:val="21"/>
              </w:rPr>
              <w:t xml:space="preserve">Reviewed work product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FFFFF"/>
          </w:tcPr>
          <w:p>
            <w:pPr>
              <w:spacing w:before="40" w:after="40" w:line="240" w:lineRule="auto"/>
            </w:pPr>
            <w:r>
              <w:rPr>
                <w:rFonts w:ascii="Calibri" w:hAnsi="Calibri"/>
                <w:color w:val="000000"/>
                <w:sz w:val="21"/>
                <w:szCs w:val="21"/>
              </w:rPr>
              <w:t xml:space="preserve">Automated checks exist; agent acceptance is separate.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FFFFF"/>
          </w:tcPr>
          <w:p>
            <w:pPr>
              <w:spacing w:before="40" w:after="40" w:line="240" w:lineRule="auto"/>
            </w:pPr>
            <w:r>
              <w:rPr>
                <w:rFonts w:ascii="Calibri" w:hAnsi="Calibri"/>
                <w:color w:val="000000"/>
                <w:sz w:val="21"/>
                <w:szCs w:val="21"/>
              </w:rPr>
              <w:t xml:space="preserve">Review the exact committed work.</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400" w:type="dxa"/>
            <w:vAlign w:val="center"/>
            <w:shd w:val="clear" w:fill="F2F6FA"/>
          </w:tcPr>
          <w:p>
            <w:pPr>
              <w:spacing w:before="40" w:after="40" w:line="240" w:lineRule="auto"/>
            </w:pPr>
            <w:r>
              <w:rPr>
                <w:rFonts w:ascii="Calibri" w:hAnsi="Calibri"/>
                <w:color w:val="000000"/>
                <w:sz w:val="21"/>
                <w:szCs w:val="21"/>
              </w:rPr>
              <w:t xml:space="preserve">Specification linkage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2F6FA"/>
          </w:tcPr>
          <w:p>
            <w:pPr>
              <w:spacing w:before="40" w:after="40" w:line="240" w:lineRule="auto"/>
            </w:pPr>
            <w:r>
              <w:rPr>
                <w:rFonts w:ascii="Calibri" w:hAnsi="Calibri"/>
                <w:color w:val="000000"/>
                <w:sz w:val="21"/>
                <w:szCs w:val="21"/>
              </w:rPr>
              <w:t xml:space="preserve">Native evidence checks and formal sources.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2F6FA"/>
          </w:tcPr>
          <w:p>
            <w:pPr>
              <w:spacing w:before="40" w:after="40" w:line="240" w:lineRule="auto"/>
            </w:pPr>
            <w:r>
              <w:rPr>
                <w:rFonts w:ascii="Calibri" w:hAnsi="Calibri"/>
                <w:color w:val="000000"/>
                <w:sz w:val="21"/>
                <w:szCs w:val="21"/>
              </w:rPr>
              <w:t xml:space="preserve">Usable requirements and executable tests.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400" w:type="dxa"/>
            <w:vAlign w:val="center"/>
            <w:shd w:val="clear" w:fill="FFFFFF"/>
          </w:tcPr>
          <w:p>
            <w:pPr>
              <w:spacing w:before="40" w:after="40" w:line="240" w:lineRule="auto"/>
            </w:pPr>
            <w:r>
              <w:rPr>
                <w:rFonts w:ascii="Calibri" w:hAnsi="Calibri"/>
                <w:color w:val="000000"/>
                <w:sz w:val="21"/>
                <w:szCs w:val="21"/>
              </w:rPr>
              <w:t xml:space="preserve">Semantic closure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FFFFF"/>
          </w:tcPr>
          <w:p>
            <w:pPr>
              <w:spacing w:before="40" w:after="40" w:line="240" w:lineRule="auto"/>
            </w:pPr>
            <w:r>
              <w:rPr>
                <w:rFonts w:ascii="Calibri" w:hAnsi="Calibri"/>
                <w:color w:val="000000"/>
                <w:sz w:val="21"/>
                <w:szCs w:val="21"/>
              </w:rPr>
              <w:t xml:space="preserve">Source and review responsibilities mapped below.</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FFFFF"/>
          </w:tcPr>
          <w:p>
            <w:pPr>
              <w:spacing w:before="40" w:after="40" w:line="240" w:lineRule="auto"/>
            </w:pPr>
            <w:r>
              <w:rPr>
                <w:rFonts w:ascii="Calibri" w:hAnsi="Calibri"/>
                <w:color w:val="000000"/>
                <w:sz w:val="21"/>
                <w:szCs w:val="21"/>
              </w:rPr>
              <w:t xml:space="preserve">Reconcile smallest affected closure.</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400" w:type="dxa"/>
            <w:vAlign w:val="center"/>
            <w:shd w:val="clear" w:fill="F2F6FA"/>
          </w:tcPr>
          <w:p>
            <w:pPr>
              <w:spacing w:before="40" w:after="40" w:line="240" w:lineRule="auto"/>
            </w:pPr>
            <w:r>
              <w:rPr>
                <w:rFonts w:ascii="Calibri" w:hAnsi="Calibri"/>
                <w:color w:val="000000"/>
                <w:sz w:val="21"/>
                <w:szCs w:val="21"/>
              </w:rPr>
              <w:t xml:space="preserve">Owner intervention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2F6FA"/>
          </w:tcPr>
          <w:p>
            <w:pPr>
              <w:spacing w:before="40" w:after="40" w:line="240" w:lineRule="auto"/>
            </w:pPr>
            <w:r>
              <w:rPr>
                <w:rFonts w:ascii="Calibri" w:hAnsi="Calibri"/>
                <w:color w:val="000000"/>
                <w:sz w:val="21"/>
                <w:szCs w:val="21"/>
              </w:rPr>
              <w:t xml:space="preserve">Ordering choices and unresolved material decisions.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2F6FA"/>
          </w:tcPr>
          <w:p>
            <w:pPr>
              <w:spacing w:before="40" w:after="40" w:line="240" w:lineRule="auto"/>
            </w:pPr>
            <w:r>
              <w:rPr>
                <w:rFonts w:ascii="Calibri" w:hAnsi="Calibri"/>
                <w:color w:val="000000"/>
                <w:sz w:val="21"/>
                <w:szCs w:val="21"/>
              </w:rPr>
              <w:t xml:space="preserve">Routine work without repeated permission requests.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400" w:type="dxa"/>
            <w:vAlign w:val="center"/>
            <w:shd w:val="clear" w:fill="FFFFFF"/>
          </w:tcPr>
          <w:p>
            <w:pPr>
              <w:spacing w:before="40" w:after="40" w:line="240" w:lineRule="auto"/>
            </w:pPr>
            <w:r>
              <w:rPr>
                <w:rFonts w:ascii="Calibri" w:hAnsi="Calibri"/>
                <w:color w:val="000000"/>
                <w:sz w:val="21"/>
                <w:szCs w:val="21"/>
              </w:rPr>
              <w:t xml:space="preserve">Harness neutrality</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FFFFF"/>
          </w:tcPr>
          <w:p>
            <w:pPr>
              <w:spacing w:before="40" w:after="40" w:line="240" w:lineRule="auto"/>
            </w:pPr>
            <w:r>
              <w:rPr>
                <w:rFonts w:ascii="Calibri" w:hAnsi="Calibri"/>
                <w:color w:val="000000"/>
                <w:sz w:val="21"/>
                <w:szCs w:val="21"/>
              </w:rPr>
              <w:t xml:space="preserve">Authored sources and projections have separate roles.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480" w:type="dxa"/>
            <w:vAlign w:val="center"/>
            <w:shd w:val="clear" w:fill="FFFFFF"/>
          </w:tcPr>
          <w:p>
            <w:pPr>
              <w:spacing w:before="40" w:after="40" w:line="240" w:lineRule="auto"/>
            </w:pPr>
            <w:r>
              <w:rPr>
                <w:rFonts w:ascii="Calibri" w:hAnsi="Calibri"/>
                <w:color w:val="000000"/>
                <w:sz w:val="21"/>
                <w:szCs w:val="21"/>
              </w:rPr>
              <w:t xml:space="preserve">Prove required behavior on actual targets.</w:t>
            </w:r>
          </w:p>
        </w:tc>
      </w:tr>
    </w:tbl>
    <w:p>
      <w:pPr>
        <w:keepNext/>
        <w:spacing w:before="280" w:after="120"/>
      </w:pPr>
      <w:r>
        <w:rPr>
          <w:rFonts w:ascii="Arial" w:hAnsi="Arial"/>
          <w:b/>
          <w:sz w:val="26"/>
          <w:color w:val="000000"/>
        </w:rPr>
        <w:t xml:space="preserve">1 3 Architectural invariants</w:t>
      </w:r>
    </w:p>
    <w:p>
      <w:pPr>
        <w:spacing w:after="100" w:line="276" w:lineRule="auto"/>
      </w:pPr>
      <w:r>
        <w:rPr>
          <w:rFonts w:ascii="Calibri" w:hAnsi="Calibri"/>
          <w:i w:val="0"/>
          <w:color w:val="222222"/>
          <w:sz w:val="21"/>
        </w:rPr>
        <w:t xml:space="preserve">These invariants describe intended behavior. The map identifies available source and test responsibilities; source presence and a test definition do not establish installed qualification or completed agent acceptance.</w:t>
      </w:r>
    </w:p>
    <w:tbl>
      <w:tblPr>
        <w:jc w:val="center"/>
        <w:tblLook w:firstColumn="1" w:firstRow="1" w:lastColumn="0" w:lastRow="0" w:noHBand="0" w:noVBand="1" w:val="04A0"/>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080"/>
        <w:gridCol w:w="2880"/>
        <w:gridCol w:w="5400"/>
      </w:tblGrid>
      <w:tr>
        <w:trPr>
          <w:cantSplit/>
          <w:tblHeader/>
        </w:trPr>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1080" w:type="dxa"/>
            <w:vAlign w:val="center"/>
            <w:shd w:val="clear" w:fill="203864"/>
          </w:tcPr>
          <w:p>
            <w:pPr>
              <w:spacing w:before="40" w:after="40" w:line="240" w:lineRule="auto"/>
            </w:pPr>
            <w:r>
              <w:rPr>
                <w:rFonts w:ascii="Arial" w:hAnsi="Arial"/>
                <w:color w:val="FFFFFF"/>
                <w:sz w:val="21"/>
                <w:szCs w:val="21"/>
                <w:b/>
              </w:rPr>
              <w:t xml:space="preserve">ID</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2880" w:type="dxa"/>
            <w:vAlign w:val="center"/>
            <w:shd w:val="clear" w:fill="203864"/>
          </w:tcPr>
          <w:p>
            <w:pPr>
              <w:spacing w:before="40" w:after="40" w:line="240" w:lineRule="auto"/>
            </w:pPr>
            <w:r>
              <w:rPr>
                <w:rFonts w:ascii="Arial" w:hAnsi="Arial"/>
                <w:color w:val="FFFFFF"/>
                <w:sz w:val="21"/>
                <w:szCs w:val="21"/>
                <w:b/>
              </w:rPr>
              <w:t xml:space="preserve">PRINCIPLE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5400" w:type="dxa"/>
            <w:vAlign w:val="center"/>
            <w:shd w:val="clear" w:fill="203864"/>
          </w:tcPr>
          <w:p>
            <w:pPr>
              <w:spacing w:before="40" w:after="40" w:line="240" w:lineRule="auto"/>
            </w:pPr>
            <w:r>
              <w:rPr>
                <w:rFonts w:ascii="Arial" w:hAnsi="Arial"/>
                <w:color w:val="FFFFFF"/>
                <w:sz w:val="21"/>
                <w:szCs w:val="21"/>
                <w:b/>
              </w:rPr>
              <w:t xml:space="preserve">IMPLEMENTATION AND EVIDENCE</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FFFFF"/>
          </w:tcPr>
          <w:p>
            <w:pPr>
              <w:spacing w:before="40" w:after="40" w:line="240" w:lineRule="auto"/>
            </w:pPr>
            <w:r>
              <w:rPr>
                <w:rFonts w:ascii="Calibri" w:hAnsi="Calibri"/>
                <w:color w:val="000000"/>
                <w:sz w:val="21"/>
                <w:szCs w:val="21"/>
              </w:rPr>
              <w:t xml:space="preserve">INV-01</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FFFFF"/>
          </w:tcPr>
          <w:p>
            <w:pPr>
              <w:spacing w:before="40" w:after="40" w:line="240" w:lineRule="auto"/>
            </w:pPr>
            <w:r>
              <w:rPr>
                <w:rFonts w:ascii="Calibri" w:hAnsi="Calibri"/>
                <w:color w:val="000000"/>
                <w:sz w:val="21"/>
                <w:szCs w:val="21"/>
              </w:rPr>
              <w:t xml:space="preserve">Independent implementation and review</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FFFFF"/>
          </w:tcPr>
          <w:p>
            <w:pPr>
              <w:spacing w:before="40" w:after="40" w:line="240" w:lineRule="auto"/>
            </w:pPr>
            <w:r>
              <w:rPr>
                <w:rFonts w:ascii="Calibri" w:hAnsi="Calibri"/>
                <w:color w:val="000000"/>
                <w:sz w:val="21"/>
                <w:szCs w:val="21"/>
              </w:rPr>
              <w:t xml:space="preserve">Immutable role; role checks at proposal/verdict effects.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2F6FA"/>
          </w:tcPr>
          <w:p>
            <w:pPr>
              <w:spacing w:before="40" w:after="40" w:line="240" w:lineRule="auto"/>
            </w:pPr>
            <w:r>
              <w:rPr>
                <w:rFonts w:ascii="Calibri" w:hAnsi="Calibri"/>
                <w:color w:val="000000"/>
                <w:sz w:val="21"/>
                <w:szCs w:val="21"/>
              </w:rPr>
              <w:t xml:space="preserve">INV-02</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2F6FA"/>
          </w:tcPr>
          <w:p>
            <w:pPr>
              <w:spacing w:before="40" w:after="40" w:line="240" w:lineRule="auto"/>
            </w:pPr>
            <w:r>
              <w:rPr>
                <w:rFonts w:ascii="Calibri" w:hAnsi="Calibri"/>
                <w:color w:val="000000"/>
                <w:sz w:val="21"/>
                <w:szCs w:val="21"/>
              </w:rPr>
              <w:t xml:space="preserve">Specification-linked work</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2F6FA"/>
          </w:tcPr>
          <w:p>
            <w:pPr>
              <w:spacing w:before="40" w:after="40" w:line="240" w:lineRule="auto"/>
            </w:pPr>
            <w:r>
              <w:rPr>
                <w:rFonts w:ascii="Calibri" w:hAnsi="Calibri"/>
                <w:color w:val="000000"/>
                <w:sz w:val="21"/>
                <w:szCs w:val="21"/>
              </w:rPr>
              <w:t xml:space="preserve">Current formal roots, executable test and active test-plan phase.</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FFFFF"/>
          </w:tcPr>
          <w:p>
            <w:pPr>
              <w:spacing w:before="40" w:after="40" w:line="240" w:lineRule="auto"/>
            </w:pPr>
            <w:r>
              <w:rPr>
                <w:rFonts w:ascii="Calibri" w:hAnsi="Calibri"/>
                <w:color w:val="000000"/>
                <w:sz w:val="21"/>
                <w:szCs w:val="21"/>
              </w:rPr>
              <w:t xml:space="preserve">INV-03</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FFFFF"/>
          </w:tcPr>
          <w:p>
            <w:pPr>
              <w:spacing w:before="40" w:after="40" w:line="240" w:lineRule="auto"/>
            </w:pPr>
            <w:r>
              <w:rPr>
                <w:rFonts w:ascii="Calibri" w:hAnsi="Calibri"/>
                <w:color w:val="000000"/>
                <w:sz w:val="21"/>
                <w:szCs w:val="21"/>
              </w:rPr>
              <w:t xml:space="preserve">Smallest affected closure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FFFFF"/>
          </w:tcPr>
          <w:p>
            <w:pPr>
              <w:spacing w:before="40" w:after="40" w:line="240" w:lineRule="auto"/>
            </w:pPr>
            <w:r>
              <w:rPr>
                <w:rFonts w:ascii="Calibri" w:hAnsi="Calibri"/>
                <w:color w:val="000000"/>
                <w:sz w:val="21"/>
                <w:szCs w:val="21"/>
              </w:rPr>
              <w:t xml:space="preserve">Independent applicability and adjacency; no invented ledger.</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2F6FA"/>
          </w:tcPr>
          <w:p>
            <w:pPr>
              <w:spacing w:before="40" w:after="40" w:line="240" w:lineRule="auto"/>
            </w:pPr>
            <w:r>
              <w:rPr>
                <w:rFonts w:ascii="Calibri" w:hAnsi="Calibri"/>
                <w:color w:val="000000"/>
                <w:sz w:val="21"/>
                <w:szCs w:val="21"/>
              </w:rPr>
              <w:t xml:space="preserve">INV-04</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2F6FA"/>
          </w:tcPr>
          <w:p>
            <w:pPr>
              <w:spacing w:before="40" w:after="40" w:line="240" w:lineRule="auto"/>
            </w:pPr>
            <w:r>
              <w:rPr>
                <w:rFonts w:ascii="Calibri" w:hAnsi="Calibri"/>
                <w:color w:val="000000"/>
                <w:sz w:val="21"/>
                <w:szCs w:val="21"/>
              </w:rPr>
              <w:t xml:space="preserve">Applicable checks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2F6FA"/>
          </w:tcPr>
          <w:p>
            <w:pPr>
              <w:spacing w:before="40" w:after="40" w:line="240" w:lineRule="auto"/>
            </w:pPr>
            <w:r>
              <w:rPr>
                <w:rFonts w:ascii="Calibri" w:hAnsi="Calibri"/>
                <w:color w:val="000000"/>
                <w:sz w:val="21"/>
                <w:szCs w:val="21"/>
              </w:rPr>
              <w:t xml:space="preserve">Behavior and semantic review; structural discovery is not completion.</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FFFFF"/>
          </w:tcPr>
          <w:p>
            <w:pPr>
              <w:spacing w:before="40" w:after="40" w:line="240" w:lineRule="auto"/>
            </w:pPr>
            <w:r>
              <w:rPr>
                <w:rFonts w:ascii="Calibri" w:hAnsi="Calibri"/>
                <w:color w:val="000000"/>
                <w:sz w:val="21"/>
                <w:szCs w:val="21"/>
              </w:rPr>
              <w:t xml:space="preserve">INV-05</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FFFFF"/>
          </w:tcPr>
          <w:p>
            <w:pPr>
              <w:spacing w:before="40" w:after="40" w:line="240" w:lineRule="auto"/>
            </w:pPr>
            <w:r>
              <w:rPr>
                <w:rFonts w:ascii="Calibri" w:hAnsi="Calibri"/>
                <w:color w:val="000000"/>
                <w:sz w:val="21"/>
                <w:szCs w:val="21"/>
              </w:rPr>
              <w:t xml:space="preserve">Immutable attribution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FFFFF"/>
          </w:tcPr>
          <w:p>
            <w:pPr>
              <w:spacing w:before="40" w:after="40" w:line="240" w:lineRule="auto"/>
            </w:pPr>
            <w:r>
              <w:rPr>
                <w:rFonts w:ascii="Calibri" w:hAnsi="Calibri"/>
                <w:color w:val="000000"/>
                <w:sz w:val="21"/>
                <w:szCs w:val="21"/>
              </w:rPr>
              <w:t xml:space="preserve">One actual native-context binding, no role fallback or mutable container.</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2F6FA"/>
          </w:tcPr>
          <w:p>
            <w:pPr>
              <w:spacing w:before="40" w:after="40" w:line="240" w:lineRule="auto"/>
            </w:pPr>
            <w:r>
              <w:rPr>
                <w:rFonts w:ascii="Calibri" w:hAnsi="Calibri"/>
                <w:color w:val="000000"/>
                <w:sz w:val="21"/>
                <w:szCs w:val="21"/>
              </w:rPr>
              <w:t xml:space="preserve">INV-06</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2F6FA"/>
          </w:tcPr>
          <w:p>
            <w:pPr>
              <w:spacing w:before="40" w:after="40" w:line="240" w:lineRule="auto"/>
            </w:pPr>
            <w:r>
              <w:rPr>
                <w:rFonts w:ascii="Calibri" w:hAnsi="Calibri"/>
                <w:color w:val="000000"/>
                <w:sz w:val="21"/>
                <w:szCs w:val="21"/>
              </w:rPr>
              <w:t xml:space="preserve">Activation through Git fact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2F6FA"/>
          </w:tcPr>
          <w:p>
            <w:pPr>
              <w:spacing w:before="40" w:after="40" w:line="240" w:lineRule="auto"/>
            </w:pPr>
            <w:r>
              <w:rPr>
                <w:rFonts w:ascii="Calibri" w:hAnsi="Calibri"/>
                <w:color w:val="000000"/>
                <w:sz w:val="21"/>
                <w:szCs w:val="21"/>
              </w:rPr>
              <w:t xml:space="preserve">One complete project commit establishes activation and terminality.</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FFFFF"/>
          </w:tcPr>
          <w:p>
            <w:pPr>
              <w:spacing w:before="40" w:after="40" w:line="240" w:lineRule="auto"/>
            </w:pPr>
            <w:r>
              <w:rPr>
                <w:rFonts w:ascii="Calibri" w:hAnsi="Calibri"/>
                <w:color w:val="000000"/>
                <w:sz w:val="21"/>
                <w:szCs w:val="21"/>
              </w:rPr>
              <w:t xml:space="preserve">INV-07</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FFFFF"/>
          </w:tcPr>
          <w:p>
            <w:pPr>
              <w:spacing w:before="40" w:after="40" w:line="240" w:lineRule="auto"/>
            </w:pPr>
            <w:r>
              <w:rPr>
                <w:rFonts w:ascii="Calibri" w:hAnsi="Calibri"/>
                <w:color w:val="000000"/>
                <w:sz w:val="21"/>
                <w:szCs w:val="21"/>
              </w:rPr>
              <w:t xml:space="preserve">Established source roles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FFFFF"/>
          </w:tcPr>
          <w:p>
            <w:pPr>
              <w:spacing w:before="40" w:after="40" w:line="240" w:lineRule="auto"/>
            </w:pPr>
            <w:r>
              <w:rPr>
                <w:rFonts w:ascii="Calibri" w:hAnsi="Calibri"/>
                <w:color w:val="000000"/>
                <w:sz w:val="21"/>
                <w:szCs w:val="21"/>
              </w:rPr>
              <w:t xml:space="preserve">Native state, authored instructions and Git facts remain distinct.</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080" w:type="dxa"/>
            <w:vAlign w:val="center"/>
            <w:shd w:val="clear" w:fill="F2F6FA"/>
          </w:tcPr>
          <w:p>
            <w:pPr>
              <w:spacing w:before="40" w:after="40" w:line="240" w:lineRule="auto"/>
            </w:pPr>
            <w:r>
              <w:rPr>
                <w:rFonts w:ascii="Calibri" w:hAnsi="Calibri"/>
                <w:color w:val="000000"/>
                <w:sz w:val="21"/>
                <w:szCs w:val="21"/>
              </w:rPr>
              <w:t xml:space="preserve">INV-08</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80" w:type="dxa"/>
            <w:vAlign w:val="center"/>
            <w:shd w:val="clear" w:fill="F2F6FA"/>
          </w:tcPr>
          <w:p>
            <w:pPr>
              <w:spacing w:before="40" w:after="40" w:line="240" w:lineRule="auto"/>
            </w:pPr>
            <w:r>
              <w:rPr>
                <w:rFonts w:ascii="Calibri" w:hAnsi="Calibri"/>
                <w:color w:val="000000"/>
                <w:sz w:val="21"/>
                <w:szCs w:val="21"/>
              </w:rPr>
              <w:t xml:space="preserve">Subtraction first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5400" w:type="dxa"/>
            <w:vAlign w:val="center"/>
            <w:shd w:val="clear" w:fill="F2F6FA"/>
          </w:tcPr>
          <w:p>
            <w:pPr>
              <w:spacing w:before="40" w:after="40" w:line="240" w:lineRule="auto"/>
            </w:pPr>
            <w:r>
              <w:rPr>
                <w:rFonts w:ascii="Calibri" w:hAnsi="Calibri"/>
                <w:color w:val="000000"/>
                <w:sz w:val="21"/>
                <w:szCs w:val="21"/>
              </w:rPr>
              <w:t xml:space="preserve">Correct or remove mechanisms before adding durable concepts.</w:t>
            </w:r>
          </w:p>
        </w:tc>
      </w:tr>
    </w:tbl>
    <w:p>
      <w:pPr>
        <w:keepNext/>
        <w:spacing w:before="280" w:after="120"/>
      </w:pPr>
      <w:r>
        <w:rPr>
          <w:rFonts w:ascii="Arial" w:hAnsi="Arial"/>
          <w:b/>
          <w:sz w:val="26"/>
          <w:color w:val="000000"/>
        </w:rPr>
        <w:t xml:space="preserve">1 4 Component responsibilities</w:t>
      </w:r>
    </w:p>
    <w:p>
      <w:pPr>
        <w:spacing w:after="100" w:line="276" w:lineRule="auto"/>
      </w:pPr>
      <w:r>
        <w:rPr>
          <w:rFonts w:ascii="Calibri" w:hAnsi="Calibri"/>
          <w:i w:val="0"/>
          <w:color w:val="222222"/>
          <w:sz w:val="21"/>
        </w:rPr>
        <w:t xml:space="preserve">The responsibilities below separate owner decisions, native state, transient coordination, work-product effects and independent review. Planned responsibilities remain visible without being reported as installed subsystems.</w:t>
      </w:r>
    </w:p>
    <w:p>
      <w:pPr>
        <w:pStyle w:val="ListBullet"/>
        <w:spacing w:after="60"/>
        <w:ind w:left="360"/>
      </w:pPr>
      <w:r>
        <w:rPr>
          <w:rFonts w:ascii="Calibri" w:hAnsi="Calibri"/>
          <w:b/>
          <w:color w:val="111827"/>
          <w:sz w:val="21"/>
        </w:rPr>
        <w:t xml:space="preserve">Owner supervision sets project ordering and resolves material choices directly in the affected authoritative record. Deliberations and conversation history explain decisions but do not become an execution dependency.</w:t>
      </w:r>
    </w:p>
    <w:p>
      <w:pPr>
        <w:pStyle w:val="ListBullet"/>
        <w:spacing w:after="60"/>
        <w:ind w:left="360"/>
      </w:pPr>
      <w:r>
        <w:rPr>
          <w:rFonts w:ascii="Calibri" w:hAnsi="Calibri"/>
          <w:b/>
          <w:color w:val="111827"/>
          <w:sz w:val="21"/>
        </w:rPr>
        <w:t xml:space="preserve">Native bridge coordination provides the twelve-status lifecycle and exact artifact claims. Automated scheduling, worker launch and watchdog coordination are planned Dispatcher Next work under M28.</w:t>
      </w:r>
    </w:p>
    <w:p>
      <w:pPr>
        <w:pStyle w:val="ListBullet"/>
        <w:spacing w:after="60"/>
        <w:ind w:left="360"/>
      </w:pPr>
      <w:r>
        <w:rPr>
          <w:rFonts w:ascii="Calibri" w:hAnsi="Calibri"/>
          <w:b/>
          <w:color w:val="111827"/>
          <w:sz w:val="21"/>
        </w:rPr>
        <w:t xml:space="preserve">Domain authority stores formal records, project and work-item relationships and test definitions. Historical deliberations remain read-only. Architecture context generation and graph intersections are planned M29 work.</w:t>
      </w:r>
    </w:p>
    <w:p>
      <w:pPr>
        <w:pStyle w:val="ListBullet"/>
        <w:spacing w:after="60"/>
        <w:ind w:left="360"/>
      </w:pPr>
      <w:r>
        <w:rPr>
          <w:rFonts w:ascii="Calibri" w:hAnsi="Calibri"/>
          <w:b/>
          <w:color w:val="111827"/>
          <w:sz w:val="21"/>
        </w:rPr>
        <w:t xml:space="preserve">Work-product effects use the current registered checkout and concrete claimed paths. Effect checks and containment are evaluated by their measured capabilities rather than assumed universal AST interception.</w:t>
      </w:r>
    </w:p>
    <w:p>
      <w:pPr>
        <w:pStyle w:val="ListBullet"/>
        <w:spacing w:after="60"/>
        <w:ind w:left="360"/>
      </w:pPr>
      <w:r>
        <w:rPr>
          <w:rFonts w:ascii="Calibri" w:hAnsi="Calibri"/>
          <w:b/>
          <w:color w:val="111827"/>
          <w:sz w:val="21"/>
        </w:rPr>
        <w:t xml:space="preserve">Independent review uses appropriate executable checks and semantic investigation. Native qualification, actual-host context delivery and agent cycles through project commitment establish distinct results.</w:t>
      </w:r>
    </w:p>
    <w:p>
      <w:pPr>
        <w:keepNext/>
        <w:spacing w:before="280" w:after="120"/>
      </w:pPr>
      <w:r>
        <w:rPr>
          <w:rFonts w:ascii="Arial" w:hAnsi="Arial"/>
          <w:b/>
          <w:sz w:val="26"/>
          <w:color w:val="000000"/>
        </w:rPr>
        <w:t xml:space="preserve">1 5 Correction and successor sequence</w:t>
      </w:r>
    </w:p>
    <w:p>
      <w:pPr>
        <w:spacing w:after="100" w:line="276" w:lineRule="auto"/>
      </w:pPr>
      <w:r>
        <w:rPr>
          <w:rFonts w:ascii="Calibri" w:hAnsi="Calibri"/>
          <w:i w:val="0"/>
          <w:color w:val="222222"/>
          <w:sz w:val="21"/>
        </w:rPr>
        <w:t xml:space="preserve">September 30 corrections address resolution semantics, completion evidence, membership deauthorization, bounded operations, file-bridge retirement, this SAD and agent acceptance through project commits. Product and canonical changes remain required until implemented and installed.</w:t>
      </w:r>
    </w:p>
    <w:p>
      <w:pPr>
        <w:pStyle w:val="ListBullet"/>
        <w:spacing w:after="60"/>
        <w:ind w:left="360"/>
      </w:pPr>
      <w:r>
        <w:rPr>
          <w:rFonts w:ascii="Calibri" w:hAnsi="Calibri"/>
          <w:b/>
          <w:color w:val="111827"/>
          <w:sz w:val="21"/>
        </w:rPr>
        <w:t xml:space="preserve">M28 remains the planned Dispatcher Next qualification and cutover boundary. Until qualification and activation, the owner selects work manually.</w:t>
      </w:r>
    </w:p>
    <w:p>
      <w:pPr>
        <w:pStyle w:val="ListBullet"/>
        <w:spacing w:after="60"/>
        <w:ind w:left="360"/>
      </w:pPr>
      <w:r>
        <w:rPr>
          <w:rFonts w:ascii="Calibri" w:hAnsi="Calibri"/>
          <w:b/>
          <w:color w:val="111827"/>
          <w:sz w:val="21"/>
        </w:rPr>
        <w:t xml:space="preserve">M29 remains the planned full SAD shard compiler and loading work. WP6 adds a minimum native message-context floor using this document and the authored baseline; it does not select the full compiler's serving location.</w:t>
      </w:r>
    </w:p>
    <w:p>
      <w:pPr>
        <w:pStyle w:val="ListBullet"/>
        <w:spacing w:after="60"/>
        <w:ind w:left="360"/>
      </w:pPr>
      <w:r>
        <w:rPr>
          <w:rFonts w:ascii="Calibri" w:hAnsi="Calibri"/>
          <w:b/>
          <w:color w:val="111827"/>
          <w:sz w:val="21"/>
        </w:rPr>
        <w:t xml:space="preserve">Agent acceptance uses genuine work through complete project commits. M13 and efficacy each cover their required recovery cases once across their distinct workload, rather than repeating every case for every item.</w:t>
      </w:r>
    </w:p>
    <w:p>
      <w:r>
        <w:br w:type="page"/>
      </w:r>
    </w:p>
    <w:p>
      <w:pPr>
        <w:keepNext/>
        <w:spacing w:before="360" w:after="160"/>
      </w:pPr>
      <w:r>
        <w:rPr>
          <w:rFonts w:ascii="Arial" w:hAnsi="Arial"/>
          <w:b/>
          <w:sz w:val="32"/>
          <w:color w:val="000000"/>
        </w:rPr>
        <w:t xml:space="preserve">Part 2 Detailed Architecture</w:t>
      </w:r>
    </w:p>
    <w:p>
      <w:pPr>
        <w:keepNext/>
        <w:spacing w:before="280" w:after="120"/>
      </w:pPr>
      <w:r>
        <w:rPr>
          <w:rFonts w:ascii="Arial" w:hAnsi="Arial"/>
          <w:b/>
          <w:sz w:val="26"/>
          <w:color w:val="000000"/>
        </w:rPr>
        <w:t xml:space="preserve">Section 2 Authority and Knowledge</w:t>
      </w:r>
    </w:p>
    <w:p>
      <w:pPr>
        <w:keepNext/>
        <w:spacing w:before="200" w:after="80"/>
      </w:pPr>
      <w:r>
        <w:rPr>
          <w:rFonts w:ascii="Arial" w:hAnsi="Arial"/>
          <w:b/>
          <w:sz w:val="22"/>
          <w:color w:val="000000"/>
        </w:rPr>
        <w:t xml:space="preserve">2 1 Current authority and historical rationale</w:t>
      </w:r>
    </w:p>
    <w:p>
      <w:pPr>
        <w:spacing w:after="100" w:line="276" w:lineRule="auto"/>
      </w:pPr>
      <w:r>
        <w:rPr>
          <w:rFonts w:ascii="Calibri" w:hAnsi="Calibri"/>
          <w:i w:val="0"/>
          <w:color w:val="222222"/>
          <w:sz w:val="21"/>
        </w:rPr>
        <w:t xml:space="preserve">Current active formal records state requirements. Native services return canonical project, work-item and test facts. Historical deliberations may explain earlier reasoning but supply no authorization, currentness or completion result.</w:t>
      </w:r>
    </w:p>
    <w:p>
      <w:pPr>
        <w:pStyle w:val="ListBullet"/>
        <w:spacing w:after="60"/>
        <w:ind w:left="360"/>
      </w:pPr>
      <w:r>
        <w:rPr>
          <w:rFonts w:ascii="Calibri" w:hAnsi="Calibri"/>
          <w:b/>
          <w:color w:val="111827"/>
          <w:sz w:val="21"/>
        </w:rPr>
        <w:t xml:space="preserve">The PostgreSQL kernel contains real domain and relationship tables. Clients use typed CLI and service APIs rather than raw tables, credentials or a replacement storage interface.</w:t>
      </w:r>
    </w:p>
    <w:p>
      <w:pPr>
        <w:pStyle w:val="ListBullet"/>
        <w:spacing w:after="60"/>
        <w:ind w:left="360"/>
      </w:pPr>
      <w:r>
        <w:rPr>
          <w:rFonts w:ascii="Calibri" w:hAnsi="Calibri"/>
          <w:b/>
          <w:color w:val="111827"/>
          <w:sz w:val="21"/>
        </w:rPr>
        <w:t xml:space="preserve">DCL-CANONICAL-CARRIER-NONAUTHORITY-001 is active at row version 2. It requires current authoritative records and actual Git facts, and treats bridge messages, projections, scratch and optional notes as informative carriers.</w:t>
      </w:r>
    </w:p>
    <w:p>
      <w:pPr>
        <w:pStyle w:val="ListBullet"/>
        <w:spacing w:after="60"/>
        <w:ind w:left="360"/>
      </w:pPr>
      <w:r>
        <w:rPr>
          <w:rFonts w:ascii="Calibri" w:hAnsi="Calibri"/>
          <w:b/>
          <w:color w:val="111827"/>
          <w:sz w:val="21"/>
        </w:rPr>
        <w:t xml:space="preserve">Authorization is a mutable ordering field on the execution-project row. Retired PAUTH records and decision ledgers grant or deny nothing. Owner choices are applied to affected current records without an additional approval dependency.</w:t>
      </w:r>
    </w:p>
    <w:p>
      <w:pPr>
        <w:keepNext/>
        <w:spacing w:before="200" w:after="80"/>
      </w:pPr>
      <w:r>
        <w:rPr>
          <w:rFonts w:ascii="Arial" w:hAnsi="Arial"/>
          <w:b/>
          <w:sz w:val="22"/>
          <w:color w:val="000000"/>
        </w:rPr>
        <w:t xml:space="preserve">2 2 Source roles and precedence</w:t>
      </w:r>
    </w:p>
    <w:p>
      <w:pPr>
        <w:spacing w:after="100" w:line="276" w:lineRule="auto"/>
      </w:pPr>
      <w:r>
        <w:rPr>
          <w:rFonts w:ascii="Calibri" w:hAnsi="Calibri"/>
          <w:i w:val="0"/>
          <w:color w:val="222222"/>
          <w:sz w:val="21"/>
        </w:rPr>
        <w:t xml:space="preserve">Owner direction governs assigned work. Active formal requirements state intent; current domain records state planning and coordination facts. The neutral baseline owns rules, hooks and Skills; root AGENTS.md is the tracked instruction entrypoint. Generated harness pointers grant no authority. Correct conflicts at their authored source.</w:t>
      </w:r>
    </w:p>
    <w:tbl>
      <w:tblPr>
        <w:jc w:val="center"/>
        <w:tblLook w:firstColumn="1" w:firstRow="1" w:lastColumn="0" w:lastRow="0" w:noHBand="0" w:noVBand="1" w:val="04A0"/>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560"/>
        <w:gridCol w:w="2820"/>
        <w:gridCol w:w="4980"/>
      </w:tblGrid>
      <w:tr>
        <w:trPr>
          <w:cantSplit/>
          <w:tblHeader/>
        </w:trPr>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1560" w:type="dxa"/>
            <w:vAlign w:val="center"/>
            <w:shd w:val="clear" w:fill="203864"/>
          </w:tcPr>
          <w:p>
            <w:pPr>
              <w:spacing w:before="40" w:after="40" w:line="240" w:lineRule="auto"/>
            </w:pPr>
            <w:r>
              <w:rPr>
                <w:rFonts w:ascii="Arial" w:hAnsi="Arial"/>
                <w:color w:val="FFFFFF"/>
                <w:sz w:val="21"/>
                <w:szCs w:val="21"/>
                <w:b/>
              </w:rPr>
              <w:t xml:space="preserve">SOURCE ROLE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2820" w:type="dxa"/>
            <w:vAlign w:val="center"/>
            <w:shd w:val="clear" w:fill="203864"/>
          </w:tcPr>
          <w:p>
            <w:pPr>
              <w:spacing w:before="40" w:after="40" w:line="240" w:lineRule="auto"/>
            </w:pPr>
            <w:r>
              <w:rPr>
                <w:rFonts w:ascii="Arial" w:hAnsi="Arial"/>
                <w:color w:val="FFFFFF"/>
                <w:sz w:val="21"/>
                <w:szCs w:val="21"/>
                <w:b/>
              </w:rPr>
              <w:t xml:space="preserve">SOURCE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4980" w:type="dxa"/>
            <w:vAlign w:val="center"/>
            <w:shd w:val="clear" w:fill="203864"/>
          </w:tcPr>
          <w:p>
            <w:pPr>
              <w:spacing w:before="40" w:after="40" w:line="240" w:lineRule="auto"/>
            </w:pPr>
            <w:r>
              <w:rPr>
                <w:rFonts w:ascii="Arial" w:hAnsi="Arial"/>
                <w:color w:val="FFFFFF"/>
                <w:sz w:val="21"/>
                <w:szCs w:val="21"/>
                <w:b/>
              </w:rPr>
              <w:t xml:space="preserve">USE AND LIMIT</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FFFFF"/>
          </w:tcPr>
          <w:p>
            <w:pPr>
              <w:spacing w:before="40" w:after="40" w:line="240" w:lineRule="auto"/>
            </w:pPr>
            <w:r>
              <w:rPr>
                <w:rFonts w:ascii="Calibri" w:hAnsi="Calibri"/>
                <w:color w:val="000000"/>
                <w:sz w:val="21"/>
                <w:szCs w:val="21"/>
              </w:rPr>
              <w:t xml:space="preserve">Owner direction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FFFFF"/>
          </w:tcPr>
          <w:p>
            <w:pPr>
              <w:spacing w:before="40" w:after="40" w:line="240" w:lineRule="auto"/>
            </w:pPr>
            <w:r>
              <w:rPr>
                <w:rFonts w:ascii="Calibri" w:hAnsi="Calibri"/>
                <w:color w:val="000000"/>
                <w:sz w:val="21"/>
                <w:szCs w:val="21"/>
              </w:rPr>
              <w:t xml:space="preserve">Explicit current owner instruction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FFFFF"/>
          </w:tcPr>
          <w:p>
            <w:pPr>
              <w:spacing w:before="40" w:after="40" w:line="240" w:lineRule="auto"/>
            </w:pPr>
            <w:r>
              <w:rPr>
                <w:rFonts w:ascii="Calibri" w:hAnsi="Calibri"/>
                <w:color w:val="000000"/>
                <w:sz w:val="21"/>
                <w:szCs w:val="21"/>
              </w:rPr>
              <w:t xml:space="preserve">Apply material choices to affected current records.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2F6FA"/>
          </w:tcPr>
          <w:p>
            <w:pPr>
              <w:spacing w:before="40" w:after="40" w:line="240" w:lineRule="auto"/>
            </w:pPr>
            <w:r>
              <w:rPr>
                <w:rFonts w:ascii="Calibri" w:hAnsi="Calibri"/>
                <w:color w:val="000000"/>
                <w:sz w:val="21"/>
                <w:szCs w:val="21"/>
              </w:rPr>
              <w:t xml:space="preserve">Formal intent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2F6FA"/>
          </w:tcPr>
          <w:p>
            <w:pPr>
              <w:spacing w:before="40" w:after="40" w:line="240" w:lineRule="auto"/>
            </w:pPr>
            <w:r>
              <w:rPr>
                <w:rFonts w:ascii="Calibri" w:hAnsi="Calibri"/>
                <w:color w:val="000000"/>
                <w:sz w:val="21"/>
                <w:szCs w:val="21"/>
              </w:rPr>
              <w:t xml:space="preserve">Active formal records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2F6FA"/>
          </w:tcPr>
          <w:p>
            <w:pPr>
              <w:spacing w:before="40" w:after="40" w:line="240" w:lineRule="auto"/>
            </w:pPr>
            <w:r>
              <w:rPr>
                <w:rFonts w:ascii="Calibri" w:hAnsi="Calibri"/>
                <w:color w:val="000000"/>
                <w:sz w:val="21"/>
                <w:szCs w:val="21"/>
              </w:rPr>
              <w:t xml:space="preserve">Requirements by current typed row version.</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FFFFF"/>
          </w:tcPr>
          <w:p>
            <w:pPr>
              <w:spacing w:before="40" w:after="40" w:line="240" w:lineRule="auto"/>
            </w:pPr>
            <w:r>
              <w:rPr>
                <w:rFonts w:ascii="Calibri" w:hAnsi="Calibri"/>
                <w:color w:val="000000"/>
                <w:sz w:val="21"/>
                <w:szCs w:val="21"/>
              </w:rPr>
              <w:t xml:space="preserve">Planning facts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FFFFF"/>
          </w:tcPr>
          <w:p>
            <w:pPr>
              <w:spacing w:before="40" w:after="40" w:line="240" w:lineRule="auto"/>
            </w:pPr>
            <w:r>
              <w:rPr>
                <w:rFonts w:ascii="Calibri" w:hAnsi="Calibri"/>
                <w:color w:val="000000"/>
                <w:sz w:val="21"/>
                <w:szCs w:val="21"/>
              </w:rPr>
              <w:t xml:space="preserve">Project and work-item records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FFFFF"/>
          </w:tcPr>
          <w:p>
            <w:pPr>
              <w:spacing w:before="40" w:after="40" w:line="240" w:lineRule="auto"/>
            </w:pPr>
            <w:r>
              <w:rPr>
                <w:rFonts w:ascii="Calibri" w:hAnsi="Calibri"/>
                <w:color w:val="000000"/>
                <w:sz w:val="21"/>
                <w:szCs w:val="21"/>
              </w:rPr>
              <w:t xml:space="preserve">Membership, ordering, roots and readiness.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2F6FA"/>
          </w:tcPr>
          <w:p>
            <w:pPr>
              <w:spacing w:before="40" w:after="40" w:line="240" w:lineRule="auto"/>
            </w:pPr>
            <w:r>
              <w:rPr>
                <w:rFonts w:ascii="Calibri" w:hAnsi="Calibri"/>
                <w:color w:val="000000"/>
                <w:sz w:val="21"/>
                <w:szCs w:val="21"/>
              </w:rPr>
              <w:t xml:space="preserve">Authored instructions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2F6FA"/>
          </w:tcPr>
          <w:p>
            <w:pPr>
              <w:spacing w:before="40" w:after="40" w:line="240" w:lineRule="auto"/>
            </w:pPr>
            <w:r>
              <w:rPr>
                <w:rFonts w:ascii="Calibri" w:hAnsi="Calibri"/>
                <w:color w:val="000000"/>
                <w:sz w:val="21"/>
                <w:szCs w:val="21"/>
              </w:rPr>
              <w:t xml:space="preserve">Neutral baseline and root AGENTS.md entrypoint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2F6FA"/>
          </w:tcPr>
          <w:p>
            <w:pPr>
              <w:spacing w:before="40" w:after="40" w:line="240" w:lineRule="auto"/>
            </w:pPr>
            <w:r>
              <w:rPr>
                <w:rFonts w:ascii="Calibri" w:hAnsi="Calibri"/>
                <w:color w:val="000000"/>
                <w:sz w:val="21"/>
                <w:szCs w:val="21"/>
              </w:rPr>
              <w:t xml:space="preserve">Baseline Skills authored; harness Skills pointers generated.</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FFFFF"/>
          </w:tcPr>
          <w:p>
            <w:pPr>
              <w:spacing w:before="40" w:after="40" w:line="240" w:lineRule="auto"/>
            </w:pPr>
            <w:r>
              <w:rPr>
                <w:rFonts w:ascii="Calibri" w:hAnsi="Calibri"/>
                <w:color w:val="000000"/>
                <w:sz w:val="21"/>
                <w:szCs w:val="21"/>
              </w:rPr>
              <w:t xml:space="preserve">Historical rationale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FFFFF"/>
          </w:tcPr>
          <w:p>
            <w:pPr>
              <w:spacing w:before="40" w:after="40" w:line="240" w:lineRule="auto"/>
            </w:pPr>
            <w:r>
              <w:rPr>
                <w:rFonts w:ascii="Calibri" w:hAnsi="Calibri"/>
                <w:color w:val="000000"/>
                <w:sz w:val="21"/>
                <w:szCs w:val="21"/>
              </w:rPr>
              <w:t xml:space="preserve">Read-only deliberations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FFFFF"/>
          </w:tcPr>
          <w:p>
            <w:pPr>
              <w:spacing w:before="40" w:after="40" w:line="240" w:lineRule="auto"/>
            </w:pPr>
            <w:r>
              <w:rPr>
                <w:rFonts w:ascii="Calibri" w:hAnsi="Calibri"/>
                <w:color w:val="000000"/>
                <w:sz w:val="21"/>
                <w:szCs w:val="21"/>
              </w:rPr>
              <w:t xml:space="preserve">No authorization, currentness or completion.</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2F6FA"/>
          </w:tcPr>
          <w:p>
            <w:pPr>
              <w:spacing w:before="40" w:after="40" w:line="240" w:lineRule="auto"/>
            </w:pPr>
            <w:r>
              <w:rPr>
                <w:rFonts w:ascii="Calibri" w:hAnsi="Calibri"/>
                <w:color w:val="000000"/>
                <w:sz w:val="21"/>
                <w:szCs w:val="21"/>
              </w:rPr>
              <w:t xml:space="preserve">Transient coordination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2F6FA"/>
          </w:tcPr>
          <w:p>
            <w:pPr>
              <w:spacing w:before="40" w:after="40" w:line="240" w:lineRule="auto"/>
            </w:pPr>
            <w:r>
              <w:rPr>
                <w:rFonts w:ascii="Calibri" w:hAnsi="Calibri"/>
                <w:color w:val="000000"/>
                <w:sz w:val="21"/>
                <w:szCs w:val="21"/>
              </w:rPr>
              <w:t xml:space="preserve">Native bridge payloads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2F6FA"/>
          </w:tcPr>
          <w:p>
            <w:pPr>
              <w:spacing w:before="40" w:after="40" w:line="240" w:lineRule="auto"/>
            </w:pPr>
            <w:r>
              <w:rPr>
                <w:rFonts w:ascii="Calibri" w:hAnsi="Calibri"/>
                <w:color w:val="000000"/>
                <w:sz w:val="21"/>
                <w:szCs w:val="21"/>
              </w:rPr>
              <w:t xml:space="preserve">Current attempt and exact artifact claim govern effects.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560" w:type="dxa"/>
            <w:vAlign w:val="center"/>
            <w:shd w:val="clear" w:fill="FFFFFF"/>
          </w:tcPr>
          <w:p>
            <w:pPr>
              <w:spacing w:before="40" w:after="40" w:line="240" w:lineRule="auto"/>
            </w:pPr>
            <w:r>
              <w:rPr>
                <w:rFonts w:ascii="Calibri" w:hAnsi="Calibri"/>
                <w:color w:val="000000"/>
                <w:sz w:val="21"/>
                <w:szCs w:val="21"/>
              </w:rPr>
              <w:t xml:space="preserve">Derived configuration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820" w:type="dxa"/>
            <w:vAlign w:val="center"/>
            <w:shd w:val="clear" w:fill="FFFFFF"/>
          </w:tcPr>
          <w:p>
            <w:pPr>
              <w:spacing w:before="40" w:after="40" w:line="240" w:lineRule="auto"/>
            </w:pPr>
            <w:r>
              <w:rPr>
                <w:rFonts w:ascii="Calibri" w:hAnsi="Calibri"/>
                <w:color w:val="000000"/>
                <w:sz w:val="21"/>
                <w:szCs w:val="21"/>
              </w:rPr>
              <w:t xml:space="preserve">Generated harness output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980" w:type="dxa"/>
            <w:vAlign w:val="center"/>
            <w:shd w:val="clear" w:fill="FFFFFF"/>
          </w:tcPr>
          <w:p>
            <w:pPr>
              <w:spacing w:before="40" w:after="40" w:line="240" w:lineRule="auto"/>
            </w:pPr>
            <w:r>
              <w:rPr>
                <w:rFonts w:ascii="Calibri" w:hAnsi="Calibri"/>
                <w:color w:val="000000"/>
                <w:sz w:val="21"/>
                <w:szCs w:val="21"/>
              </w:rPr>
              <w:t xml:space="preserve">Deterministic projection, no independent authority.</w:t>
            </w:r>
          </w:p>
        </w:tc>
      </w:tr>
    </w:tbl>
    <w:p>
      <w:pPr>
        <w:keepNext/>
        <w:spacing w:before="200" w:after="80"/>
      </w:pPr>
      <w:r>
        <w:rPr>
          <w:rFonts w:ascii="Arial" w:hAnsi="Arial"/>
          <w:b/>
          <w:sz w:val="22"/>
          <w:color w:val="000000"/>
        </w:rPr>
        <w:t xml:space="preserve">2 3 Component and source map</w:t>
      </w:r>
    </w:p>
    <w:p>
      <w:pPr>
        <w:spacing w:after="100" w:line="276" w:lineRule="auto"/>
      </w:pPr>
      <w:r>
        <w:rPr>
          <w:rFonts w:ascii="Calibri" w:hAnsi="Calibri"/>
          <w:i w:val="0"/>
          <w:color w:val="222222"/>
          <w:sz w:val="21"/>
        </w:rPr>
        <w:t xml:space="preserve">postgres_kernel.py defines specifications, projects, work_items, project_work_item_memberships, tests, test_plans, test_plan_phases and supporting domain relationships, plus canonical_terms and harnesses. Coordination uses session_init_bindings, bridge_attempts, bridge_items and work_intent_claims; record_history accompanies changes. Prior invented canonical_projects and related DDL are removed. The inspected kernel does not establish pgvector.</w:t>
      </w:r>
    </w:p>
    <w:p>
      <w:pPr>
        <w:keepNext/>
        <w:spacing w:before="120" w:after="40"/>
      </w:pPr>
      <w:r>
        <w:rPr>
          <w:rFonts w:ascii="Arial" w:hAnsi="Arial"/>
          <w:b/>
          <w:i/>
          <w:color w:val="475569"/>
          <w:sz w:val="18"/>
        </w:rPr>
        <w:t xml:space="preserve">This map combines source responsibilities, relevant test responsibilities and explicit planned gaps. A named test is not a test result.</w:t>
      </w:r>
    </w:p>
    <w:p>
      <w:pPr>
        <w:spacing w:after="100" w:line="276" w:lineRule="auto"/>
      </w:pPr>
      <w:r>
        <w:rPr>
          <w:rFonts w:ascii="Calibri" w:hAnsi="Calibri"/>
          <w:i w:val="0"/>
          <w:color w:val="222222"/>
          <w:sz w:val="21"/>
        </w:rPr>
        <w:t xml:space="preserve">GT-KB Home is GT-KB's default standard GUI. It runs the pinned DeepSeek Harness SDK web app (@deepseek-ai/dsh 0.1.2-rc.1) with the existing GT-KB plugin on loopback port 3080. The plugin presents status, service controls and operational controls inside that GUI. The Home open command and prepared start-and-open shortcut use this same interface. Signed-in owner GUI actions retain the direct owner route; assigned agent operations use their exact operational bounds. The Dashboard is a linked service whose owner-selected port is 8767 in c124.</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680"/>
        <w:gridCol w:w="3840"/>
        <w:gridCol w:w="3840"/>
      </w:tblGrid>
      <w:tr>
        <w:trPr>
          <w:tblHeader/>
        </w:trPr>
        <w:tc>
          <w:tcPr>
            <w:tcW w:w="1680" w:type="dxa"/>
            <w:vAlign w:val="center"/>
            <w:shd w:val="clear" w:fill="203864"/>
          </w:tcPr>
          <w:p>
            <w:pPr>
              <w:spacing w:after="40" w:line="240" w:lineRule="auto" w:before="40"/>
            </w:pPr>
            <w:r>
              <w:rPr>
                <w:rFonts w:ascii="Calibri" w:hAnsi="Calibri"/>
                <w:i w:val="0"/>
                <w:color w:val="FFFFFF"/>
                <w:sz w:val="21"/>
                <w:szCs w:val="21"/>
                <w:b/>
              </w:rPr>
              <w:t xml:space="preserve">COMPONENT</w:t>
            </w:r>
          </w:p>
        </w:tc>
        <w:tc>
          <w:tcPr>
            <w:tcW w:w="3840" w:type="dxa"/>
            <w:vAlign w:val="center"/>
            <w:shd w:val="clear" w:fill="203864"/>
          </w:tcPr>
          <w:p>
            <w:pPr>
              <w:spacing w:after="40" w:line="240" w:lineRule="auto" w:before="40"/>
            </w:pPr>
            <w:r>
              <w:rPr>
                <w:rFonts w:ascii="Calibri" w:hAnsi="Calibri"/>
                <w:i w:val="0"/>
                <w:color w:val="FFFFFF"/>
                <w:sz w:val="21"/>
                <w:szCs w:val="21"/>
                <w:b/>
              </w:rPr>
              <w:t xml:space="preserve">SOURCE AND RESPONSIBILITY</w:t>
            </w:r>
          </w:p>
        </w:tc>
        <w:tc>
          <w:tcPr>
            <w:tcW w:w="3840" w:type="dxa"/>
            <w:vAlign w:val="center"/>
            <w:shd w:val="clear" w:fill="203864"/>
          </w:tcPr>
          <w:p>
            <w:pPr>
              <w:spacing w:after="40" w:line="240" w:lineRule="auto" w:before="40"/>
            </w:pPr>
            <w:r>
              <w:rPr>
                <w:rFonts w:ascii="Calibri" w:hAnsi="Calibri"/>
                <w:i w:val="0"/>
                <w:color w:val="FFFFFF"/>
                <w:sz w:val="21"/>
                <w:szCs w:val="21"/>
                <w:b/>
              </w:rPr>
              <w:t xml:space="preserve">EVIDENCE AND REMAINING WORK</w:t>
            </w:r>
          </w:p>
        </w:tc>
      </w:tr>
      <w:tr>
        <w:trPr/>
        <w:tc>
          <w:tcPr>
            <w:tcW w:w="1680" w:type="dxa"/>
            <w:vAlign w:val="center"/>
            <w:shd w:val="clear" w:fill="FFFFFF"/>
          </w:tcPr>
          <w:p>
            <w:pPr>
              <w:spacing w:after="40" w:line="240" w:lineRule="auto" w:before="40"/>
            </w:pPr>
            <w:r>
              <w:rPr>
                <w:rFonts w:ascii="Calibri" w:hAnsi="Calibri"/>
                <w:i w:val="0"/>
                <w:color w:val="000000"/>
                <w:sz w:val="21"/>
                <w:szCs w:val="21"/>
              </w:rPr>
              <w:t xml:space="preserve">Domain authority</w:t>
            </w:r>
          </w:p>
        </w:tc>
        <w:tc>
          <w:tcPr>
            <w:tcW w:w="3840" w:type="dxa"/>
            <w:vAlign w:val="center"/>
            <w:shd w:val="clear" w:fill="FFFFFF"/>
          </w:tcPr>
          <w:p>
            <w:pPr>
              <w:spacing w:after="40" w:line="240" w:lineRule="auto" w:before="40"/>
            </w:pPr>
            <w:r>
              <w:rPr>
                <w:rFonts w:ascii="Calibri" w:hAnsi="Calibri"/>
                <w:i w:val="0"/>
                <w:color w:val="000000"/>
                <w:sz w:val="21"/>
                <w:szCs w:val="21"/>
              </w:rPr>
              <w:t xml:space="preserve">PostgreSQL records; native_authority.py and postgres_kernel.py own typed transactions/readback.</w:t>
            </w:r>
          </w:p>
        </w:tc>
        <w:tc>
          <w:tcPr>
            <w:tcW w:w="3840" w:type="dxa"/>
            <w:vAlign w:val="center"/>
            <w:shd w:val="clear" w:fill="FFFFFF"/>
          </w:tcPr>
          <w:p>
            <w:pPr>
              <w:spacing w:after="40" w:line="240" w:lineRule="auto" w:before="40"/>
            </w:pPr>
            <w:r>
              <w:rPr>
                <w:rFonts w:ascii="Calibri" w:hAnsi="Calibri"/>
                <w:i w:val="0"/>
                <w:color w:val="000000"/>
                <w:sz w:val="21"/>
                <w:szCs w:val="21"/>
              </w:rPr>
              <w:t xml:space="preserve">Authority and PostgreSQL kernel/integration tests; presence is not a result.</w:t>
            </w:r>
          </w:p>
        </w:tc>
      </w:tr>
      <w:tr>
        <w:trPr/>
        <w:tc>
          <w:tcPr>
            <w:tcW w:w="1680" w:type="dxa"/>
            <w:vAlign w:val="center"/>
            <w:shd w:val="clear" w:fill="F2F6FA"/>
          </w:tcPr>
          <w:p>
            <w:pPr>
              <w:spacing w:after="40" w:line="240" w:lineRule="auto" w:before="40"/>
            </w:pPr>
            <w:r>
              <w:rPr>
                <w:rFonts w:ascii="Calibri" w:hAnsi="Calibri"/>
                <w:i w:val="0"/>
                <w:color w:val="000000"/>
                <w:sz w:val="21"/>
                <w:szCs w:val="21"/>
              </w:rPr>
              <w:t xml:space="preserve">Session attribution</w:t>
            </w:r>
          </w:p>
        </w:tc>
        <w:tc>
          <w:tcPr>
            <w:tcW w:w="3840" w:type="dxa"/>
            <w:vAlign w:val="center"/>
            <w:shd w:val="clear" w:fill="F2F6FA"/>
          </w:tcPr>
          <w:p>
            <w:pPr>
              <w:spacing w:after="40" w:line="240" w:lineRule="auto" w:before="40"/>
            </w:pPr>
            <w:r>
              <w:rPr>
                <w:rFonts w:ascii="Calibri" w:hAnsi="Calibri"/>
                <w:i w:val="0"/>
                <w:color w:val="000000"/>
                <w:sz w:val="21"/>
                <w:szCs w:val="21"/>
              </w:rPr>
              <w:t xml:space="preserve">session_init_bindings maps actual native context to immutable subject and role.</w:t>
            </w:r>
          </w:p>
        </w:tc>
        <w:tc>
          <w:tcPr>
            <w:tcW w:w="3840" w:type="dxa"/>
            <w:vAlign w:val="center"/>
            <w:shd w:val="clear" w:fill="F2F6FA"/>
          </w:tcPr>
          <w:p>
            <w:pPr>
              <w:spacing w:after="40" w:line="240" w:lineRule="auto" w:before="40"/>
            </w:pPr>
            <w:r>
              <w:rPr>
                <w:rFonts w:ascii="Calibri" w:hAnsi="Calibri"/>
                <w:i w:val="0"/>
                <w:color w:val="000000"/>
                <w:sz w:val="21"/>
                <w:szCs w:val="21"/>
              </w:rPr>
              <w:t xml:space="preserve">Native session-context/binding tests; actual-host startup is separate.</w:t>
            </w:r>
          </w:p>
        </w:tc>
      </w:tr>
      <w:tr>
        <w:trPr/>
        <w:tc>
          <w:tcPr>
            <w:tcW w:w="1680" w:type="dxa"/>
            <w:vAlign w:val="center"/>
            <w:shd w:val="clear" w:fill="FFFFFF"/>
          </w:tcPr>
          <w:p>
            <w:pPr>
              <w:spacing w:after="40" w:line="240" w:lineRule="auto" w:before="40"/>
            </w:pPr>
            <w:r>
              <w:rPr>
                <w:rFonts w:ascii="Calibri" w:hAnsi="Calibri"/>
                <w:i w:val="0"/>
                <w:color w:val="000000"/>
                <w:sz w:val="21"/>
                <w:szCs w:val="21"/>
              </w:rPr>
              <w:t xml:space="preserve">Native bridge</w:t>
            </w:r>
          </w:p>
        </w:tc>
        <w:tc>
          <w:tcPr>
            <w:tcW w:w="3840" w:type="dxa"/>
            <w:vAlign w:val="center"/>
            <w:shd w:val="clear" w:fill="FFFFFF"/>
          </w:tcPr>
          <w:p>
            <w:pPr>
              <w:spacing w:after="40" w:line="240" w:lineRule="auto" w:before="40"/>
            </w:pPr>
            <w:r>
              <w:rPr>
                <w:rFonts w:ascii="Calibri" w:hAnsi="Calibri"/>
                <w:i w:val="0"/>
                <w:color w:val="000000"/>
                <w:sz w:val="21"/>
                <w:szCs w:val="21"/>
              </w:rPr>
              <w:t xml:space="preserve">bridge_attempts, bridge_items and work_intent_claims; exact next-action reservation.</w:t>
            </w:r>
          </w:p>
        </w:tc>
        <w:tc>
          <w:tcPr>
            <w:tcW w:w="3840" w:type="dxa"/>
            <w:vAlign w:val="center"/>
            <w:shd w:val="clear" w:fill="FFFFFF"/>
          </w:tcPr>
          <w:p>
            <w:pPr>
              <w:spacing w:after="40" w:line="240" w:lineRule="auto" w:before="40"/>
            </w:pPr>
            <w:r>
              <w:rPr>
                <w:rFonts w:ascii="Calibri" w:hAnsi="Calibri"/>
                <w:i w:val="0"/>
                <w:color w:val="000000"/>
                <w:sz w:val="21"/>
                <w:szCs w:val="21"/>
              </w:rPr>
              <w:t xml:space="preserve">Bridge, queue, delivery and status tests. No work-item ownership.</w:t>
            </w:r>
          </w:p>
        </w:tc>
      </w:tr>
      <w:tr>
        <w:trPr/>
        <w:tc>
          <w:tcPr>
            <w:tcW w:w="1680" w:type="dxa"/>
            <w:vAlign w:val="center"/>
            <w:shd w:val="clear" w:fill="F2F6FA"/>
          </w:tcPr>
          <w:p>
            <w:pPr>
              <w:spacing w:after="40" w:line="240" w:lineRule="auto" w:before="40"/>
            </w:pPr>
            <w:r>
              <w:rPr>
                <w:rFonts w:ascii="Calibri" w:hAnsi="Calibri"/>
                <w:i w:val="0"/>
                <w:color w:val="000000"/>
                <w:sz w:val="21"/>
                <w:szCs w:val="21"/>
              </w:rPr>
              <w:t xml:space="preserve">Project finalization</w:t>
            </w:r>
          </w:p>
        </w:tc>
        <w:tc>
          <w:tcPr>
            <w:tcW w:w="3840" w:type="dxa"/>
            <w:vAlign w:val="center"/>
            <w:shd w:val="clear" w:fill="F2F6FA"/>
          </w:tcPr>
          <w:p>
            <w:pPr>
              <w:spacing w:after="40" w:line="240" w:lineRule="auto" w:before="40"/>
            </w:pPr>
            <w:r>
              <w:rPr>
                <w:rFonts w:ascii="Calibri" w:hAnsi="Calibri"/>
                <w:i w:val="0"/>
                <w:color w:val="000000"/>
                <w:sz w:val="21"/>
                <w:szCs w:val="21"/>
              </w:rPr>
              <w:t xml:space="preserve">Actual Git mode/object/ancestry and complete reviewed project; native commit interfaces.</w:t>
            </w:r>
          </w:p>
        </w:tc>
        <w:tc>
          <w:tcPr>
            <w:tcW w:w="3840" w:type="dxa"/>
            <w:vAlign w:val="center"/>
            <w:shd w:val="clear" w:fill="F2F6FA"/>
          </w:tcPr>
          <w:p>
            <w:pPr>
              <w:spacing w:after="40" w:line="240" w:lineRule="auto" w:before="40"/>
            </w:pPr>
            <w:r>
              <w:rPr>
                <w:rFonts w:ascii="Calibri" w:hAnsi="Calibri"/>
                <w:i w:val="0"/>
                <w:color w:val="000000"/>
                <w:sz w:val="21"/>
                <w:szCs w:val="21"/>
              </w:rPr>
              <w:t xml:space="preserve">Project-finalization, boundary, index and recovery tests; agent commitment separate.</w:t>
            </w:r>
          </w:p>
        </w:tc>
      </w:tr>
      <w:tr>
        <w:trPr/>
        <w:tc>
          <w:tcPr>
            <w:tcW w:w="1680" w:type="dxa"/>
            <w:vAlign w:val="center"/>
            <w:shd w:val="clear" w:fill="FFFFFF"/>
          </w:tcPr>
          <w:p>
            <w:pPr>
              <w:spacing w:after="40" w:line="240" w:lineRule="auto" w:before="40"/>
            </w:pPr>
            <w:r>
              <w:rPr>
                <w:rFonts w:ascii="Calibri" w:hAnsi="Calibri"/>
                <w:i w:val="0"/>
                <w:color w:val="000000"/>
                <w:sz w:val="21"/>
                <w:szCs w:val="21"/>
              </w:rPr>
              <w:t xml:space="preserve">Instructions and projections</w:t>
            </w:r>
          </w:p>
        </w:tc>
        <w:tc>
          <w:tcPr>
            <w:tcW w:w="3840" w:type="dxa"/>
            <w:vAlign w:val="center"/>
            <w:shd w:val="clear" w:fill="FFFFFF"/>
          </w:tcPr>
          <w:p>
            <w:pPr>
              <w:spacing w:after="40" w:line="240" w:lineRule="auto" w:before="40"/>
            </w:pPr>
            <w:r>
              <w:rPr>
                <w:rFonts w:ascii="Calibri" w:hAnsi="Calibri"/>
                <w:i w:val="0"/>
                <w:color w:val="000000"/>
                <w:sz w:val="21"/>
                <w:szCs w:val="21"/>
              </w:rPr>
              <w:t xml:space="preserve">Neutral baseline rules, hooks and Skills; root AGENTS.md entrypoint; harness projections derived.</w:t>
            </w:r>
          </w:p>
        </w:tc>
        <w:tc>
          <w:tcPr>
            <w:tcW w:w="3840" w:type="dxa"/>
            <w:vAlign w:val="center"/>
            <w:shd w:val="clear" w:fill="FFFFFF"/>
          </w:tcPr>
          <w:p>
            <w:pPr>
              <w:spacing w:after="40" w:line="240" w:lineRule="auto" w:before="40"/>
            </w:pPr>
            <w:r>
              <w:rPr>
                <w:rFonts w:ascii="Calibri" w:hAnsi="Calibri"/>
                <w:i w:val="0"/>
                <w:color w:val="000000"/>
                <w:sz w:val="21"/>
                <w:szCs w:val="21"/>
              </w:rPr>
              <w:t xml:space="preserve">REQ-GTKB-HARNESS-BASELINE-PROJECTION-CONTRACT-001 v3; projection tests and M13 loading.</w:t>
            </w:r>
          </w:p>
        </w:tc>
      </w:tr>
      <w:tr>
        <w:trPr/>
        <w:tc>
          <w:tcPr>
            <w:tcW w:w="1680" w:type="dxa"/>
            <w:vAlign w:val="center"/>
            <w:shd w:val="clear" w:fill="F2F6FA"/>
          </w:tcPr>
          <w:p>
            <w:pPr>
              <w:spacing w:after="40" w:line="240" w:lineRule="auto" w:before="40"/>
            </w:pPr>
            <w:r>
              <w:rPr>
                <w:rFonts w:ascii="Calibri" w:hAnsi="Calibri"/>
                <w:i w:val="0"/>
                <w:color w:val="000000"/>
                <w:sz w:val="21"/>
                <w:szCs w:val="21"/>
              </w:rPr>
              <w:t xml:space="preserve">Service control</w:t>
            </w:r>
          </w:p>
        </w:tc>
        <w:tc>
          <w:tcPr>
            <w:tcW w:w="3840" w:type="dxa"/>
            <w:vAlign w:val="center"/>
            <w:shd w:val="clear" w:fill="F2F6FA"/>
          </w:tcPr>
          <w:p>
            <w:pPr>
              <w:spacing w:after="40" w:line="240" w:lineRule="auto" w:before="40"/>
            </w:pPr>
            <w:r>
              <w:rPr>
                <w:rFonts w:ascii="Calibri" w:hAnsi="Calibri"/>
                <w:i w:val="0"/>
                <w:color w:val="000000"/>
                <w:sz w:val="21"/>
                <w:szCs w:val="21"/>
              </w:rPr>
              <w:t xml:space="preserve">Registered installation controllers; services_control.py, Home and dashboard routes.</w:t>
            </w:r>
          </w:p>
        </w:tc>
        <w:tc>
          <w:tcPr>
            <w:tcW w:w="3840" w:type="dxa"/>
            <w:vAlign w:val="center"/>
            <w:shd w:val="clear" w:fill="F2F6FA"/>
          </w:tcPr>
          <w:p>
            <w:pPr>
              <w:spacing w:after="40" w:line="240" w:lineRule="auto" w:before="40"/>
            </w:pPr>
            <w:r>
              <w:rPr>
                <w:rFonts w:ascii="Calibri" w:hAnsi="Calibri"/>
                <w:i w:val="0"/>
                <w:color w:val="000000"/>
                <w:sz w:val="21"/>
                <w:szCs w:val="21"/>
              </w:rPr>
              <w:t xml:space="preserve">test_services_control.py; authored service/Home, Dashboard and control mocks. WP3 qualification and independent verification remain required.</w:t>
            </w:r>
          </w:p>
        </w:tc>
      </w:tr>
      <w:tr>
        <w:trPr/>
        <w:tc>
          <w:tcPr>
            <w:tcW w:w="1680" w:type="dxa"/>
            <w:vAlign w:val="center"/>
            <w:shd w:val="clear" w:fill="FFFFFF"/>
          </w:tcPr>
          <w:p>
            <w:pPr>
              <w:spacing w:after="40" w:line="240" w:lineRule="auto" w:before="40"/>
            </w:pPr>
            <w:r>
              <w:rPr>
                <w:rFonts w:ascii="Calibri" w:hAnsi="Calibri"/>
                <w:i w:val="0"/>
                <w:color w:val="000000"/>
                <w:sz w:val="21"/>
                <w:szCs w:val="21"/>
              </w:rPr>
              <w:t xml:space="preserve">Dispatcher Next</w:t>
            </w:r>
          </w:p>
        </w:tc>
        <w:tc>
          <w:tcPr>
            <w:tcW w:w="3840" w:type="dxa"/>
            <w:vAlign w:val="center"/>
            <w:shd w:val="clear" w:fill="FFFFFF"/>
          </w:tcPr>
          <w:p>
            <w:pPr>
              <w:spacing w:after="40" w:line="240" w:lineRule="auto" w:before="40"/>
            </w:pPr>
            <w:r>
              <w:rPr>
                <w:rFonts w:ascii="Calibri" w:hAnsi="Calibri"/>
                <w:i w:val="0"/>
                <w:color w:val="000000"/>
                <w:sz w:val="21"/>
                <w:szCs w:val="21"/>
              </w:rPr>
              <w:t xml:space="preserve">Planned M28 scheduling, workers and recovery using canonical facts.</w:t>
            </w:r>
          </w:p>
        </w:tc>
        <w:tc>
          <w:tcPr>
            <w:tcW w:w="3840" w:type="dxa"/>
            <w:vAlign w:val="center"/>
            <w:shd w:val="clear" w:fill="FFFFFF"/>
          </w:tcPr>
          <w:p>
            <w:pPr>
              <w:spacing w:after="40" w:line="240" w:lineRule="auto" w:before="40"/>
            </w:pPr>
            <w:r>
              <w:rPr>
                <w:rFonts w:ascii="Calibri" w:hAnsi="Calibri"/>
                <w:i w:val="0"/>
                <w:color w:val="000000"/>
                <w:sz w:val="21"/>
                <w:szCs w:val="21"/>
              </w:rPr>
              <w:t xml:space="preserve">Not established as installed; independent M28 qualification required.</w:t>
            </w:r>
          </w:p>
        </w:tc>
      </w:tr>
      <w:tr>
        <w:trPr/>
        <w:tc>
          <w:tcPr>
            <w:tcW w:w="1680" w:type="dxa"/>
            <w:vAlign w:val="center"/>
            <w:shd w:val="clear" w:fill="F2F6FA"/>
          </w:tcPr>
          <w:p>
            <w:pPr>
              <w:spacing w:after="40" w:line="240" w:lineRule="auto" w:before="40"/>
            </w:pPr>
            <w:r>
              <w:rPr>
                <w:rFonts w:ascii="Calibri" w:hAnsi="Calibri"/>
                <w:i w:val="0"/>
                <w:color w:val="000000"/>
                <w:sz w:val="21"/>
                <w:szCs w:val="21"/>
              </w:rPr>
              <w:t xml:space="preserve">SAD context</w:t>
            </w:r>
          </w:p>
        </w:tc>
        <w:tc>
          <w:tcPr>
            <w:tcW w:w="3840" w:type="dxa"/>
            <w:vAlign w:val="center"/>
            <w:shd w:val="clear" w:fill="F2F6FA"/>
          </w:tcPr>
          <w:p>
            <w:pPr>
              <w:spacing w:after="40" w:line="240" w:lineRule="auto" w:before="40"/>
            </w:pPr>
            <w:r>
              <w:rPr>
                <w:rFonts w:ascii="Calibri" w:hAnsi="Calibri"/>
                <w:i w:val="0"/>
                <w:color w:val="000000"/>
                <w:sz w:val="21"/>
                <w:szCs w:val="21"/>
              </w:rPr>
              <w:t xml:space="preserve">Native work-item message-context floor; full M29 project delta, intersections and WordPress reference planned.</w:t>
            </w:r>
          </w:p>
        </w:tc>
        <w:tc>
          <w:tcPr>
            <w:tcW w:w="3840" w:type="dxa"/>
            <w:vAlign w:val="center"/>
            <w:shd w:val="clear" w:fill="F2F6FA"/>
          </w:tcPr>
          <w:p>
            <w:pPr>
              <w:spacing w:after="40" w:line="240" w:lineRule="auto" w:before="40"/>
            </w:pPr>
            <w:r>
              <w:rPr>
                <w:rFonts w:ascii="Calibri" w:hAnsi="Calibri"/>
                <w:i w:val="0"/>
                <w:color w:val="000000"/>
                <w:sz w:val="21"/>
                <w:szCs w:val="21"/>
              </w:rPr>
              <w:t xml:space="preserve">Minimum reader uses named authored sources; full compiler and serving location remain unresolved.</w:t>
            </w:r>
          </w:p>
        </w:tc>
      </w:tr>
    </w:tbl>
    <w:p>
      <w:pPr>
        <w:spacing w:after="80"/>
      </w:pPr>
    </w:p>
    <w:p>
      <w:pPr>
        <w:keepNext/>
        <w:spacing w:before="200" w:after="80"/>
      </w:pPr>
      <w:r>
        <w:rPr>
          <w:rFonts w:ascii="Arial" w:hAnsi="Arial"/>
          <w:b/>
          <w:sz w:val="22"/>
          <w:color w:val="000000"/>
        </w:rPr>
        <w:t xml:space="preserve">2 4 Project authorization and membership</w:t>
      </w:r>
    </w:p>
    <w:p>
      <w:pPr>
        <w:spacing w:after="100" w:line="276" w:lineRule="auto"/>
      </w:pPr>
      <w:r>
        <w:rPr>
          <w:rFonts w:ascii="Calibri" w:hAnsi="Calibri"/>
          <w:i w:val="0"/>
          <w:color w:val="222222"/>
          <w:sz w:val="21"/>
        </w:rPr>
        <w:t xml:space="preserve">GOV-PROJECT-IMPLEMENTATION-AUTHORIZATION-001 is active at row version 4. Execution-project authorization is authorized or not authorized. Programs have no value. New execution projects default to authorized except the permanently not-authorized standing intake.</w:t>
      </w:r>
    </w:p>
    <w:p>
      <w:pPr>
        <w:pStyle w:val="ListBullet"/>
        <w:spacing w:after="60"/>
        <w:ind w:left="360"/>
      </w:pPr>
      <w:r>
        <w:rPr>
          <w:rFonts w:ascii="Calibri" w:hAnsi="Calibri"/>
          <w:b/>
          <w:color w:val="111827"/>
          <w:sz w:val="21"/>
        </w:rPr>
        <w:t xml:space="preserve">The owner sets authorization as a work-ordering choice. It carries no target scope, expiry, mutation class, credential or per-action permission.</w:t>
      </w:r>
    </w:p>
    <w:p>
      <w:pPr>
        <w:pStyle w:val="ListBullet"/>
        <w:spacing w:after="60"/>
        <w:ind w:left="360"/>
      </w:pPr>
      <w:r>
        <w:rPr>
          <w:rFonts w:ascii="Calibri" w:hAnsi="Calibri"/>
          <w:b/>
          <w:color w:val="111827"/>
          <w:sz w:val="21"/>
        </w:rPr>
        <w:t xml:space="preserve">New work is selected from authorized projects. Prime Builder checks the current parent immediately before NEW delivery; unauthorized interactive NEW requests an owner decision and headless NEW yields non-dispatchable BLOCKED.</w:t>
      </w:r>
    </w:p>
    <w:p>
      <w:pPr>
        <w:pStyle w:val="ListBullet"/>
        <w:spacing w:after="60"/>
        <w:ind w:left="360"/>
      </w:pPr>
      <w:r>
        <w:rPr>
          <w:rFonts w:ascii="Calibri" w:hAnsi="Calibri"/>
          <w:b/>
          <w:color w:val="111827"/>
          <w:sz w:val="21"/>
        </w:rPr>
        <w:t xml:space="preserve">After a chain begins, later deauthorization does not cancel its next response, claim, GO, report or review solely because the project field changed. Readiness, source freshness, exact claim and independent-review checks remain.</w:t>
      </w:r>
    </w:p>
    <w:p>
      <w:pPr>
        <w:pStyle w:val="ListBullet"/>
        <w:spacing w:after="60"/>
        <w:ind w:left="360"/>
      </w:pPr>
      <w:r>
        <w:rPr>
          <w:rFonts w:ascii="Calibri" w:hAnsi="Calibri"/>
          <w:b/>
          <w:color w:val="111827"/>
          <w:sz w:val="21"/>
        </w:rPr>
        <w:t xml:space="preserve">Required correction WP2: successful membership changes deauthorize every affected execution project atomically; moves affect both source and destination. Reads, failures and no-ops change neither membership nor authorization. Live GOV version 4 requires this deauthorization rule; the canonical amendment is applied. WP2 is not yet installed.</w:t>
      </w:r>
    </w:p>
    <w:p>
      <w:pPr>
        <w:keepNext/>
        <w:spacing w:before="200" w:after="80"/>
      </w:pPr>
      <w:r>
        <w:rPr>
          <w:rFonts w:ascii="Arial" w:hAnsi="Arial"/>
          <w:b/>
          <w:sz w:val="22"/>
          <w:color w:val="000000"/>
        </w:rPr>
        <w:t xml:space="preserve">2 5 Owner choices in current records</w:t>
      </w:r>
    </w:p>
    <w:p>
      <w:pPr>
        <w:spacing w:after="100" w:line="276" w:lineRule="auto"/>
      </w:pPr>
      <w:r>
        <w:rPr>
          <w:rFonts w:ascii="Calibri" w:hAnsi="Calibri"/>
          <w:i w:val="0"/>
          <w:color w:val="222222"/>
          <w:sz w:val="21"/>
        </w:rPr>
        <w:t xml:space="preserve">Owner decisions are applied to affected current authoritative records through supported writers. The deliberations interface is read-only. No decision-capture engine, deliberation decision field or separate approval ledger is added.</w:t>
      </w:r>
    </w:p>
    <w:p>
      <w:r>
        <w:br w:type="page"/>
      </w:r>
    </w:p>
    <w:p>
      <w:pPr>
        <w:keepNext/>
        <w:spacing w:before="280" w:after="120"/>
      </w:pPr>
      <w:r>
        <w:rPr>
          <w:rFonts w:ascii="Arial" w:hAnsi="Arial"/>
          <w:b/>
          <w:sz w:val="26"/>
          <w:color w:val="000000"/>
        </w:rPr>
        <w:t xml:space="preserve">Section 3 Architecture Context and SAD Shards</w:t>
      </w:r>
    </w:p>
    <w:p>
      <w:pPr>
        <w:keepNext/>
        <w:spacing w:before="200" w:after="80"/>
      </w:pPr>
      <w:r>
        <w:rPr>
          <w:rFonts w:ascii="Arial" w:hAnsi="Arial"/>
          <w:b/>
          <w:sz w:val="22"/>
          <w:color w:val="000000"/>
        </w:rPr>
        <w:t xml:space="preserve">3 1 Architecture reference role</w:t>
      </w:r>
    </w:p>
    <w:p>
      <w:pPr>
        <w:spacing w:after="100" w:line="276" w:lineRule="auto"/>
      </w:pPr>
      <w:r>
        <w:rPr>
          <w:rFonts w:ascii="Calibri" w:hAnsi="Calibri"/>
          <w:i w:val="0"/>
          <w:color w:val="222222"/>
          <w:sz w:val="21"/>
        </w:rPr>
        <w:t xml:space="preserve">The SAD is informative. ADR-SPEC-COVERAGE-ARCHITECTURE-001 row version 5 defines the WP6 minimum native work-item composer: explicit successor role and activity, current linked facts, named SAD and baseline excerpts, and additive sender-selected critical sources. This message-context floor carries no authority and is not the full M29 applicability or shard-compiler result. Complete current-corpus discovery and independent verification remain required.</w:t>
      </w:r>
    </w:p>
    <w:p>
      <w:pPr>
        <w:keepNext/>
        <w:spacing w:before="200" w:after="80"/>
      </w:pPr>
      <w:r>
        <w:rPr>
          <w:rFonts w:ascii="Arial" w:hAnsi="Arial"/>
          <w:b/>
          <w:sz w:val="22"/>
          <w:color w:val="000000"/>
        </w:rPr>
        <w:t xml:space="preserve">3 2 Planned context composition</w:t>
      </w:r>
    </w:p>
    <w:p>
      <w:pPr>
        <w:spacing w:after="100" w:line="276" w:lineRule="auto"/>
      </w:pPr>
      <w:r>
        <w:rPr>
          <w:rFonts w:ascii="Calibri" w:hAnsi="Calibri"/>
          <w:i w:val="0"/>
          <w:color w:val="222222"/>
          <w:sz w:val="21"/>
        </w:rPr>
        <w:t xml:space="preserve">Full M29 composition remains planned: typed shared baseline, exact project delta or no_delta, relevant intersections and smallest affected closure. Its compiler and loaders are not installed; serving location remains unresolved. The minimum native reader supplies selected informative context. It does not generate project deltas, compile intersections, evaluate every current ADR or certify a complete corpus snapshot. Intended compiled outputs remain Git-versioned and reconstructible. Mechanical generation is an operation and does not gate activation.</w:t>
      </w:r>
    </w:p>
    <w:tbl>
      <w:tblPr>
        <w:jc w:val="center"/>
        <w:tblLook w:firstColumn="1" w:firstRow="1" w:lastColumn="0" w:lastRow="0" w:noHBand="0" w:noVBand="1" w:val="04A0"/>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20"/>
        <w:gridCol w:w="2760"/>
        <w:gridCol w:w="4680"/>
      </w:tblGrid>
      <w:tr>
        <w:trPr>
          <w:cantSplit/>
          <w:tblHeader/>
        </w:trPr>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1920" w:type="dxa"/>
            <w:vAlign w:val="center"/>
            <w:shd w:val="clear" w:fill="203864"/>
          </w:tcPr>
          <w:p>
            <w:pPr>
              <w:spacing w:before="40" w:after="40" w:line="240" w:lineRule="auto"/>
            </w:pPr>
            <w:r>
              <w:rPr>
                <w:rFonts w:ascii="Arial" w:hAnsi="Arial"/>
                <w:color w:val="FFFFFF"/>
                <w:sz w:val="21"/>
                <w:szCs w:val="21"/>
                <w:b/>
              </w:rPr>
              <w:t xml:space="preserve">PLANNED CONTEXT</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2760" w:type="dxa"/>
            <w:vAlign w:val="center"/>
            <w:shd w:val="clear" w:fill="203864"/>
          </w:tcPr>
          <w:p>
            <w:pPr>
              <w:spacing w:before="40" w:after="40" w:line="240" w:lineRule="auto"/>
            </w:pPr>
            <w:r>
              <w:rPr>
                <w:rFonts w:ascii="Arial" w:hAnsi="Arial"/>
                <w:color w:val="FFFFFF"/>
                <w:sz w:val="21"/>
                <w:szCs w:val="21"/>
                <w:b/>
              </w:rPr>
              <w:t xml:space="preserve">SOURCE ROLE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4680" w:type="dxa"/>
            <w:vAlign w:val="center"/>
            <w:shd w:val="clear" w:fill="203864"/>
          </w:tcPr>
          <w:p>
            <w:pPr>
              <w:spacing w:before="40" w:after="40" w:line="240" w:lineRule="auto"/>
            </w:pPr>
            <w:r>
              <w:rPr>
                <w:rFonts w:ascii="Arial" w:hAnsi="Arial"/>
                <w:color w:val="FFFFFF"/>
                <w:sz w:val="21"/>
                <w:szCs w:val="21"/>
                <w:b/>
              </w:rPr>
              <w:t xml:space="preserve">CONTENT AND STATUS</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FFFFF"/>
          </w:tcPr>
          <w:p>
            <w:pPr>
              <w:spacing w:before="40" w:after="40" w:line="240" w:lineRule="auto"/>
            </w:pPr>
            <w:r>
              <w:rPr>
                <w:rFonts w:ascii="Calibri" w:hAnsi="Calibri"/>
                <w:color w:val="000000"/>
                <w:sz w:val="21"/>
                <w:szCs w:val="21"/>
              </w:rPr>
              <w:t xml:space="preserve">Shared baseline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760" w:type="dxa"/>
            <w:vAlign w:val="center"/>
            <w:shd w:val="clear" w:fill="FFFFFF"/>
          </w:tcPr>
          <w:p>
            <w:pPr>
              <w:spacing w:before="40" w:after="40" w:line="240" w:lineRule="auto"/>
            </w:pPr>
            <w:r>
              <w:rPr>
                <w:rFonts w:ascii="Calibri" w:hAnsi="Calibri"/>
                <w:color w:val="000000"/>
                <w:sz w:val="21"/>
                <w:szCs w:val="21"/>
              </w:rPr>
              <w:t xml:space="preserve">Current authored instructions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680" w:type="dxa"/>
            <w:vAlign w:val="center"/>
            <w:shd w:val="clear" w:fill="FFFFFF"/>
          </w:tcPr>
          <w:p>
            <w:pPr>
              <w:spacing w:before="40" w:after="40" w:line="240" w:lineRule="auto"/>
            </w:pPr>
            <w:r>
              <w:rPr>
                <w:rFonts w:ascii="Calibri" w:hAnsi="Calibri"/>
                <w:color w:val="000000"/>
                <w:sz w:val="21"/>
                <w:szCs w:val="21"/>
              </w:rPr>
              <w:t xml:space="preserve">Authored source excerpts in the minimum reader; full M29 loading planned.</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2F6FA"/>
          </w:tcPr>
          <w:p>
            <w:pPr>
              <w:spacing w:before="40" w:after="40" w:line="240" w:lineRule="auto"/>
            </w:pPr>
            <w:r>
              <w:rPr>
                <w:rFonts w:ascii="Calibri" w:hAnsi="Calibri"/>
                <w:color w:val="000000"/>
                <w:sz w:val="21"/>
                <w:szCs w:val="21"/>
              </w:rPr>
              <w:t xml:space="preserve">Project delta</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760" w:type="dxa"/>
            <w:vAlign w:val="center"/>
            <w:shd w:val="clear" w:fill="F2F6FA"/>
          </w:tcPr>
          <w:p>
            <w:pPr>
              <w:spacing w:before="40" w:after="40" w:line="240" w:lineRule="auto"/>
            </w:pPr>
            <w:r>
              <w:rPr>
                <w:rFonts w:ascii="Calibri" w:hAnsi="Calibri"/>
                <w:color w:val="000000"/>
                <w:sz w:val="21"/>
                <w:szCs w:val="21"/>
              </w:rPr>
              <w:t xml:space="preserve">projects, work_items and specifications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680" w:type="dxa"/>
            <w:vAlign w:val="center"/>
            <w:shd w:val="clear" w:fill="F2F6FA"/>
          </w:tcPr>
          <w:p>
            <w:pPr>
              <w:spacing w:before="40" w:after="40" w:line="240" w:lineRule="auto"/>
            </w:pPr>
            <w:r>
              <w:rPr>
                <w:rFonts w:ascii="Calibri" w:hAnsi="Calibri"/>
                <w:color w:val="000000"/>
                <w:sz w:val="21"/>
                <w:szCs w:val="21"/>
              </w:rPr>
              <w:t xml:space="preserve">Exact scope and applicable requirements; no shadow schema.</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FFFFF"/>
          </w:tcPr>
          <w:p>
            <w:pPr>
              <w:spacing w:before="40" w:after="40" w:line="240" w:lineRule="auto"/>
            </w:pPr>
            <w:r>
              <w:rPr>
                <w:rFonts w:ascii="Calibri" w:hAnsi="Calibri"/>
                <w:color w:val="000000"/>
                <w:sz w:val="21"/>
                <w:szCs w:val="21"/>
              </w:rPr>
              <w:t xml:space="preserve">Intersections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760" w:type="dxa"/>
            <w:vAlign w:val="center"/>
            <w:shd w:val="clear" w:fill="FFFFFF"/>
          </w:tcPr>
          <w:p>
            <w:pPr>
              <w:spacing w:before="40" w:after="40" w:line="240" w:lineRule="auto"/>
            </w:pPr>
            <w:r>
              <w:rPr>
                <w:rFonts w:ascii="Calibri" w:hAnsi="Calibri"/>
                <w:color w:val="000000"/>
                <w:sz w:val="21"/>
                <w:szCs w:val="21"/>
              </w:rPr>
              <w:t xml:space="preserve">Typed relationships and affected source dependencies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680" w:type="dxa"/>
            <w:vAlign w:val="center"/>
            <w:shd w:val="clear" w:fill="FFFFFF"/>
          </w:tcPr>
          <w:p>
            <w:pPr>
              <w:spacing w:before="40" w:after="40" w:line="240" w:lineRule="auto"/>
            </w:pPr>
            <w:r>
              <w:rPr>
                <w:rFonts w:ascii="Calibri" w:hAnsi="Calibri"/>
                <w:color w:val="000000"/>
                <w:sz w:val="21"/>
                <w:szCs w:val="21"/>
              </w:rPr>
              <w:t xml:space="preserve">Smallest affected closure; graph compiler not installed.</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2F6FA"/>
          </w:tcPr>
          <w:p>
            <w:pPr>
              <w:spacing w:before="40" w:after="40" w:line="240" w:lineRule="auto"/>
            </w:pPr>
            <w:r>
              <w:rPr>
                <w:rFonts w:ascii="Calibri" w:hAnsi="Calibri"/>
                <w:color w:val="000000"/>
                <w:sz w:val="21"/>
                <w:szCs w:val="21"/>
              </w:rPr>
              <w:t xml:space="preserve">WordPress reference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2760" w:type="dxa"/>
            <w:vAlign w:val="center"/>
            <w:shd w:val="clear" w:fill="F2F6FA"/>
          </w:tcPr>
          <w:p>
            <w:pPr>
              <w:spacing w:before="40" w:after="40" w:line="240" w:lineRule="auto"/>
            </w:pPr>
            <w:r>
              <w:rPr>
                <w:rFonts w:ascii="Calibri" w:hAnsi="Calibri"/>
                <w:color w:val="000000"/>
                <w:sz w:val="21"/>
                <w:szCs w:val="21"/>
              </w:rPr>
              <w:t xml:space="preserve">Informative conventions mapped to active requirements where binding</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4680" w:type="dxa"/>
            <w:vAlign w:val="center"/>
            <w:shd w:val="clear" w:fill="F2F6FA"/>
          </w:tcPr>
          <w:p>
            <w:pPr>
              <w:spacing w:before="40" w:after="40" w:line="240" w:lineRule="auto"/>
            </w:pPr>
            <w:r>
              <w:rPr>
                <w:rFonts w:ascii="Calibri" w:hAnsi="Calibri"/>
                <w:color w:val="000000"/>
                <w:sz w:val="21"/>
                <w:szCs w:val="21"/>
              </w:rPr>
              <w:t xml:space="preserve">Planned reference; no local WordPress runtime dependency.</w:t>
            </w:r>
          </w:p>
        </w:tc>
      </w:tr>
    </w:tbl>
    <w:p>
      <w:pPr>
        <w:keepNext/>
        <w:spacing w:before="200" w:after="80"/>
      </w:pPr>
      <w:r>
        <w:rPr>
          <w:rFonts w:ascii="Arial" w:hAnsi="Arial"/>
          <w:b/>
          <w:sz w:val="22"/>
          <w:color w:val="000000"/>
        </w:rPr>
        <w:t xml:space="preserve">3 3 Semantic closure review</w:t>
      </w:r>
    </w:p>
    <w:p>
      <w:pPr>
        <w:spacing w:after="100" w:line="276" w:lineRule="auto"/>
      </w:pPr>
      <w:r>
        <w:rPr>
          <w:rFonts w:ascii="Calibri" w:hAnsi="Calibri"/>
          <w:i w:val="0"/>
          <w:color w:val="222222"/>
          <w:sz w:val="21"/>
        </w:rPr>
        <w:t xml:space="preserve">Applicability discovery is a floor for investigation. Review expands beyond selected citations and derived maps when scope or behavior indicates adjacent requirements. The inspected kernel establishes no closure_ledgers table or installed semantic-closure ledger.</w:t>
      </w:r>
    </w:p>
    <w:p>
      <w:pPr>
        <w:keepNext/>
        <w:spacing w:before="120" w:after="40"/>
      </w:pPr>
      <w:r>
        <w:rPr>
          <w:rFonts w:ascii="Arial" w:hAnsi="Arial"/>
          <w:b/>
          <w:i/>
          <w:color w:val="475569"/>
          <w:sz w:val="18"/>
        </w:rPr>
        <w:t xml:space="preserve">Closure reconciles affected formal requirements, source, tests, authored instructions and documentation. Use existing review and domain mechanisms; the SAD adds no ledger or approval step.</w:t>
      </w:r>
    </w:p>
    <w:p>
      <w:pPr>
        <w:spacing w:after="80"/>
      </w:pPr>
    </w:p>
    <w:p>
      <w:r>
        <w:br w:type="page"/>
      </w:r>
    </w:p>
    <w:p>
      <w:pPr>
        <w:keepNext/>
        <w:spacing w:before="280" w:after="120"/>
      </w:pPr>
      <w:r>
        <w:rPr>
          <w:rFonts w:ascii="Arial" w:hAnsi="Arial"/>
          <w:b/>
          <w:sz w:val="26"/>
          <w:color w:val="000000"/>
        </w:rPr>
        <w:t xml:space="preserve">Section 4 Independent Review</w:t>
      </w:r>
    </w:p>
    <w:p>
      <w:pPr>
        <w:keepNext/>
        <w:spacing w:before="200" w:after="80"/>
      </w:pPr>
      <w:r>
        <w:rPr>
          <w:rFonts w:ascii="Arial" w:hAnsi="Arial"/>
          <w:b/>
          <w:sz w:val="22"/>
          <w:color w:val="000000"/>
        </w:rPr>
        <w:t xml:space="preserve">4 1 Separate implementation and review contexts</w:t>
      </w:r>
    </w:p>
    <w:p>
      <w:pPr>
        <w:spacing w:after="100" w:line="276" w:lineRule="auto"/>
      </w:pPr>
      <w:r>
        <w:rPr>
          <w:rFonts w:ascii="Calibri" w:hAnsi="Calibri"/>
          <w:i w:val="0"/>
          <w:color w:val="222222"/>
          <w:sz w:val="21"/>
        </w:rPr>
        <w:t xml:space="preserve">Prime Builder proposes and implements; Loyal Opposition independently reviews the proposal and final work. Role attaches to the immutable receiving context rather than harness, vendor, model or registration.</w:t>
      </w:r>
    </w:p>
    <w:tbl>
      <w:tblPr>
        <w:jc w:val="center"/>
        <w:tblLook w:firstColumn="1" w:firstRow="1" w:lastColumn="0" w:lastRow="0" w:noHBand="0" w:noVBand="1" w:val="04A0"/>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20"/>
        <w:gridCol w:w="3720"/>
        <w:gridCol w:w="3720"/>
      </w:tblGrid>
      <w:tr>
        <w:trPr>
          <w:cantSplit/>
          <w:tblHeader/>
        </w:trPr>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1920" w:type="dxa"/>
            <w:vAlign w:val="center"/>
            <w:shd w:val="clear" w:fill="203864"/>
          </w:tcPr>
          <w:p>
            <w:pPr>
              <w:spacing w:before="40" w:after="40" w:line="240" w:lineRule="auto"/>
            </w:pPr>
            <w:r>
              <w:rPr>
                <w:rFonts w:ascii="Arial" w:hAnsi="Arial"/>
                <w:color w:val="FFFFFF"/>
                <w:sz w:val="21"/>
                <w:szCs w:val="21"/>
                <w:b/>
              </w:rPr>
              <w:t xml:space="preserve">PHASE</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3720" w:type="dxa"/>
            <w:vAlign w:val="center"/>
            <w:shd w:val="clear" w:fill="203864"/>
          </w:tcPr>
          <w:p>
            <w:pPr>
              <w:spacing w:before="40" w:after="40" w:line="240" w:lineRule="auto"/>
            </w:pPr>
            <w:r>
              <w:rPr>
                <w:rFonts w:ascii="Arial" w:hAnsi="Arial"/>
                <w:color w:val="FFFFFF"/>
                <w:sz w:val="21"/>
                <w:szCs w:val="21"/>
                <w:b/>
              </w:rPr>
              <w:t xml:space="preserve">PRIME BUILDER</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3720" w:type="dxa"/>
            <w:vAlign w:val="center"/>
            <w:shd w:val="clear" w:fill="203864"/>
          </w:tcPr>
          <w:p>
            <w:pPr>
              <w:spacing w:before="40" w:after="40" w:line="240" w:lineRule="auto"/>
            </w:pPr>
            <w:r>
              <w:rPr>
                <w:rFonts w:ascii="Arial" w:hAnsi="Arial"/>
                <w:color w:val="FFFFFF"/>
                <w:sz w:val="21"/>
                <w:szCs w:val="21"/>
                <w:b/>
              </w:rPr>
              <w:t xml:space="preserve">LOYAL OPPOSITION</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FFFFF"/>
          </w:tcPr>
          <w:p>
            <w:pPr>
              <w:spacing w:before="40" w:after="40" w:line="240" w:lineRule="auto"/>
            </w:pPr>
            <w:r>
              <w:rPr>
                <w:rFonts w:ascii="Calibri" w:hAnsi="Calibri"/>
                <w:color w:val="000000"/>
                <w:sz w:val="21"/>
                <w:szCs w:val="21"/>
              </w:rPr>
              <w:t xml:space="preserve">Investigation and design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FFFFF"/>
          </w:tcPr>
          <w:p>
            <w:pPr>
              <w:spacing w:before="40" w:after="40" w:line="240" w:lineRule="auto"/>
            </w:pPr>
            <w:r>
              <w:rPr>
                <w:rFonts w:ascii="Calibri" w:hAnsi="Calibri"/>
                <w:color w:val="000000"/>
                <w:sz w:val="21"/>
                <w:szCs w:val="21"/>
              </w:rPr>
              <w:t xml:space="preserve">Investigates and authors NEW or REVISED.</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FFFFF"/>
          </w:tcPr>
          <w:p>
            <w:pPr>
              <w:spacing w:before="40" w:after="40" w:line="240" w:lineRule="auto"/>
            </w:pPr>
            <w:r>
              <w:rPr>
                <w:rFonts w:ascii="Calibri" w:hAnsi="Calibri"/>
                <w:color w:val="000000"/>
                <w:sz w:val="21"/>
                <w:szCs w:val="21"/>
              </w:rPr>
              <w:t xml:space="preserve">Reconstructs applicability independently.</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2F6FA"/>
          </w:tcPr>
          <w:p>
            <w:pPr>
              <w:spacing w:before="40" w:after="40" w:line="240" w:lineRule="auto"/>
            </w:pPr>
            <w:r>
              <w:rPr>
                <w:rFonts w:ascii="Calibri" w:hAnsi="Calibri"/>
                <w:color w:val="000000"/>
                <w:sz w:val="21"/>
                <w:szCs w:val="21"/>
              </w:rPr>
              <w:t xml:space="preserve">Proposal review</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2F6FA"/>
          </w:tcPr>
          <w:p>
            <w:pPr>
              <w:spacing w:before="40" w:after="40" w:line="240" w:lineRule="auto"/>
            </w:pPr>
            <w:r>
              <w:rPr>
                <w:rFonts w:ascii="Calibri" w:hAnsi="Calibri"/>
                <w:color w:val="000000"/>
                <w:sz w:val="21"/>
                <w:szCs w:val="21"/>
              </w:rPr>
              <w:t xml:space="preserve">Receives GO or NO-GO and revises as needed.</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2F6FA"/>
          </w:tcPr>
          <w:p>
            <w:pPr>
              <w:spacing w:before="40" w:after="40" w:line="240" w:lineRule="auto"/>
            </w:pPr>
            <w:r>
              <w:rPr>
                <w:rFonts w:ascii="Calibri" w:hAnsi="Calibri"/>
                <w:color w:val="000000"/>
                <w:sz w:val="21"/>
                <w:szCs w:val="21"/>
              </w:rPr>
              <w:t xml:space="preserve">Reviews; authors GO or NO-GO.</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FFFFF"/>
          </w:tcPr>
          <w:p>
            <w:pPr>
              <w:spacing w:before="40" w:after="40" w:line="240" w:lineRule="auto"/>
            </w:pPr>
            <w:r>
              <w:rPr>
                <w:rFonts w:ascii="Calibri" w:hAnsi="Calibri"/>
                <w:color w:val="000000"/>
                <w:sz w:val="21"/>
                <w:szCs w:val="21"/>
              </w:rPr>
              <w:t xml:space="preserve">Implementation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FFFFF"/>
          </w:tcPr>
          <w:p>
            <w:pPr>
              <w:spacing w:before="40" w:after="40" w:line="240" w:lineRule="auto"/>
            </w:pPr>
            <w:r>
              <w:rPr>
                <w:rFonts w:ascii="Calibri" w:hAnsi="Calibri"/>
                <w:color w:val="000000"/>
                <w:sz w:val="21"/>
                <w:szCs w:val="21"/>
              </w:rPr>
              <w:t xml:space="preserve">Works within current scope and exact claim.</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FFFFF"/>
          </w:tcPr>
          <w:p>
            <w:pPr>
              <w:spacing w:before="40" w:after="40" w:line="240" w:lineRule="auto"/>
            </w:pPr>
            <w:r>
              <w:rPr>
                <w:rFonts w:ascii="Calibri" w:hAnsi="Calibri"/>
                <w:color w:val="000000"/>
                <w:sz w:val="21"/>
                <w:szCs w:val="21"/>
              </w:rPr>
              <w:t xml:space="preserve">Does not perform work it will verify.</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2F6FA"/>
          </w:tcPr>
          <w:p>
            <w:pPr>
              <w:spacing w:before="40" w:after="40" w:line="240" w:lineRule="auto"/>
            </w:pPr>
            <w:r>
              <w:rPr>
                <w:rFonts w:ascii="Calibri" w:hAnsi="Calibri"/>
                <w:color w:val="000000"/>
                <w:sz w:val="21"/>
                <w:szCs w:val="21"/>
              </w:rPr>
              <w:t xml:space="preserve">Completion report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2F6FA"/>
          </w:tcPr>
          <w:p>
            <w:pPr>
              <w:spacing w:before="40" w:after="40" w:line="240" w:lineRule="auto"/>
            </w:pPr>
            <w:r>
              <w:rPr>
                <w:rFonts w:ascii="Calibri" w:hAnsi="Calibri"/>
                <w:color w:val="000000"/>
                <w:sz w:val="21"/>
                <w:szCs w:val="21"/>
              </w:rPr>
              <w:t xml:space="preserve">Tests and authors post-GO READY.</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2F6FA"/>
          </w:tcPr>
          <w:p>
            <w:pPr>
              <w:spacing w:before="40" w:after="40" w:line="240" w:lineRule="auto"/>
            </w:pPr>
            <w:r>
              <w:rPr>
                <w:rFonts w:ascii="Calibri" w:hAnsi="Calibri"/>
                <w:color w:val="000000"/>
                <w:sz w:val="21"/>
                <w:szCs w:val="21"/>
              </w:rPr>
              <w:t xml:space="preserve">Receives READY for verification.</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FFFFF"/>
          </w:tcPr>
          <w:p>
            <w:pPr>
              <w:spacing w:before="40" w:after="40" w:line="240" w:lineRule="auto"/>
            </w:pPr>
            <w:r>
              <w:rPr>
                <w:rFonts w:ascii="Calibri" w:hAnsi="Calibri"/>
                <w:color w:val="000000"/>
                <w:sz w:val="21"/>
                <w:szCs w:val="21"/>
              </w:rPr>
              <w:t xml:space="preserve">Independent review</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FFFFF"/>
          </w:tcPr>
          <w:p>
            <w:pPr>
              <w:spacing w:before="40" w:after="40" w:line="240" w:lineRule="auto"/>
            </w:pPr>
            <w:r>
              <w:rPr>
                <w:rFonts w:ascii="Calibri" w:hAnsi="Calibri"/>
                <w:color w:val="000000"/>
                <w:sz w:val="21"/>
                <w:szCs w:val="21"/>
              </w:rPr>
              <w:t xml:space="preserve">Corrects after NOT-READY; no self-review.</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FFFFF"/>
          </w:tcPr>
          <w:p>
            <w:pPr>
              <w:spacing w:before="40" w:after="40" w:line="240" w:lineRule="auto"/>
            </w:pPr>
            <w:r>
              <w:rPr>
                <w:rFonts w:ascii="Calibri" w:hAnsi="Calibri"/>
                <w:color w:val="000000"/>
                <w:sz w:val="21"/>
                <w:szCs w:val="21"/>
              </w:rPr>
              <w:t xml:space="preserve">Tests exact work; VERIFIED or NOT-READY.</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920" w:type="dxa"/>
            <w:vAlign w:val="center"/>
            <w:shd w:val="clear" w:fill="F2F6FA"/>
          </w:tcPr>
          <w:p>
            <w:pPr>
              <w:spacing w:before="40" w:after="40" w:line="240" w:lineRule="auto"/>
            </w:pPr>
            <w:r>
              <w:rPr>
                <w:rFonts w:ascii="Calibri" w:hAnsi="Calibri"/>
                <w:color w:val="000000"/>
                <w:sz w:val="21"/>
                <w:szCs w:val="21"/>
              </w:rPr>
              <w:t xml:space="preserve">Project commitment</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2F6FA"/>
          </w:tcPr>
          <w:p>
            <w:pPr>
              <w:spacing w:before="40" w:after="40" w:line="240" w:lineRule="auto"/>
            </w:pPr>
            <w:r>
              <w:rPr>
                <w:rFonts w:ascii="Calibri" w:hAnsi="Calibri"/>
                <w:color w:val="000000"/>
                <w:sz w:val="21"/>
                <w:szCs w:val="21"/>
              </w:rPr>
              <w:t xml:space="preserve">Supplies reviewable final bytes.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720" w:type="dxa"/>
            <w:vAlign w:val="center"/>
            <w:shd w:val="clear" w:fill="F2F6FA"/>
          </w:tcPr>
          <w:p>
            <w:pPr>
              <w:spacing w:before="40" w:after="40" w:line="240" w:lineRule="auto"/>
            </w:pPr>
            <w:r>
              <w:rPr>
                <w:rFonts w:ascii="Calibri" w:hAnsi="Calibri"/>
                <w:color w:val="000000"/>
                <w:sz w:val="21"/>
                <w:szCs w:val="21"/>
              </w:rPr>
              <w:t xml:space="preserve">Commits complete independently reviewed project.</w:t>
            </w:r>
          </w:p>
        </w:tc>
      </w:tr>
    </w:tbl>
    <w:p>
      <w:pPr>
        <w:keepNext/>
        <w:spacing w:before="200" w:after="80"/>
      </w:pPr>
      <w:r>
        <w:rPr>
          <w:rFonts w:ascii="Arial" w:hAnsi="Arial"/>
          <w:b/>
          <w:sz w:val="22"/>
          <w:color w:val="000000"/>
        </w:rPr>
        <w:t xml:space="preserve">4 2 Independent test selection</w:t>
      </w:r>
    </w:p>
    <w:p>
      <w:pPr>
        <w:spacing w:after="100" w:line="276" w:lineRule="auto"/>
      </w:pPr>
      <w:r>
        <w:rPr>
          <w:rFonts w:ascii="Calibri" w:hAnsi="Calibri"/>
          <w:i w:val="0"/>
          <w:color w:val="222222"/>
          <w:sz w:val="21"/>
        </w:rPr>
        <w:t xml:space="preserve">Loyal Opposition selects checks appropriate to proposal intent, applicable requirements and affected risks. Existing gt assert evaluates supported assertions; structural discovery is not behavioral proof. Automatic adversarial test synthesis remains planned unless implementation and qualification demonstrate it.</w:t>
      </w:r>
    </w:p>
    <w:p>
      <w:pPr>
        <w:keepNext/>
        <w:spacing w:before="200" w:after="80"/>
      </w:pPr>
      <w:r>
        <w:rPr>
          <w:rFonts w:ascii="Arial" w:hAnsi="Arial"/>
          <w:b/>
          <w:sz w:val="22"/>
          <w:color w:val="000000"/>
        </w:rPr>
        <w:t xml:space="preserve">4 3 Verification and project finalization</w:t>
      </w:r>
    </w:p>
    <w:p>
      <w:pPr>
        <w:spacing w:after="100" w:line="276" w:lineRule="auto"/>
      </w:pPr>
      <w:r>
        <w:rPr>
          <w:rFonts w:ascii="Calibri" w:hAnsi="Calibri"/>
          <w:i w:val="0"/>
          <w:color w:val="222222"/>
          <w:sz w:val="21"/>
        </w:rPr>
        <w:t xml:space="preserve">Bridge VERIFIED records independent review completion for the exact reviewed work; it proves no Git commit. The complete project commits after every required member has independent verification. Changed precommit bytes return only affected reviews for fresh verification. Failed or unconfirmed commitment records a typed reason and evidence and requests fresh independent verification with reviewed bytes frozen. Owner or Dispatcher selects the reviewer; Dispatcher authors no proposal, verdict or bridge status. The successful complete project commit establishes activation and terminality. GOV-PROJECT-VERIFIED-COMPLETION-RETIREMENT-001 is active at row version 3 and supplies this contract. Required WP0 keeps bridge review separate from committed-only work-item resolution_status=verified; that correction is not installed.</w:t>
      </w:r>
    </w:p>
    <w:p>
      <w:r>
        <w:br w:type="page"/>
      </w:r>
    </w:p>
    <w:p>
      <w:pPr>
        <w:keepNext/>
        <w:spacing w:before="280" w:after="120"/>
      </w:pPr>
      <w:r>
        <w:rPr>
          <w:rFonts w:ascii="Arial" w:hAnsi="Arial"/>
          <w:b/>
          <w:sz w:val="26"/>
          <w:color w:val="000000"/>
        </w:rPr>
        <w:t xml:space="preserve">Section 5 Native Bridge Protocol</w:t>
      </w:r>
    </w:p>
    <w:p>
      <w:pPr>
        <w:keepNext/>
        <w:spacing w:before="200" w:after="80"/>
      </w:pPr>
      <w:r>
        <w:rPr>
          <w:rFonts w:ascii="Arial" w:hAnsi="Arial"/>
          <w:b/>
          <w:sz w:val="22"/>
          <w:color w:val="000000"/>
        </w:rPr>
        <w:t xml:space="preserve">5 1 Authored headers and routing</w:t>
      </w:r>
    </w:p>
    <w:p>
      <w:pPr>
        <w:spacing w:after="100" w:line="276" w:lineRule="auto"/>
      </w:pPr>
      <w:r>
        <w:rPr>
          <w:rFonts w:ascii="Calibri" w:hAnsi="Calibri"/>
          <w:i w:val="0"/>
          <w:color w:val="222222"/>
          <w:sz w:val="21"/>
        </w:rPr>
        <w:t xml:space="preserve">Dispatchable messages carry the receiving role init marker, activity and one status in their first three nonblank lines, followed by typed provenance and routing. Non-dispatchable messages omit init, open and recipient_role. The writer preserves authored bytes. A payload is a transient delivered instruction; current attempt state and exact artifact claim govern later effects.</w:t>
      </w:r>
    </w:p>
    <w:p>
      <w:pPr>
        <w:keepNext/>
        <w:spacing w:before="120" w:after="40"/>
      </w:pPr>
      <w:r>
        <w:rPr>
          <w:rFonts w:ascii="Arial" w:hAnsi="Arial"/>
          <w:b/>
          <w:i/>
          <w:color w:val="475569"/>
          <w:sz w:val="18"/>
        </w:rPr>
        <w:t xml:space="preserve">Illustrative GO header with placeholder identities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8" w:space="0" w:color="94A3B8"/>
              <w:left w:val="single" w:sz="8" w:space="0" w:color="94A3B8"/>
              <w:bottom w:val="single" w:sz="8" w:space="0" w:color="94A3B8"/>
              <w:right w:val="single" w:sz="8" w:space="0" w:color="94A3B8"/>
            </w:tcBorders>
          </w:tcPr>
          <w:p>
            <w:pPr>
              <w:spacing w:before="0" w:after="0" w:line="252" w:lineRule="auto"/>
            </w:pPr>
            <w:r>
              <w:rPr>
                <w:rFonts w:ascii="Consolas" w:hAnsi="Consolas"/>
                <w:color w:val="0F172A"/>
                <w:sz w:val="18"/>
              </w:rPr>
              <w:t xml:space="preserve">::init gtkb pb</w:t>
              <w:br/>
              <w:t xml:space="preserve">::open build</w:t>
              <w:br/>
              <w:t xml:space="preserve">GO</w:t>
              <w:br/>
              <w:t xml:space="preserve">bridge_kind: lo_verdict</w:t>
              <w:br/>
              <w:t xml:space="preserve">Document: &lt;document-id&gt;</w:t>
              <w:br/>
              <w:t xml:space="preserve">Version: &lt;version&gt;</w:t>
              <w:br/>
              <w:t xml:space="preserve">Date: &lt;date&gt;</w:t>
              <w:br/>
              <w:t xml:space="preserve">author_identity: &lt;author-identity&gt;</w:t>
              <w:br/>
              <w:t xml:space="preserve">author_harness_id: &lt;author-harness-id&gt;</w:t>
              <w:br/>
              <w:t xml:space="preserve">author_session_context_id: &lt;author-session-context-id&gt;</w:t>
              <w:br/>
              <w:t xml:space="preserve">author_model: &lt;author-model&gt;</w:t>
              <w:br/>
              <w:t xml:space="preserve">recipient_role: pb</w:t>
            </w:r>
          </w:p>
        </w:tc>
      </w:tr>
    </w:tbl>
    <w:p>
      <w:pPr>
        <w:spacing w:after="80"/>
      </w:pPr>
    </w:p>
    <w:p>
      <w:pPr>
        <w:keepNext/>
        <w:spacing w:before="200" w:after="80"/>
      </w:pPr>
      <w:r>
        <w:rPr>
          <w:rFonts w:ascii="Arial" w:hAnsi="Arial"/>
          <w:b/>
          <w:sz w:val="22"/>
          <w:color w:val="000000"/>
        </w:rPr>
        <w:t xml:space="preserve">5 2 Twelve status lifecycle</w:t>
      </w:r>
    </w:p>
    <w:p>
      <w:pPr>
        <w:spacing w:after="100" w:line="276" w:lineRule="auto"/>
      </w:pPr>
      <w:r>
        <w:rPr>
          <w:rFonts w:ascii="Calibri" w:hAnsi="Calibri"/>
          <w:i w:val="0"/>
          <w:color w:val="222222"/>
          <w:sz w:val="21"/>
        </w:rPr>
        <w:t xml:space="preserve">The vocabulary has twelve tokens. NEW and REVISED are proposals; READY reports implementation after GO. NO-GO rejects a proposal; NOT-READY rejects a report. Historical NO-ACTION and DEFERRED are inert without dispatch, claim or transition semantics. PAUTH is a retired authorization concept, not a bridge status.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500"/>
        <w:gridCol w:w="1500"/>
        <w:gridCol w:w="1600"/>
        <w:gridCol w:w="4760"/>
      </w:tblGrid>
      <w:tr>
        <w:trPr>
          <w:tblHeader/>
        </w:trPr>
        <w:tc>
          <w:tcPr>
            <w:tcW w:w="1500" w:type="dxa"/>
            <w:vAlign w:val="center"/>
            <w:shd w:val="clear" w:fill="203864"/>
          </w:tcPr>
          <w:p>
            <w:pPr>
              <w:spacing w:after="40" w:line="240" w:lineRule="auto" w:before="40"/>
            </w:pPr>
            <w:r>
              <w:rPr>
                <w:rFonts w:ascii="Calibri" w:hAnsi="Calibri"/>
                <w:i w:val="0"/>
                <w:color w:val="FFFFFF"/>
                <w:sz w:val="21"/>
                <w:szCs w:val="21"/>
                <w:b/>
              </w:rPr>
              <w:t xml:space="preserve">STATUS</w:t>
            </w:r>
          </w:p>
        </w:tc>
        <w:tc>
          <w:tcPr>
            <w:tcW w:w="1500" w:type="dxa"/>
            <w:vAlign w:val="center"/>
            <w:shd w:val="clear" w:fill="203864"/>
          </w:tcPr>
          <w:p>
            <w:pPr>
              <w:spacing w:after="40" w:line="240" w:lineRule="auto" w:before="40"/>
            </w:pPr>
            <w:r>
              <w:rPr>
                <w:rFonts w:ascii="Calibri" w:hAnsi="Calibri"/>
                <w:i w:val="0"/>
                <w:color w:val="FFFFFF"/>
                <w:sz w:val="21"/>
                <w:szCs w:val="21"/>
                <w:b/>
              </w:rPr>
              <w:t xml:space="preserve">AUTHOR</w:t>
            </w:r>
          </w:p>
        </w:tc>
        <w:tc>
          <w:tcPr>
            <w:tcW w:w="1600" w:type="dxa"/>
            <w:vAlign w:val="center"/>
            <w:shd w:val="clear" w:fill="203864"/>
          </w:tcPr>
          <w:p>
            <w:pPr>
              <w:spacing w:after="40" w:line="240" w:lineRule="auto" w:before="40"/>
            </w:pPr>
            <w:r>
              <w:rPr>
                <w:rFonts w:ascii="Calibri" w:hAnsi="Calibri"/>
                <w:i w:val="0"/>
                <w:color w:val="FFFFFF"/>
                <w:sz w:val="21"/>
                <w:szCs w:val="21"/>
                <w:b/>
              </w:rPr>
              <w:t xml:space="preserve">NEXT RESPONDER</w:t>
            </w:r>
          </w:p>
        </w:tc>
        <w:tc>
          <w:tcPr>
            <w:tcW w:w="4760" w:type="dxa"/>
            <w:vAlign w:val="center"/>
            <w:shd w:val="clear" w:fill="203864"/>
          </w:tcPr>
          <w:p>
            <w:pPr>
              <w:spacing w:after="40" w:line="240" w:lineRule="auto" w:before="40"/>
            </w:pPr>
            <w:r>
              <w:rPr>
                <w:rFonts w:ascii="Calibri" w:hAnsi="Calibri"/>
                <w:i w:val="0"/>
                <w:color w:val="FFFFFF"/>
                <w:sz w:val="21"/>
                <w:szCs w:val="21"/>
                <w:b/>
              </w:rPr>
              <w:t xml:space="preserve">MEANING AND DISPATCHABILITY</w:t>
            </w:r>
          </w:p>
        </w:tc>
      </w:tr>
      <w:tr>
        <w:trPr/>
        <w:tc>
          <w:tcPr>
            <w:tcW w:w="1500" w:type="dxa"/>
            <w:vAlign w:val="center"/>
            <w:shd w:val="clear" w:fill="FFFFFF"/>
          </w:tcPr>
          <w:p>
            <w:pPr>
              <w:spacing w:after="40" w:line="240" w:lineRule="auto" w:before="40"/>
            </w:pPr>
            <w:r>
              <w:rPr>
                <w:rFonts w:ascii="Calibri" w:hAnsi="Calibri"/>
                <w:i w:val="0"/>
                <w:color w:val="000000"/>
                <w:sz w:val="21"/>
                <w:szCs w:val="21"/>
              </w:rPr>
              <w:t xml:space="preserve">NEW</w:t>
            </w:r>
          </w:p>
        </w:tc>
        <w:tc>
          <w:tcPr>
            <w:tcW w:w="1500" w:type="dxa"/>
            <w:vAlign w:val="center"/>
            <w:shd w:val="clear" w:fill="FFFFFF"/>
          </w:tcPr>
          <w:p>
            <w:pPr>
              <w:spacing w:after="40" w:line="240" w:lineRule="auto" w:before="40"/>
            </w:pPr>
            <w:r>
              <w:rPr>
                <w:rFonts w:ascii="Calibri" w:hAnsi="Calibri"/>
                <w:i w:val="0"/>
                <w:color w:val="000000"/>
                <w:sz w:val="21"/>
                <w:szCs w:val="21"/>
              </w:rPr>
              <w:t xml:space="preserve">PB</w:t>
            </w:r>
          </w:p>
        </w:tc>
        <w:tc>
          <w:tcPr>
            <w:tcW w:w="1600" w:type="dxa"/>
            <w:vAlign w:val="center"/>
            <w:shd w:val="clear" w:fill="FFFFFF"/>
          </w:tcPr>
          <w:p>
            <w:pPr>
              <w:spacing w:after="40" w:line="240" w:lineRule="auto" w:before="40"/>
            </w:pPr>
            <w:r>
              <w:rPr>
                <w:rFonts w:ascii="Calibri" w:hAnsi="Calibri"/>
                <w:i w:val="0"/>
                <w:color w:val="000000"/>
                <w:sz w:val="21"/>
                <w:szCs w:val="21"/>
              </w:rPr>
              <w:t xml:space="preserve">LO</w:t>
            </w:r>
          </w:p>
        </w:tc>
        <w:tc>
          <w:tcPr>
            <w:tcW w:w="4760" w:type="dxa"/>
            <w:vAlign w:val="center"/>
            <w:shd w:val="clear" w:fill="FFFFFF"/>
          </w:tcPr>
          <w:p>
            <w:pPr>
              <w:spacing w:after="40" w:line="240" w:lineRule="auto" w:before="40"/>
            </w:pPr>
            <w:r>
              <w:rPr>
                <w:rFonts w:ascii="Calibri" w:hAnsi="Calibri"/>
                <w:i w:val="0"/>
                <w:color w:val="000000"/>
                <w:sz w:val="21"/>
                <w:szCs w:val="21"/>
              </w:rPr>
              <w:t xml:space="preserve">Dispatchable initial proposal.</w:t>
            </w:r>
          </w:p>
        </w:tc>
      </w:tr>
      <w:tr>
        <w:trPr/>
        <w:tc>
          <w:tcPr>
            <w:tcW w:w="1500" w:type="dxa"/>
            <w:vAlign w:val="center"/>
            <w:shd w:val="clear" w:fill="F2F6FA"/>
          </w:tcPr>
          <w:p>
            <w:pPr>
              <w:spacing w:after="40" w:line="240" w:lineRule="auto" w:before="40"/>
            </w:pPr>
            <w:r>
              <w:rPr>
                <w:rFonts w:ascii="Calibri" w:hAnsi="Calibri"/>
                <w:i w:val="0"/>
                <w:color w:val="000000"/>
                <w:sz w:val="21"/>
                <w:szCs w:val="21"/>
              </w:rPr>
              <w:t xml:space="preserve">REVISED</w:t>
            </w:r>
          </w:p>
        </w:tc>
        <w:tc>
          <w:tcPr>
            <w:tcW w:w="1500" w:type="dxa"/>
            <w:vAlign w:val="center"/>
            <w:shd w:val="clear" w:fill="F2F6FA"/>
          </w:tcPr>
          <w:p>
            <w:pPr>
              <w:spacing w:after="40" w:line="240" w:lineRule="auto" w:before="40"/>
            </w:pPr>
            <w:r>
              <w:rPr>
                <w:rFonts w:ascii="Calibri" w:hAnsi="Calibri"/>
                <w:i w:val="0"/>
                <w:color w:val="000000"/>
                <w:sz w:val="21"/>
                <w:szCs w:val="21"/>
              </w:rPr>
              <w:t xml:space="preserve">PB</w:t>
            </w:r>
          </w:p>
        </w:tc>
        <w:tc>
          <w:tcPr>
            <w:tcW w:w="1600" w:type="dxa"/>
            <w:vAlign w:val="center"/>
            <w:shd w:val="clear" w:fill="F2F6FA"/>
          </w:tcPr>
          <w:p>
            <w:pPr>
              <w:spacing w:after="40" w:line="240" w:lineRule="auto" w:before="40"/>
            </w:pPr>
            <w:r>
              <w:rPr>
                <w:rFonts w:ascii="Calibri" w:hAnsi="Calibri"/>
                <w:i w:val="0"/>
                <w:color w:val="000000"/>
                <w:sz w:val="21"/>
                <w:szCs w:val="21"/>
              </w:rPr>
              <w:t xml:space="preserve">LO</w:t>
            </w:r>
          </w:p>
        </w:tc>
        <w:tc>
          <w:tcPr>
            <w:tcW w:w="4760" w:type="dxa"/>
            <w:vAlign w:val="center"/>
            <w:shd w:val="clear" w:fill="F2F6FA"/>
          </w:tcPr>
          <w:p>
            <w:pPr>
              <w:spacing w:after="40" w:line="240" w:lineRule="auto" w:before="40"/>
            </w:pPr>
            <w:r>
              <w:rPr>
                <w:rFonts w:ascii="Calibri" w:hAnsi="Calibri"/>
                <w:i w:val="0"/>
                <w:color w:val="000000"/>
                <w:sz w:val="21"/>
                <w:szCs w:val="21"/>
              </w:rPr>
              <w:t xml:space="preserve">Dispatchable revised proposal.</w:t>
            </w:r>
          </w:p>
        </w:tc>
      </w:tr>
      <w:tr>
        <w:trPr/>
        <w:tc>
          <w:tcPr>
            <w:tcW w:w="1500" w:type="dxa"/>
            <w:vAlign w:val="center"/>
            <w:shd w:val="clear" w:fill="FFFFFF"/>
          </w:tcPr>
          <w:p>
            <w:pPr>
              <w:spacing w:after="40" w:line="240" w:lineRule="auto" w:before="40"/>
            </w:pPr>
            <w:r>
              <w:rPr>
                <w:rFonts w:ascii="Calibri" w:hAnsi="Calibri"/>
                <w:i w:val="0"/>
                <w:color w:val="000000"/>
                <w:sz w:val="21"/>
                <w:szCs w:val="21"/>
              </w:rPr>
              <w:t xml:space="preserve">GO</w:t>
            </w:r>
          </w:p>
        </w:tc>
        <w:tc>
          <w:tcPr>
            <w:tcW w:w="1500" w:type="dxa"/>
            <w:vAlign w:val="center"/>
            <w:shd w:val="clear" w:fill="FFFFFF"/>
          </w:tcPr>
          <w:p>
            <w:pPr>
              <w:spacing w:after="40" w:line="240" w:lineRule="auto" w:before="40"/>
            </w:pPr>
            <w:r>
              <w:rPr>
                <w:rFonts w:ascii="Calibri" w:hAnsi="Calibri"/>
                <w:i w:val="0"/>
                <w:color w:val="000000"/>
                <w:sz w:val="21"/>
                <w:szCs w:val="21"/>
              </w:rPr>
              <w:t xml:space="preserve">LO</w:t>
            </w:r>
          </w:p>
        </w:tc>
        <w:tc>
          <w:tcPr>
            <w:tcW w:w="1600" w:type="dxa"/>
            <w:vAlign w:val="center"/>
            <w:shd w:val="clear" w:fill="FFFFFF"/>
          </w:tcPr>
          <w:p>
            <w:pPr>
              <w:spacing w:after="40" w:line="240" w:lineRule="auto" w:before="40"/>
            </w:pPr>
            <w:r>
              <w:rPr>
                <w:rFonts w:ascii="Calibri" w:hAnsi="Calibri"/>
                <w:i w:val="0"/>
                <w:color w:val="000000"/>
                <w:sz w:val="21"/>
                <w:szCs w:val="21"/>
              </w:rPr>
              <w:t xml:space="preserve">PB</w:t>
            </w:r>
          </w:p>
        </w:tc>
        <w:tc>
          <w:tcPr>
            <w:tcW w:w="4760" w:type="dxa"/>
            <w:vAlign w:val="center"/>
            <w:shd w:val="clear" w:fill="FFFFFF"/>
          </w:tcPr>
          <w:p>
            <w:pPr>
              <w:spacing w:after="40" w:line="240" w:lineRule="auto" w:before="40"/>
            </w:pPr>
            <w:r>
              <w:rPr>
                <w:rFonts w:ascii="Calibri" w:hAnsi="Calibri"/>
                <w:i w:val="0"/>
                <w:color w:val="000000"/>
                <w:sz w:val="21"/>
                <w:szCs w:val="21"/>
              </w:rPr>
              <w:t xml:space="preserve">Dispatchable proposal approval.</w:t>
            </w:r>
          </w:p>
        </w:tc>
      </w:tr>
      <w:tr>
        <w:trPr/>
        <w:tc>
          <w:tcPr>
            <w:tcW w:w="1500" w:type="dxa"/>
            <w:vAlign w:val="center"/>
            <w:shd w:val="clear" w:fill="F2F6FA"/>
          </w:tcPr>
          <w:p>
            <w:pPr>
              <w:spacing w:after="40" w:line="240" w:lineRule="auto" w:before="40"/>
            </w:pPr>
            <w:r>
              <w:rPr>
                <w:rFonts w:ascii="Calibri" w:hAnsi="Calibri"/>
                <w:i w:val="0"/>
                <w:color w:val="000000"/>
                <w:sz w:val="21"/>
                <w:szCs w:val="21"/>
              </w:rPr>
              <w:t xml:space="preserve">NO-GO</w:t>
            </w:r>
          </w:p>
        </w:tc>
        <w:tc>
          <w:tcPr>
            <w:tcW w:w="1500" w:type="dxa"/>
            <w:vAlign w:val="center"/>
            <w:shd w:val="clear" w:fill="F2F6FA"/>
          </w:tcPr>
          <w:p>
            <w:pPr>
              <w:spacing w:after="40" w:line="240" w:lineRule="auto" w:before="40"/>
            </w:pPr>
            <w:r>
              <w:rPr>
                <w:rFonts w:ascii="Calibri" w:hAnsi="Calibri"/>
                <w:i w:val="0"/>
                <w:color w:val="000000"/>
                <w:sz w:val="21"/>
                <w:szCs w:val="21"/>
              </w:rPr>
              <w:t xml:space="preserve">LO</w:t>
            </w:r>
          </w:p>
        </w:tc>
        <w:tc>
          <w:tcPr>
            <w:tcW w:w="1600" w:type="dxa"/>
            <w:vAlign w:val="center"/>
            <w:shd w:val="clear" w:fill="F2F6FA"/>
          </w:tcPr>
          <w:p>
            <w:pPr>
              <w:spacing w:after="40" w:line="240" w:lineRule="auto" w:before="40"/>
            </w:pPr>
            <w:r>
              <w:rPr>
                <w:rFonts w:ascii="Calibri" w:hAnsi="Calibri"/>
                <w:i w:val="0"/>
                <w:color w:val="000000"/>
                <w:sz w:val="21"/>
                <w:szCs w:val="21"/>
              </w:rPr>
              <w:t xml:space="preserve">PB</w:t>
            </w:r>
          </w:p>
        </w:tc>
        <w:tc>
          <w:tcPr>
            <w:tcW w:w="4760" w:type="dxa"/>
            <w:vAlign w:val="center"/>
            <w:shd w:val="clear" w:fill="F2F6FA"/>
          </w:tcPr>
          <w:p>
            <w:pPr>
              <w:spacing w:after="40" w:line="240" w:lineRule="auto" w:before="40"/>
            </w:pPr>
            <w:r>
              <w:rPr>
                <w:rFonts w:ascii="Calibri" w:hAnsi="Calibri"/>
                <w:i w:val="0"/>
                <w:color w:val="000000"/>
                <w:sz w:val="21"/>
                <w:szCs w:val="21"/>
              </w:rPr>
              <w:t xml:space="preserve">Dispatchable proposal rejection requiring revision.</w:t>
            </w:r>
          </w:p>
        </w:tc>
      </w:tr>
      <w:tr>
        <w:trPr/>
        <w:tc>
          <w:tcPr>
            <w:tcW w:w="1500" w:type="dxa"/>
            <w:vAlign w:val="center"/>
            <w:shd w:val="clear" w:fill="FFFFFF"/>
          </w:tcPr>
          <w:p>
            <w:pPr>
              <w:spacing w:after="40" w:line="240" w:lineRule="auto" w:before="40"/>
            </w:pPr>
            <w:r>
              <w:rPr>
                <w:rFonts w:ascii="Calibri" w:hAnsi="Calibri"/>
                <w:i w:val="0"/>
                <w:color w:val="000000"/>
                <w:sz w:val="21"/>
                <w:szCs w:val="21"/>
              </w:rPr>
              <w:t xml:space="preserve">READY</w:t>
            </w:r>
          </w:p>
        </w:tc>
        <w:tc>
          <w:tcPr>
            <w:tcW w:w="1500" w:type="dxa"/>
            <w:vAlign w:val="center"/>
            <w:shd w:val="clear" w:fill="FFFFFF"/>
          </w:tcPr>
          <w:p>
            <w:pPr>
              <w:spacing w:after="40" w:line="240" w:lineRule="auto" w:before="40"/>
            </w:pPr>
            <w:r>
              <w:rPr>
                <w:rFonts w:ascii="Calibri" w:hAnsi="Calibri"/>
                <w:i w:val="0"/>
                <w:color w:val="000000"/>
                <w:sz w:val="21"/>
                <w:szCs w:val="21"/>
              </w:rPr>
              <w:t xml:space="preserve">PB</w:t>
            </w:r>
          </w:p>
        </w:tc>
        <w:tc>
          <w:tcPr>
            <w:tcW w:w="1600" w:type="dxa"/>
            <w:vAlign w:val="center"/>
            <w:shd w:val="clear" w:fill="FFFFFF"/>
          </w:tcPr>
          <w:p>
            <w:pPr>
              <w:spacing w:after="40" w:line="240" w:lineRule="auto" w:before="40"/>
            </w:pPr>
            <w:r>
              <w:rPr>
                <w:rFonts w:ascii="Calibri" w:hAnsi="Calibri"/>
                <w:i w:val="0"/>
                <w:color w:val="000000"/>
                <w:sz w:val="21"/>
                <w:szCs w:val="21"/>
              </w:rPr>
              <w:t xml:space="preserve">LO</w:t>
            </w:r>
          </w:p>
        </w:tc>
        <w:tc>
          <w:tcPr>
            <w:tcW w:w="4760" w:type="dxa"/>
            <w:vAlign w:val="center"/>
            <w:shd w:val="clear" w:fill="FFFFFF"/>
          </w:tcPr>
          <w:p>
            <w:pPr>
              <w:spacing w:after="40" w:line="240" w:lineRule="auto" w:before="40"/>
            </w:pPr>
            <w:r>
              <w:rPr>
                <w:rFonts w:ascii="Calibri" w:hAnsi="Calibri"/>
                <w:i w:val="0"/>
                <w:color w:val="000000"/>
                <w:sz w:val="21"/>
                <w:szCs w:val="21"/>
              </w:rPr>
              <w:t xml:space="preserve">Dispatchable implementation report after GO.</w:t>
            </w:r>
          </w:p>
        </w:tc>
      </w:tr>
      <w:tr>
        <w:trPr/>
        <w:tc>
          <w:tcPr>
            <w:tcW w:w="1500" w:type="dxa"/>
            <w:vAlign w:val="center"/>
            <w:shd w:val="clear" w:fill="F2F6FA"/>
          </w:tcPr>
          <w:p>
            <w:pPr>
              <w:spacing w:after="40" w:line="240" w:lineRule="auto" w:before="40"/>
            </w:pPr>
            <w:r>
              <w:rPr>
                <w:rFonts w:ascii="Calibri" w:hAnsi="Calibri"/>
                <w:i w:val="0"/>
                <w:color w:val="000000"/>
                <w:sz w:val="21"/>
                <w:szCs w:val="21"/>
              </w:rPr>
              <w:t xml:space="preserve">NOT-READY</w:t>
            </w:r>
          </w:p>
        </w:tc>
        <w:tc>
          <w:tcPr>
            <w:tcW w:w="1500" w:type="dxa"/>
            <w:vAlign w:val="center"/>
            <w:shd w:val="clear" w:fill="F2F6FA"/>
          </w:tcPr>
          <w:p>
            <w:pPr>
              <w:spacing w:after="40" w:line="240" w:lineRule="auto" w:before="40"/>
            </w:pPr>
            <w:r>
              <w:rPr>
                <w:rFonts w:ascii="Calibri" w:hAnsi="Calibri"/>
                <w:i w:val="0"/>
                <w:color w:val="000000"/>
                <w:sz w:val="21"/>
                <w:szCs w:val="21"/>
              </w:rPr>
              <w:t xml:space="preserve">LO</w:t>
            </w:r>
          </w:p>
        </w:tc>
        <w:tc>
          <w:tcPr>
            <w:tcW w:w="1600" w:type="dxa"/>
            <w:vAlign w:val="center"/>
            <w:shd w:val="clear" w:fill="F2F6FA"/>
          </w:tcPr>
          <w:p>
            <w:pPr>
              <w:spacing w:after="40" w:line="240" w:lineRule="auto" w:before="40"/>
            </w:pPr>
            <w:r>
              <w:rPr>
                <w:rFonts w:ascii="Calibri" w:hAnsi="Calibri"/>
                <w:i w:val="0"/>
                <w:color w:val="000000"/>
                <w:sz w:val="21"/>
                <w:szCs w:val="21"/>
              </w:rPr>
              <w:t xml:space="preserve">PB</w:t>
            </w:r>
          </w:p>
        </w:tc>
        <w:tc>
          <w:tcPr>
            <w:tcW w:w="4760" w:type="dxa"/>
            <w:vAlign w:val="center"/>
            <w:shd w:val="clear" w:fill="F2F6FA"/>
          </w:tcPr>
          <w:p>
            <w:pPr>
              <w:spacing w:after="40" w:line="240" w:lineRule="auto" w:before="40"/>
            </w:pPr>
            <w:r>
              <w:rPr>
                <w:rFonts w:ascii="Calibri" w:hAnsi="Calibri"/>
                <w:i w:val="0"/>
                <w:color w:val="000000"/>
                <w:sz w:val="21"/>
                <w:szCs w:val="21"/>
              </w:rPr>
              <w:t xml:space="preserve">Dispatchable report rejection requiring correction.</w:t>
            </w:r>
          </w:p>
        </w:tc>
      </w:tr>
      <w:tr>
        <w:trPr/>
        <w:tc>
          <w:tcPr>
            <w:tcW w:w="1500" w:type="dxa"/>
            <w:vAlign w:val="center"/>
            <w:shd w:val="clear" w:fill="FFFFFF"/>
          </w:tcPr>
          <w:p>
            <w:pPr>
              <w:spacing w:after="40" w:line="240" w:lineRule="auto" w:before="40"/>
            </w:pPr>
            <w:r>
              <w:rPr>
                <w:rFonts w:ascii="Calibri" w:hAnsi="Calibri"/>
                <w:i w:val="0"/>
                <w:color w:val="000000"/>
                <w:sz w:val="21"/>
                <w:szCs w:val="21"/>
              </w:rPr>
              <w:t xml:space="preserve">VERDICT-REJECTED</w:t>
            </w:r>
          </w:p>
        </w:tc>
        <w:tc>
          <w:tcPr>
            <w:tcW w:w="1500" w:type="dxa"/>
            <w:vAlign w:val="center"/>
            <w:shd w:val="clear" w:fill="FFFFFF"/>
          </w:tcPr>
          <w:p>
            <w:pPr>
              <w:spacing w:after="40" w:line="240" w:lineRule="auto" w:before="40"/>
            </w:pPr>
            <w:r>
              <w:rPr>
                <w:rFonts w:ascii="Calibri" w:hAnsi="Calibri"/>
                <w:i w:val="0"/>
                <w:color w:val="000000"/>
                <w:sz w:val="21"/>
                <w:szCs w:val="21"/>
              </w:rPr>
              <w:t xml:space="preserve">PB</w:t>
            </w:r>
          </w:p>
        </w:tc>
        <w:tc>
          <w:tcPr>
            <w:tcW w:w="1600" w:type="dxa"/>
            <w:vAlign w:val="center"/>
            <w:shd w:val="clear" w:fill="FFFFFF"/>
          </w:tcPr>
          <w:p>
            <w:pPr>
              <w:spacing w:after="40" w:line="240" w:lineRule="auto" w:before="40"/>
            </w:pPr>
            <w:r>
              <w:rPr>
                <w:rFonts w:ascii="Calibri" w:hAnsi="Calibri"/>
                <w:i w:val="0"/>
                <w:color w:val="000000"/>
                <w:sz w:val="21"/>
                <w:szCs w:val="21"/>
              </w:rPr>
              <w:t xml:space="preserve">LO</w:t>
            </w:r>
          </w:p>
        </w:tc>
        <w:tc>
          <w:tcPr>
            <w:tcW w:w="4760" w:type="dxa"/>
            <w:vAlign w:val="center"/>
            <w:shd w:val="clear" w:fill="FFFFFF"/>
          </w:tcPr>
          <w:p>
            <w:pPr>
              <w:spacing w:after="40" w:line="240" w:lineRule="auto" w:before="40"/>
            </w:pPr>
            <w:r>
              <w:rPr>
                <w:rFonts w:ascii="Calibri" w:hAnsi="Calibri"/>
                <w:i w:val="0"/>
                <w:color w:val="000000"/>
                <w:sz w:val="21"/>
                <w:szCs w:val="21"/>
              </w:rPr>
              <w:t xml:space="preserve">Dispatchable challenge to noncompliant PB-addressed LO verdict.</w:t>
            </w:r>
          </w:p>
        </w:tc>
      </w:tr>
      <w:tr>
        <w:trPr/>
        <w:tc>
          <w:tcPr>
            <w:tcW w:w="1500" w:type="dxa"/>
            <w:vAlign w:val="center"/>
            <w:shd w:val="clear" w:fill="F2F6FA"/>
          </w:tcPr>
          <w:p>
            <w:pPr>
              <w:spacing w:after="40" w:line="240" w:lineRule="auto" w:before="40"/>
            </w:pPr>
            <w:r>
              <w:rPr>
                <w:rFonts w:ascii="Calibri" w:hAnsi="Calibri"/>
                <w:i w:val="0"/>
                <w:color w:val="000000"/>
                <w:sz w:val="21"/>
                <w:szCs w:val="21"/>
              </w:rPr>
              <w:t xml:space="preserve">VERIFIED</w:t>
            </w:r>
          </w:p>
        </w:tc>
        <w:tc>
          <w:tcPr>
            <w:tcW w:w="1500" w:type="dxa"/>
            <w:vAlign w:val="center"/>
            <w:shd w:val="clear" w:fill="F2F6FA"/>
          </w:tcPr>
          <w:p>
            <w:pPr>
              <w:spacing w:after="40" w:line="240" w:lineRule="auto" w:before="40"/>
            </w:pPr>
            <w:r>
              <w:rPr>
                <w:rFonts w:ascii="Calibri" w:hAnsi="Calibri"/>
                <w:i w:val="0"/>
                <w:color w:val="000000"/>
                <w:sz w:val="21"/>
                <w:szCs w:val="21"/>
              </w:rPr>
              <w:t xml:space="preserve">LO</w:t>
            </w:r>
          </w:p>
        </w:tc>
        <w:tc>
          <w:tcPr>
            <w:tcW w:w="1600" w:type="dxa"/>
            <w:vAlign w:val="center"/>
            <w:shd w:val="clear" w:fill="F2F6FA"/>
          </w:tcPr>
          <w:p>
            <w:pPr>
              <w:spacing w:after="40" w:line="240" w:lineRule="auto" w:before="40"/>
            </w:pPr>
            <w:r>
              <w:rPr>
                <w:rFonts w:ascii="Calibri" w:hAnsi="Calibri"/>
                <w:i w:val="0"/>
                <w:color w:val="000000"/>
                <w:sz w:val="21"/>
                <w:szCs w:val="21"/>
              </w:rPr>
              <w:t xml:space="preserve">None</w:t>
            </w:r>
          </w:p>
        </w:tc>
        <w:tc>
          <w:tcPr>
            <w:tcW w:w="4760" w:type="dxa"/>
            <w:vAlign w:val="center"/>
            <w:shd w:val="clear" w:fill="F2F6FA"/>
          </w:tcPr>
          <w:p>
            <w:pPr>
              <w:spacing w:after="40" w:line="240" w:lineRule="auto" w:before="40"/>
            </w:pPr>
            <w:r>
              <w:rPr>
                <w:rFonts w:ascii="Calibri" w:hAnsi="Calibri"/>
                <w:i w:val="0"/>
                <w:color w:val="000000"/>
                <w:sz w:val="21"/>
                <w:szCs w:val="21"/>
              </w:rPr>
              <w:t xml:space="preserve">Non-dispatchable exact-byte review completion; not a Git fact.</w:t>
            </w:r>
          </w:p>
        </w:tc>
      </w:tr>
      <w:tr>
        <w:trPr/>
        <w:tc>
          <w:tcPr>
            <w:tcW w:w="1500" w:type="dxa"/>
            <w:vAlign w:val="center"/>
            <w:shd w:val="clear" w:fill="FFFFFF"/>
          </w:tcPr>
          <w:p>
            <w:pPr>
              <w:spacing w:after="40" w:line="240" w:lineRule="auto" w:before="40"/>
            </w:pPr>
            <w:r>
              <w:rPr>
                <w:rFonts w:ascii="Calibri" w:hAnsi="Calibri"/>
                <w:i w:val="0"/>
                <w:color w:val="000000"/>
                <w:sz w:val="21"/>
                <w:szCs w:val="21"/>
              </w:rPr>
              <w:t xml:space="preserve">WITHDRAWN</w:t>
            </w:r>
          </w:p>
        </w:tc>
        <w:tc>
          <w:tcPr>
            <w:tcW w:w="1500" w:type="dxa"/>
            <w:vAlign w:val="center"/>
            <w:shd w:val="clear" w:fill="FFFFFF"/>
          </w:tcPr>
          <w:p>
            <w:pPr>
              <w:spacing w:after="40" w:line="240" w:lineRule="auto" w:before="40"/>
            </w:pPr>
            <w:r>
              <w:rPr>
                <w:rFonts w:ascii="Calibri" w:hAnsi="Calibri"/>
                <w:i w:val="0"/>
                <w:color w:val="000000"/>
                <w:sz w:val="21"/>
                <w:szCs w:val="21"/>
              </w:rPr>
              <w:t xml:space="preserve">PB</w:t>
            </w:r>
          </w:p>
        </w:tc>
        <w:tc>
          <w:tcPr>
            <w:tcW w:w="1600" w:type="dxa"/>
            <w:vAlign w:val="center"/>
            <w:shd w:val="clear" w:fill="FFFFFF"/>
          </w:tcPr>
          <w:p>
            <w:pPr>
              <w:spacing w:after="40" w:line="240" w:lineRule="auto" w:before="40"/>
            </w:pPr>
            <w:r>
              <w:rPr>
                <w:rFonts w:ascii="Calibri" w:hAnsi="Calibri"/>
                <w:i w:val="0"/>
                <w:color w:val="000000"/>
                <w:sz w:val="21"/>
                <w:szCs w:val="21"/>
              </w:rPr>
              <w:t xml:space="preserve">None</w:t>
            </w:r>
          </w:p>
        </w:tc>
        <w:tc>
          <w:tcPr>
            <w:tcW w:w="4760" w:type="dxa"/>
            <w:vAlign w:val="center"/>
            <w:shd w:val="clear" w:fill="FFFFFF"/>
          </w:tcPr>
          <w:p>
            <w:pPr>
              <w:spacing w:after="40" w:line="240" w:lineRule="auto" w:before="40"/>
            </w:pPr>
            <w:r>
              <w:rPr>
                <w:rFonts w:ascii="Calibri" w:hAnsi="Calibri"/>
                <w:i w:val="0"/>
                <w:color w:val="000000"/>
                <w:sz w:val="21"/>
                <w:szCs w:val="21"/>
              </w:rPr>
              <w:t xml:space="preserve">Non-dispatchable terminal pre-GO withdrawal.</w:t>
            </w:r>
          </w:p>
        </w:tc>
      </w:tr>
      <w:tr>
        <w:trPr/>
        <w:tc>
          <w:tcPr>
            <w:tcW w:w="1500" w:type="dxa"/>
            <w:vAlign w:val="center"/>
            <w:shd w:val="clear" w:fill="F2F6FA"/>
          </w:tcPr>
          <w:p>
            <w:pPr>
              <w:spacing w:after="40" w:line="240" w:lineRule="auto" w:before="40"/>
            </w:pPr>
            <w:r>
              <w:rPr>
                <w:rFonts w:ascii="Calibri" w:hAnsi="Calibri"/>
                <w:i w:val="0"/>
                <w:color w:val="000000"/>
                <w:sz w:val="21"/>
                <w:szCs w:val="21"/>
              </w:rPr>
              <w:t xml:space="preserve">ADVISORY</w:t>
            </w:r>
          </w:p>
        </w:tc>
        <w:tc>
          <w:tcPr>
            <w:tcW w:w="1500" w:type="dxa"/>
            <w:vAlign w:val="center"/>
            <w:shd w:val="clear" w:fill="F2F6FA"/>
          </w:tcPr>
          <w:p>
            <w:pPr>
              <w:spacing w:after="40" w:line="240" w:lineRule="auto" w:before="40"/>
            </w:pPr>
            <w:r>
              <w:rPr>
                <w:rFonts w:ascii="Calibri" w:hAnsi="Calibri"/>
                <w:i w:val="0"/>
                <w:color w:val="000000"/>
                <w:sz w:val="21"/>
                <w:szCs w:val="21"/>
              </w:rPr>
              <w:t xml:space="preserve">PB or LO</w:t>
            </w:r>
          </w:p>
        </w:tc>
        <w:tc>
          <w:tcPr>
            <w:tcW w:w="1600" w:type="dxa"/>
            <w:vAlign w:val="center"/>
            <w:shd w:val="clear" w:fill="F2F6FA"/>
          </w:tcPr>
          <w:p>
            <w:pPr>
              <w:spacing w:after="40" w:line="240" w:lineRule="auto" w:before="40"/>
            </w:pPr>
            <w:r>
              <w:rPr>
                <w:rFonts w:ascii="Calibri" w:hAnsi="Calibri"/>
                <w:i w:val="0"/>
                <w:color w:val="000000"/>
                <w:sz w:val="21"/>
                <w:szCs w:val="21"/>
              </w:rPr>
              <w:t xml:space="preserve">None</w:t>
            </w:r>
          </w:p>
        </w:tc>
        <w:tc>
          <w:tcPr>
            <w:tcW w:w="4760" w:type="dxa"/>
            <w:vAlign w:val="center"/>
            <w:shd w:val="clear" w:fill="F2F6FA"/>
          </w:tcPr>
          <w:p>
            <w:pPr>
              <w:spacing w:after="40" w:line="240" w:lineRule="auto" w:before="40"/>
            </w:pPr>
            <w:r>
              <w:rPr>
                <w:rFonts w:ascii="Calibri" w:hAnsi="Calibri"/>
                <w:i w:val="0"/>
                <w:color w:val="000000"/>
                <w:sz w:val="21"/>
                <w:szCs w:val="21"/>
              </w:rPr>
              <w:t xml:space="preserve">Non-dispatchable informative message.</w:t>
            </w:r>
          </w:p>
        </w:tc>
      </w:tr>
      <w:tr>
        <w:trPr/>
        <w:tc>
          <w:tcPr>
            <w:tcW w:w="1500" w:type="dxa"/>
            <w:vAlign w:val="center"/>
            <w:shd w:val="clear" w:fill="FFFFFF"/>
          </w:tcPr>
          <w:p>
            <w:pPr>
              <w:spacing w:after="40" w:line="240" w:lineRule="auto" w:before="40"/>
            </w:pPr>
            <w:r>
              <w:rPr>
                <w:rFonts w:ascii="Calibri" w:hAnsi="Calibri"/>
                <w:i w:val="0"/>
                <w:color w:val="000000"/>
                <w:sz w:val="21"/>
                <w:szCs w:val="21"/>
              </w:rPr>
              <w:t xml:space="preserve">BLOCKED</w:t>
            </w:r>
          </w:p>
        </w:tc>
        <w:tc>
          <w:tcPr>
            <w:tcW w:w="1500" w:type="dxa"/>
            <w:vAlign w:val="center"/>
            <w:shd w:val="clear" w:fill="FFFFFF"/>
          </w:tcPr>
          <w:p>
            <w:pPr>
              <w:spacing w:after="40" w:line="240" w:lineRule="auto" w:before="40"/>
            </w:pPr>
            <w:r>
              <w:rPr>
                <w:rFonts w:ascii="Calibri" w:hAnsi="Calibri"/>
                <w:i w:val="0"/>
                <w:color w:val="000000"/>
                <w:sz w:val="21"/>
                <w:szCs w:val="21"/>
              </w:rPr>
              <w:t xml:space="preserve">PB</w:t>
            </w:r>
          </w:p>
        </w:tc>
        <w:tc>
          <w:tcPr>
            <w:tcW w:w="1600" w:type="dxa"/>
            <w:vAlign w:val="center"/>
            <w:shd w:val="clear" w:fill="FFFFFF"/>
          </w:tcPr>
          <w:p>
            <w:pPr>
              <w:spacing w:after="40" w:line="240" w:lineRule="auto" w:before="40"/>
            </w:pPr>
            <w:r>
              <w:rPr>
                <w:rFonts w:ascii="Calibri" w:hAnsi="Calibri"/>
                <w:i w:val="0"/>
                <w:color w:val="000000"/>
                <w:sz w:val="21"/>
                <w:szCs w:val="21"/>
              </w:rPr>
              <w:t xml:space="preserve">None</w:t>
            </w:r>
          </w:p>
        </w:tc>
        <w:tc>
          <w:tcPr>
            <w:tcW w:w="4760" w:type="dxa"/>
            <w:vAlign w:val="center"/>
            <w:shd w:val="clear" w:fill="FFFFFF"/>
          </w:tcPr>
          <w:p>
            <w:pPr>
              <w:spacing w:after="40" w:line="240" w:lineRule="auto" w:before="40"/>
            </w:pPr>
            <w:r>
              <w:rPr>
                <w:rFonts w:ascii="Calibri" w:hAnsi="Calibri"/>
                <w:i w:val="0"/>
                <w:color w:val="000000"/>
                <w:sz w:val="21"/>
                <w:szCs w:val="21"/>
              </w:rPr>
              <w:t xml:space="preserve">Non-dispatchable headless unauthorized-parent refusal before NEW.</w:t>
            </w:r>
          </w:p>
        </w:tc>
      </w:tr>
      <w:tr>
        <w:trPr/>
        <w:tc>
          <w:tcPr>
            <w:tcW w:w="1500" w:type="dxa"/>
            <w:vAlign w:val="center"/>
            <w:shd w:val="clear" w:fill="F2F6FA"/>
          </w:tcPr>
          <w:p>
            <w:pPr>
              <w:spacing w:after="40" w:line="240" w:lineRule="auto" w:before="40"/>
            </w:pPr>
            <w:r>
              <w:rPr>
                <w:rFonts w:ascii="Calibri" w:hAnsi="Calibri"/>
                <w:i w:val="0"/>
                <w:color w:val="000000"/>
                <w:sz w:val="21"/>
                <w:szCs w:val="21"/>
              </w:rPr>
              <w:t xml:space="preserve">SUPERSEDED</w:t>
            </w:r>
          </w:p>
        </w:tc>
        <w:tc>
          <w:tcPr>
            <w:tcW w:w="1500" w:type="dxa"/>
            <w:vAlign w:val="center"/>
            <w:shd w:val="clear" w:fill="F2F6FA"/>
          </w:tcPr>
          <w:p>
            <w:pPr>
              <w:spacing w:after="40" w:line="240" w:lineRule="auto" w:before="40"/>
            </w:pPr>
            <w:r>
              <w:rPr>
                <w:rFonts w:ascii="Calibri" w:hAnsi="Calibri"/>
                <w:i w:val="0"/>
                <w:color w:val="000000"/>
                <w:sz w:val="21"/>
                <w:szCs w:val="21"/>
              </w:rPr>
              <w:t xml:space="preserve">LO</w:t>
            </w:r>
          </w:p>
        </w:tc>
        <w:tc>
          <w:tcPr>
            <w:tcW w:w="1600" w:type="dxa"/>
            <w:vAlign w:val="center"/>
            <w:shd w:val="clear" w:fill="F2F6FA"/>
          </w:tcPr>
          <w:p>
            <w:pPr>
              <w:spacing w:after="40" w:line="240" w:lineRule="auto" w:before="40"/>
            </w:pPr>
            <w:r>
              <w:rPr>
                <w:rFonts w:ascii="Calibri" w:hAnsi="Calibri"/>
                <w:i w:val="0"/>
                <w:color w:val="000000"/>
                <w:sz w:val="21"/>
                <w:szCs w:val="21"/>
              </w:rPr>
              <w:t xml:space="preserve">None</w:t>
            </w:r>
          </w:p>
        </w:tc>
        <w:tc>
          <w:tcPr>
            <w:tcW w:w="4760" w:type="dxa"/>
            <w:vAlign w:val="center"/>
            <w:shd w:val="clear" w:fill="F2F6FA"/>
          </w:tcPr>
          <w:p>
            <w:pPr>
              <w:spacing w:after="40" w:line="240" w:lineRule="auto" w:before="40"/>
            </w:pPr>
            <w:r>
              <w:rPr>
                <w:rFonts w:ascii="Calibri" w:hAnsi="Calibri"/>
                <w:i w:val="0"/>
                <w:color w:val="000000"/>
                <w:sz w:val="21"/>
                <w:szCs w:val="21"/>
              </w:rPr>
              <w:t xml:space="preserve">Non-dispatchable terminal closure of absent subject; canonical attempt evidence required.</w:t>
            </w:r>
          </w:p>
        </w:tc>
      </w:tr>
    </w:tbl>
    <w:p>
      <w:r>
        <w:br w:type="page"/>
      </w:r>
    </w:p>
    <w:p>
      <w:pPr>
        <w:keepNext/>
        <w:spacing w:before="280" w:after="120"/>
      </w:pPr>
      <w:r>
        <w:rPr>
          <w:rFonts w:ascii="Arial" w:hAnsi="Arial"/>
          <w:b/>
          <w:sz w:val="26"/>
          <w:color w:val="000000"/>
        </w:rPr>
        <w:t xml:space="preserve">Section 6 Session Identity and Activities</w:t>
      </w:r>
    </w:p>
    <w:p>
      <w:pPr>
        <w:keepNext/>
        <w:spacing w:before="200" w:after="80"/>
      </w:pPr>
      <w:r>
        <w:rPr>
          <w:rFonts w:ascii="Arial" w:hAnsi="Arial"/>
          <w:b/>
          <w:sz w:val="22"/>
          <w:color w:val="000000"/>
        </w:rPr>
        <w:t xml:space="preserve">6 1 Immutable native session binding</w:t>
      </w:r>
    </w:p>
    <w:p>
      <w:pPr>
        <w:spacing w:after="100" w:line="276" w:lineRule="auto"/>
      </w:pPr>
      <w:r>
        <w:rPr>
          <w:rFonts w:ascii="Calibri" w:hAnsi="Calibri"/>
          <w:i w:val="0"/>
          <w:color w:val="222222"/>
          <w:sz w:val="21"/>
        </w:rPr>
        <w:t xml:space="preserve">GOV-SESSION-SELF-INITIALIZATION-001 is active at row version 3 and DCL-INIT-BOUND-SESSION-IDENTITY-001 at row version 1. The accepted incoming marker creates or retrieves one native-context binding with immutable subject and role. It contains no mutable activity, claim, ownership or security capability. Startup activates no service or work. These GTKB subject interfaces do not require external OVERWATCH to assume a GTKB role.</w:t>
      </w:r>
    </w:p>
    <w:p>
      <w:pPr>
        <w:keepNext/>
        <w:spacing w:before="120" w:after="40"/>
      </w:pPr>
      <w:r>
        <w:rPr>
          <w:rFonts w:ascii="Arial" w:hAnsi="Arial"/>
          <w:b/>
          <w:i/>
          <w:color w:val="475569"/>
          <w:sz w:val="18"/>
        </w:rPr>
        <w:t xml:space="preserve">Current native session binding interface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8" w:space="0" w:color="94A3B8"/>
              <w:left w:val="single" w:sz="8" w:space="0" w:color="94A3B8"/>
              <w:bottom w:val="single" w:sz="8" w:space="0" w:color="94A3B8"/>
              <w:right w:val="single" w:sz="8" w:space="0" w:color="94A3B8"/>
            </w:tcBorders>
          </w:tcPr>
          <w:p>
            <w:pPr>
              <w:spacing w:before="0" w:after="0" w:line="252" w:lineRule="auto"/>
            </w:pPr>
            <w:r>
              <w:rPr>
                <w:rFonts w:ascii="Consolas" w:hAnsi="Consolas"/>
                <w:color w:val="0F172A"/>
                <w:sz w:val="18"/>
              </w:rPr>
              <w:t xml:space="preserve">gt session bind --native-context-id &lt;actual-native-context-id&gt; --init-keyword "::init gtkb pb"</w:t>
              <w:br/>
              <w:t xml:space="preserve">gt session show --native-context-id &lt;actual-native-context-id&gt;</w:t>
            </w:r>
          </w:p>
        </w:tc>
      </w:tr>
    </w:tbl>
    <w:p>
      <w:pPr>
        <w:spacing w:after="80"/>
      </w:pPr>
    </w:p>
    <w:p>
      <w:pPr>
        <w:keepNext/>
        <w:spacing w:before="200" w:after="80"/>
      </w:pPr>
      <w:r>
        <w:rPr>
          <w:rFonts w:ascii="Arial" w:hAnsi="Arial"/>
          <w:b/>
          <w:sz w:val="22"/>
          <w:color w:val="000000"/>
        </w:rPr>
        <w:t xml:space="preserve">6 2 Transient activity and bounded operations</w:t>
      </w:r>
    </w:p>
    <w:p>
      <w:pPr>
        <w:spacing w:after="100" w:line="276" w:lineRule="auto"/>
      </w:pPr>
      <w:r>
        <w:rPr>
          <w:rFonts w:ascii="Calibri" w:hAnsi="Calibri"/>
          <w:i w:val="0"/>
          <w:color w:val="222222"/>
          <w:sz w:val="21"/>
        </w:rPr>
        <w:t xml:space="preserve">GTKB activity is explicitly selected: build, test, spec, deliberation, project or ops. WP3 permits Prime Builder operations in ops under the existing exact eight-field bound: operation, targets, preconditions, permitted effects, expiry, verification, containment and rollback. The installed gate still refuses harness owner-operation paths; the corrections are prepared and not installed. Prepared Dashboard start, stop and foreground serve use standard resolved paths and settings. Foreground startup and first readiness must meet the existing admission deadline; the running service and its owned cleanup need no new lifetime timer or per-refresh claim. Cleanup confirms listener, scheduler and request-handler termination. Bounded installation preparation covers an absent standard destination or a verified pinned existing installation, with owned staging, exact process checks and captured-only cleanup. Divergent existing trees and unsupported custom or skip settings are refused before destination mutation. Direct owner routes remain available. Executable qualification remains pending.</w:t>
      </w:r>
    </w:p>
    <w:p>
      <w:pPr>
        <w:keepNext/>
        <w:spacing w:before="200" w:after="80"/>
      </w:pPr>
      <w:r>
        <w:rPr>
          <w:rFonts w:ascii="Arial" w:hAnsi="Arial"/>
          <w:b/>
          <w:sz w:val="22"/>
          <w:color w:val="000000"/>
        </w:rPr>
        <w:t xml:space="preserve">6 3 Ephemeral scratch space</w:t>
      </w:r>
    </w:p>
    <w:p>
      <w:pPr>
        <w:spacing w:after="100" w:line="276" w:lineRule="auto"/>
      </w:pPr>
      <w:r>
        <w:rPr>
          <w:rFonts w:ascii="Calibri" w:hAnsi="Calibri"/>
          <w:i w:val="0"/>
          <w:color w:val="222222"/>
          <w:sz w:val="21"/>
        </w:rPr>
        <w:t xml:space="preserve">GTKB scratch is confined to E:\GT-KB\scratchpad\&lt;session-context-id&gt; and is ephemeral. Forbidden .gtkb-state and harness-state locations are no fallback. Facts remain recoverable through canonical services without scratch or a previous agent.</w:t>
      </w:r>
    </w:p>
    <w:p>
      <w:r>
        <w:br w:type="page"/>
      </w:r>
    </w:p>
    <w:p>
      <w:pPr>
        <w:keepNext/>
        <w:spacing w:before="280" w:after="120"/>
      </w:pPr>
      <w:r>
        <w:rPr>
          <w:rFonts w:ascii="Arial" w:hAnsi="Arial"/>
          <w:b/>
          <w:sz w:val="26"/>
          <w:color w:val="000000"/>
        </w:rPr>
        <w:t xml:space="preserve">Section 7 Planned Dispatcher Next</w:t>
      </w:r>
    </w:p>
    <w:p>
      <w:pPr>
        <w:keepNext/>
        <w:spacing w:before="200" w:after="80"/>
      </w:pPr>
      <w:r>
        <w:rPr>
          <w:rFonts w:ascii="Arial" w:hAnsi="Arial"/>
          <w:b/>
          <w:sz w:val="22"/>
          <w:color w:val="000000"/>
        </w:rPr>
        <w:t xml:space="preserve">7 1 Planned coordination responsibilities</w:t>
      </w:r>
    </w:p>
    <w:p>
      <w:pPr>
        <w:spacing w:after="100" w:line="276" w:lineRule="auto"/>
      </w:pPr>
      <w:r>
        <w:rPr>
          <w:rFonts w:ascii="Calibri" w:hAnsi="Calibri"/>
          <w:i w:val="0"/>
          <w:color w:val="222222"/>
          <w:sz w:val="21"/>
        </w:rPr>
        <w:t xml:space="preserve">Dispatcher Next is planned M28 work. It will select and dispatch using canonical ordering, readiness and concurrency facts and author no proposal or verdict. Owner-managed manual dispatch remains until independent qualification and activation; retired TAFE supplies no fallback.</w:t>
      </w:r>
    </w:p>
    <w:p>
      <w:pPr>
        <w:keepNext/>
        <w:spacing w:before="200" w:after="80"/>
      </w:pPr>
      <w:r>
        <w:rPr>
          <w:rFonts w:ascii="Arial" w:hAnsi="Arial"/>
          <w:b/>
          <w:sz w:val="22"/>
          <w:color w:val="000000"/>
        </w:rPr>
        <w:t xml:space="preserve">7 2 Intended selection order</w:t>
      </w:r>
    </w:p>
    <w:p>
      <w:pPr>
        <w:spacing w:after="100" w:line="276" w:lineRule="auto"/>
      </w:pPr>
      <w:r>
        <w:rPr>
          <w:rFonts w:ascii="Calibri" w:hAnsi="Calibri"/>
          <w:i w:val="0"/>
          <w:color w:val="222222"/>
          <w:sz w:val="21"/>
        </w:rPr>
        <w:t xml:space="preserve">Selection applies authorization and dependency/readiness gates before canonical-priority FIFO. Current canonical state, rather than a cached queue or historical dispatch, supplies each selection.</w:t>
      </w:r>
    </w:p>
    <w:p>
      <w:pPr>
        <w:pStyle w:val="ListBullet"/>
        <w:spacing w:after="60"/>
        <w:ind w:left="360"/>
      </w:pPr>
      <w:r>
        <w:rPr>
          <w:rFonts w:ascii="Calibri" w:hAnsi="Calibri"/>
          <w:b/>
          <w:color w:val="111827"/>
          <w:sz w:val="21"/>
        </w:rPr>
        <w:t xml:space="preserve">New work in a not-authorized parent is excluded. The NEW-only filing fail-safe does not cancel initiated chains after deauthorization.</w:t>
      </w:r>
    </w:p>
    <w:p>
      <w:pPr>
        <w:pStyle w:val="ListBullet"/>
        <w:spacing w:after="60"/>
        <w:ind w:left="360"/>
      </w:pPr>
      <w:r>
        <w:rPr>
          <w:rFonts w:ascii="Calibri" w:hAnsi="Calibri"/>
          <w:b/>
          <w:color w:val="111827"/>
          <w:sz w:val="21"/>
        </w:rPr>
        <w:t xml:space="preserve">Dependencies use current readiness and actual project commitment where required. Uncommitted bridge VERIFIED cannot fabricate prerequisite terminality.</w:t>
      </w:r>
    </w:p>
    <w:p>
      <w:pPr>
        <w:pStyle w:val="ListBullet"/>
        <w:spacing w:after="60"/>
        <w:ind w:left="360"/>
      </w:pPr>
      <w:r>
        <w:rPr>
          <w:rFonts w:ascii="Calibri" w:hAnsi="Calibri"/>
          <w:b/>
          <w:color w:val="111827"/>
          <w:sz w:val="21"/>
        </w:rPr>
        <w:t xml:space="preserve">Canonical priority and FIFO order eligible work. Soft ranking cannot defeat a hard exclusion.</w:t>
      </w:r>
    </w:p>
    <w:p>
      <w:pPr>
        <w:keepNext/>
        <w:spacing w:before="200" w:after="80"/>
      </w:pPr>
      <w:r>
        <w:rPr>
          <w:rFonts w:ascii="Arial" w:hAnsi="Arial"/>
          <w:b/>
          <w:sz w:val="22"/>
          <w:color w:val="000000"/>
        </w:rPr>
        <w:t xml:space="preserve">7 3 Exact artifact claims and planned recovery</w:t>
      </w:r>
    </w:p>
    <w:p>
      <w:pPr>
        <w:spacing w:after="100" w:line="276" w:lineRule="auto"/>
      </w:pPr>
      <w:r>
        <w:rPr>
          <w:rFonts w:ascii="Calibri" w:hAnsi="Calibri"/>
          <w:i w:val="0"/>
          <w:color w:val="222222"/>
          <w:sz w:val="21"/>
        </w:rPr>
        <w:t xml:space="preserve">The native bridge claim reserves one exact successor artifact slot for 600 seconds without renewal and is consumed on delivery. It owns no work item or chain. Fenced effects use the current claim and checkout. Dispatcher watchdog and lease recovery remain planned until implemented and qualified.</w:t>
      </w:r>
    </w:p>
    <w:p>
      <w:r>
        <w:br w:type="page"/>
      </w:r>
    </w:p>
    <w:p>
      <w:pPr>
        <w:keepNext/>
        <w:spacing w:before="280" w:after="120"/>
      </w:pPr>
      <w:r>
        <w:rPr>
          <w:rFonts w:ascii="Arial" w:hAnsi="Arial"/>
          <w:b/>
          <w:sz w:val="26"/>
          <w:color w:val="000000"/>
        </w:rPr>
        <w:t xml:space="preserve">Section 8 Workspaces and CLI</w:t>
      </w:r>
    </w:p>
    <w:p>
      <w:pPr>
        <w:keepNext/>
        <w:spacing w:before="200" w:after="80"/>
      </w:pPr>
      <w:r>
        <w:rPr>
          <w:rFonts w:ascii="Arial" w:hAnsi="Arial"/>
          <w:b/>
          <w:sz w:val="22"/>
          <w:color w:val="000000"/>
        </w:rPr>
        <w:t xml:space="preserve">8 1 Claimed target scope</w:t>
      </w:r>
    </w:p>
    <w:p>
      <w:pPr>
        <w:spacing w:after="100" w:line="276" w:lineRule="auto"/>
      </w:pPr>
      <w:r>
        <w:rPr>
          <w:rFonts w:ascii="Calibri" w:hAnsi="Calibri"/>
          <w:i w:val="0"/>
          <w:color w:val="222222"/>
          <w:sz w:val="21"/>
        </w:rPr>
        <w:t xml:space="preserve">Effects are checked against current concrete artifact scope and a registered context checkout. Matching claim and current relevant formal inputs are required at the effect boundary. Coverage follows measured capability; this document does not claim interception of every program-internal write.</w:t>
      </w:r>
    </w:p>
    <w:p>
      <w:pPr>
        <w:keepNext/>
        <w:spacing w:before="200" w:after="80"/>
      </w:pPr>
      <w:r>
        <w:rPr>
          <w:rFonts w:ascii="Arial" w:hAnsi="Arial"/>
          <w:b/>
          <w:sz w:val="22"/>
          <w:color w:val="000000"/>
        </w:rPr>
        <w:t xml:space="preserve">8 2 Exact edits and encoding</w:t>
      </w:r>
    </w:p>
    <w:p>
      <w:pPr>
        <w:spacing w:after="100" w:line="276" w:lineRule="auto"/>
      </w:pPr>
      <w:r>
        <w:rPr>
          <w:rFonts w:ascii="Calibri" w:hAnsi="Calibri"/>
          <w:i w:val="0"/>
          <w:color w:val="222222"/>
          <w:sz w:val="21"/>
        </w:rPr>
        <w:t xml:space="preserve">Supported exact edits preserve unrelated content, useful formatting, encoding and line endings. Reviewed source establishes no universal AST mutator or mandatory LF conversion. UTF-8 handling at affected interfaces is distinct from rewriting every file.</w:t>
      </w:r>
    </w:p>
    <w:p>
      <w:pPr>
        <w:keepNext/>
        <w:spacing w:before="200" w:after="80"/>
      </w:pPr>
      <w:r>
        <w:rPr>
          <w:rFonts w:ascii="Arial" w:hAnsi="Arial"/>
          <w:b/>
          <w:sz w:val="22"/>
          <w:color w:val="000000"/>
        </w:rPr>
        <w:t xml:space="preserve">8 3 Native CLI command families</w:t>
      </w:r>
    </w:p>
    <w:p>
      <w:pPr>
        <w:spacing w:after="100" w:line="276" w:lineRule="auto"/>
      </w:pPr>
      <w:r>
        <w:rPr>
          <w:rFonts w:ascii="Calibri" w:hAnsi="Calibri"/>
          <w:i w:val="0"/>
          <w:color w:val="222222"/>
          <w:sz w:val="21"/>
        </w:rPr>
        <w:t xml:space="preserve">This selected command inventory is derived from cli_authority.py and cli.py, including the controls family. Current installed interfaces determine supported options and effects; source presence alone establishes no installed qualification.</w:t>
      </w:r>
    </w:p>
    <w:p>
      <w:pPr>
        <w:keepNext/>
        <w:spacing w:before="120" w:after="40"/>
      </w:pPr>
      <w:r>
        <w:rPr>
          <w:rFonts w:ascii="Arial" w:hAnsi="Arial"/>
          <w:b/>
          <w:i/>
          <w:color w:val="475569"/>
          <w:sz w:val="18"/>
        </w:rPr>
        <w:t xml:space="preserve">Source derived CLI reference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8" w:space="0" w:color="94A3B8"/>
              <w:left w:val="single" w:sz="8" w:space="0" w:color="94A3B8"/>
              <w:bottom w:val="single" w:sz="8" w:space="0" w:color="94A3B8"/>
              <w:right w:val="single" w:sz="8" w:space="0" w:color="94A3B8"/>
            </w:tcBorders>
          </w:tcPr>
          <w:p>
            <w:pPr>
              <w:spacing w:before="0" w:after="0" w:line="252" w:lineRule="auto"/>
            </w:pPr>
            <w:r>
              <w:rPr>
                <w:rFonts w:ascii="Consolas" w:hAnsi="Consolas"/>
                <w:color w:val="0F172A"/>
                <w:sz w:val="18"/>
              </w:rPr>
              <w:t xml:space="preserve">gt session bind | show | scratch-teardown</w:t>
              <w:br/>
              <w:t xml:space="preserve">gt context session | work-item</w:t>
              <w:br/>
              <w:t xml:space="preserve">gt bridge queue | state-report | show | check-effects | check-delivery</w:t>
              <w:br/>
              <w:t xml:space="preserve">gt bridge claim | check | release | worktree | publish-work | deliver | artifacts | abandon</w:t>
              <w:br/>
              <w:t xml:space="preserve">gt projects list | show | record | set-authorization | retire | readiness | move-item</w:t>
              <w:br/>
              <w:t xml:space="preserve">gt projects dependencies list | show | record</w:t>
              <w:br/>
              <w:t xml:space="preserve">gt projects formal-links list | show | record</w:t>
              <w:br/>
              <w:t xml:space="preserve">gt projects prepare-commit | check-commit | confirm-commit | commit-failed | commit</w:t>
              <w:br/>
              <w:t xml:space="preserve">gt backlog list | show | record | readiness | retire</w:t>
              <w:br/>
              <w:t xml:space="preserve">gt spec list | show | record</w:t>
              <w:br/>
              <w:t xml:space="preserve">gt tests list | show | record</w:t>
              <w:br/>
              <w:t xml:space="preserve">gt test-plans list | show | record</w:t>
              <w:br/>
              <w:t xml:space="preserve">gt test-phases list | show | record</w:t>
              <w:br/>
              <w:t xml:space="preserve">gt deliberations list | show</w:t>
              <w:br/>
              <w:t xml:space="preserve">gt assert</w:t>
              <w:br/>
              <w:t xml:space="preserve">gt service serve | status</w:t>
              <w:br/>
              <w:t xml:space="preserve">gt services status | start | stop</w:t>
              <w:br/>
              <w:t xml:space="preserve">gt home start | stop | status | open | shortcut</w:t>
              <w:br/>
              <w:t xml:space="preserve">gt dashboard init | refresh | install | start | stop | serve</w:t>
              <w:br/>
              <w:t xml:space="preserve">gt controls show | validate | diff | propose | set</w:t>
            </w:r>
          </w:p>
        </w:tc>
      </w:tr>
    </w:tbl>
    <w:p>
      <w:pPr>
        <w:spacing w:after="80"/>
      </w:pPr>
    </w:p>
    <w:p>
      <w:r>
        <w:br w:type="page"/>
      </w:r>
    </w:p>
    <w:p>
      <w:pPr>
        <w:keepNext/>
        <w:spacing w:before="280" w:after="120"/>
      </w:pPr>
      <w:r>
        <w:rPr>
          <w:rFonts w:ascii="Arial" w:hAnsi="Arial"/>
          <w:b/>
          <w:sz w:val="26"/>
          <w:color w:val="000000"/>
        </w:rPr>
        <w:t xml:space="preserve">Section 9 Verification and Qualification</w:t>
      </w:r>
    </w:p>
    <w:p>
      <w:pPr>
        <w:keepNext/>
        <w:spacing w:before="200" w:after="80"/>
      </w:pPr>
      <w:r>
        <w:rPr>
          <w:rFonts w:ascii="Arial" w:hAnsi="Arial"/>
          <w:b/>
          <w:sz w:val="22"/>
          <w:color w:val="000000"/>
        </w:rPr>
        <w:t xml:space="preserve">9 1 Supported assertions</w:t>
      </w:r>
    </w:p>
    <w:p>
      <w:pPr>
        <w:spacing w:after="100" w:line="276" w:lineRule="auto"/>
      </w:pPr>
      <w:r>
        <w:rPr>
          <w:rFonts w:ascii="Calibri" w:hAnsi="Calibri"/>
          <w:i w:val="0"/>
          <w:color w:val="222222"/>
          <w:sz w:val="21"/>
        </w:rPr>
        <w:t xml:space="preserve">gt assert evaluates supported current formal assertions for the scope. Missing behavioral coverage or a semantic contradiction cannot become completion through structural PASS. The applicability ADR defines intended complete discovery and dispositions, but its current record notes an unassessed implementation gap.</w:t>
      </w:r>
    </w:p>
    <w:p>
      <w:pPr>
        <w:keepNext/>
        <w:spacing w:before="200" w:after="80"/>
      </w:pPr>
      <w:r>
        <w:rPr>
          <w:rFonts w:ascii="Arial" w:hAnsi="Arial"/>
          <w:b/>
          <w:sz w:val="22"/>
          <w:color w:val="000000"/>
        </w:rPr>
        <w:t xml:space="preserve">9 2 Distinct evidence levels</w:t>
      </w:r>
    </w:p>
    <w:p>
      <w:pPr>
        <w:pStyle w:val="ListBullet"/>
        <w:spacing w:after="60"/>
        <w:ind w:left="360"/>
      </w:pPr>
      <w:r>
        <w:rPr>
          <w:rFonts w:ascii="Calibri" w:hAnsi="Calibri"/>
          <w:b/>
          <w:color w:val="111827"/>
          <w:sz w:val="21"/>
        </w:rPr>
        <w:t xml:space="preserve">Source and installed-product qualification prove executable behavior under declared inputs. A named file or test definition proves discovery only.</w:t>
      </w:r>
    </w:p>
    <w:p>
      <w:pPr>
        <w:pStyle w:val="ListBullet"/>
        <w:spacing w:after="60"/>
        <w:ind w:left="360"/>
      </w:pPr>
      <w:r>
        <w:rPr>
          <w:rFonts w:ascii="Calibri" w:hAnsi="Calibri"/>
          <w:b/>
          <w:color w:val="111827"/>
          <w:sz w:val="21"/>
        </w:rPr>
        <w:t xml:space="preserve">M13 sessions establish native context loading and agent behavior on the actual tested host. They prove no untested peer or later changed bytes.</w:t>
      </w:r>
    </w:p>
    <w:p>
      <w:pPr>
        <w:pStyle w:val="ListBullet"/>
        <w:spacing w:after="60"/>
        <w:ind w:left="360"/>
      </w:pPr>
      <w:r>
        <w:rPr>
          <w:rFonts w:ascii="Calibri" w:hAnsi="Calibri"/>
          <w:b/>
          <w:color w:val="111827"/>
          <w:sz w:val="21"/>
        </w:rPr>
        <w:t xml:space="preserve">Efficacy proves genuine agent-created work through project commits and required recovery cases. No-op or unrelated work cannot replace a consumed subject.</w:t>
      </w:r>
    </w:p>
    <w:p>
      <w:pPr>
        <w:keepNext/>
        <w:spacing w:before="200" w:after="80"/>
      </w:pPr>
      <w:r>
        <w:rPr>
          <w:rFonts w:ascii="Arial" w:hAnsi="Arial"/>
          <w:b/>
          <w:sz w:val="22"/>
          <w:color w:val="000000"/>
        </w:rPr>
        <w:t xml:space="preserve">9 3 Release and document checks</w:t>
      </w:r>
    </w:p>
    <w:p>
      <w:pPr>
        <w:spacing w:after="100" w:line="276" w:lineRule="auto"/>
      </w:pPr>
      <w:r>
        <w:rPr>
          <w:rFonts w:ascii="Calibri" w:hAnsi="Calibri"/>
          <w:i w:val="0"/>
          <w:color w:val="222222"/>
          <w:sz w:val="21"/>
        </w:rPr>
        <w:t xml:space="preserve">Use the existing external correction/release route at the affected boundary. This DOCX needs exact source/citation checks, comparison, successful rendering and visual inspection before publication. Prose changes alone require no new runtime full qualification. This draft completes neither c123 qualification nor installation.</w:t>
      </w:r>
    </w:p>
    <w:p>
      <w:r>
        <w:br w:type="page"/>
      </w:r>
    </w:p>
    <w:p>
      <w:pPr>
        <w:keepNext/>
        <w:spacing w:before="280" w:after="120"/>
      </w:pPr>
      <w:r>
        <w:rPr>
          <w:rFonts w:ascii="Arial" w:hAnsi="Arial"/>
          <w:b/>
          <w:sz w:val="26"/>
          <w:color w:val="000000"/>
        </w:rPr>
        <w:t xml:space="preserve">Section 10 Harnesses and Resource Choices</w:t>
      </w:r>
    </w:p>
    <w:p>
      <w:pPr>
        <w:keepNext/>
        <w:spacing w:before="200" w:after="80"/>
      </w:pPr>
      <w:r>
        <w:rPr>
          <w:rFonts w:ascii="Arial" w:hAnsi="Arial"/>
          <w:b/>
          <w:sz w:val="22"/>
          <w:color w:val="000000"/>
        </w:rPr>
        <w:t xml:space="preserve">10 1 Role neutral registration</w:t>
      </w:r>
    </w:p>
    <w:p>
      <w:pPr>
        <w:spacing w:after="100" w:line="276" w:lineRule="auto"/>
      </w:pPr>
      <w:r>
        <w:rPr>
          <w:rFonts w:ascii="Calibri" w:hAnsi="Calibri"/>
          <w:i w:val="0"/>
          <w:color w:val="222222"/>
          <w:sz w:val="21"/>
        </w:rPr>
        <w:t xml:space="preserve">Role comes from the receiving marker and immutable binding. Harness and model selection follow capabilities without fixed PB versus LO tiers. GO and VERIFIED require a different declared model from the current proposal or report producer. This cooperative metadata check is not model attestation; actual model selection remains necessary.</w:t>
      </w:r>
    </w:p>
    <w:p>
      <w:pPr>
        <w:spacing w:after="100" w:line="276" w:lineRule="auto"/>
      </w:pPr>
      <w:r>
        <w:rPr>
          <w:rFonts w:ascii="Calibri" w:hAnsi="Calibri"/>
          <w:i w:val="0"/>
          <w:color w:val="222222"/>
          <w:sz w:val="21"/>
        </w:rPr>
        <w:t xml:space="preserve">Registration supplies installation identity and capabilities. It assigns no role from model, reviewer skill or remembered harness role.</w:t>
      </w:r>
    </w:p>
    <w:p>
      <w:pPr>
        <w:keepNext/>
        <w:spacing w:before="200" w:after="80"/>
      </w:pPr>
      <w:r>
        <w:rPr>
          <w:rFonts w:ascii="Arial" w:hAnsi="Arial"/>
          <w:b/>
          <w:sz w:val="22"/>
          <w:color w:val="000000"/>
        </w:rPr>
        <w:t xml:space="preserve">10 2 Measured resource behavior</w:t>
      </w:r>
    </w:p>
    <w:p>
      <w:pPr>
        <w:spacing w:after="100" w:line="276" w:lineRule="auto"/>
      </w:pPr>
      <w:r>
        <w:rPr>
          <w:rFonts w:ascii="Calibri" w:hAnsi="Calibri"/>
          <w:i w:val="0"/>
          <w:color w:val="222222"/>
          <w:sz w:val="21"/>
        </w:rPr>
        <w:t xml:space="preserve">Describe caching, quotas and automatic termination only when implementation and measurements establish them. This document claims no fixed savings or installed dispatcher quota engine. Minimum native composition supplies current facts and selected informative excerpts, not the full M29 corpus or closure result.</w:t>
      </w:r>
    </w:p>
    <w:p>
      <w:r>
        <w:br w:type="page"/>
      </w:r>
    </w:p>
    <w:p>
      <w:pPr>
        <w:keepNext/>
        <w:spacing w:before="280" w:after="120"/>
      </w:pPr>
      <w:r>
        <w:rPr>
          <w:rFonts w:ascii="Arial" w:hAnsi="Arial"/>
          <w:b/>
          <w:sz w:val="26"/>
          <w:color w:val="000000"/>
        </w:rPr>
        <w:t xml:space="preserve">Section 11 Transition and Remaining Corrections</w:t>
      </w:r>
    </w:p>
    <w:p>
      <w:pPr>
        <w:keepNext/>
        <w:spacing w:before="200" w:after="80"/>
      </w:pPr>
      <w:r>
        <w:rPr>
          <w:rFonts w:ascii="Arial" w:hAnsi="Arial"/>
          <w:b/>
          <w:sz w:val="22"/>
          <w:color w:val="000000"/>
        </w:rPr>
        <w:t xml:space="preserve">11 1 Migration history and source refresh</w:t>
      </w:r>
    </w:p>
    <w:p>
      <w:pPr>
        <w:spacing w:after="100" w:line="276" w:lineRule="auto"/>
      </w:pPr>
      <w:r>
        <w:rPr>
          <w:rFonts w:ascii="Calibri" w:hAnsi="Calibri"/>
          <w:i w:val="0"/>
          <w:color w:val="222222"/>
          <w:sz w:val="21"/>
        </w:rPr>
        <w:t xml:space="preserve">History defines no second current authority. Read native PostgreSQL state, authored sources and Git facts through supported interfaces. This target revision aligns with the cited formal postimages and native source; current reads remain required. It rewrites no formal history and chooses no full M29 serving storage.</w:t>
      </w:r>
    </w:p>
    <w:p>
      <w:pPr>
        <w:keepNext/>
        <w:spacing w:before="200" w:after="80"/>
      </w:pPr>
      <w:r>
        <w:rPr>
          <w:rFonts w:ascii="Arial" w:hAnsi="Arial"/>
          <w:b/>
          <w:sz w:val="22"/>
          <w:color w:val="000000"/>
        </w:rPr>
        <w:t xml:space="preserve">11 2 Defect status and required work</w:t>
      </w:r>
    </w:p>
    <w:p>
      <w:pPr>
        <w:spacing w:after="100" w:line="276" w:lineRule="auto"/>
      </w:pPr>
      <w:r>
        <w:rPr>
          <w:rFonts w:ascii="Calibri" w:hAnsi="Calibri"/>
          <w:i w:val="0"/>
          <w:color w:val="222222"/>
          <w:sz w:val="21"/>
        </w:rPr>
        <w:t xml:space="preserve">Historical labels identify subjects to re-query. The entries distinguish source-supported correction from required work; roadmap prediction proves no completion.</w:t>
      </w:r>
    </w:p>
    <w:tbl>
      <w:tblPr>
        <w:jc w:val="center"/>
        <w:tblLook w:firstColumn="1" w:firstRow="1" w:lastColumn="0" w:lastRow="0" w:noHBand="0" w:noVBand="1" w:val="04A0"/>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680"/>
        <w:gridCol w:w="3840"/>
        <w:gridCol w:w="3840"/>
      </w:tblGrid>
      <w:tr>
        <w:trPr>
          <w:cantSplit/>
          <w:tblHeader/>
        </w:trPr>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1680" w:type="dxa"/>
            <w:vAlign w:val="center"/>
            <w:shd w:val="clear" w:fill="203864"/>
          </w:tcPr>
          <w:p>
            <w:pPr>
              <w:spacing w:before="40" w:after="40" w:line="240" w:lineRule="auto"/>
            </w:pPr>
            <w:r>
              <w:rPr>
                <w:rFonts w:ascii="Arial" w:hAnsi="Arial"/>
                <w:color w:val="FFFFFF"/>
                <w:sz w:val="21"/>
                <w:szCs w:val="21"/>
                <w:b/>
              </w:rPr>
              <w:t xml:space="preserve">HISTORICAL SUBJECT</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3840" w:type="dxa"/>
            <w:vAlign w:val="center"/>
            <w:shd w:val="clear" w:fill="203864"/>
          </w:tcPr>
          <w:p>
            <w:pPr>
              <w:spacing w:before="40" w:after="40" w:line="240" w:lineRule="auto"/>
            </w:pPr>
            <w:r>
              <w:rPr>
                <w:rFonts w:ascii="Arial" w:hAnsi="Arial"/>
                <w:color w:val="FFFFFF"/>
                <w:sz w:val="21"/>
                <w:szCs w:val="21"/>
                <w:b/>
              </w:rPr>
              <w:t xml:space="preserve">SOURCE OR CANONICAL LIMIT</w:t>
            </w:r>
          </w:p>
        </w:tc>
        <w:tc>
          <w:tcPr>
            <w:tcMar>
              <w:top w:w="80" w:type="dxa"/>
              <w:bottom w:w="80" w:type="dxa"/>
              <w:left w:w="120" w:type="dxa"/>
              <w:right w:w="120" w:type="dxa"/>
            </w:tcMar>
            <w:tcBorders>
              <w:top w:val="single" w:sz="8" w:space="0" w:color="002244"/>
              <w:left w:val="none" w:sz="8" w:space="0" w:color="002244"/>
              <w:bottom w:val="single" w:sz="8" w:space="0" w:color="002244"/>
              <w:right w:val="none" w:sz="8" w:space="0" w:color="002244"/>
            </w:tcBorders>
            <w:tcW w:w="3840" w:type="dxa"/>
            <w:vAlign w:val="center"/>
            <w:shd w:val="clear" w:fill="203864"/>
          </w:tcPr>
          <w:p>
            <w:pPr>
              <w:spacing w:before="40" w:after="40" w:line="240" w:lineRule="auto"/>
            </w:pPr>
            <w:r>
              <w:rPr>
                <w:rFonts w:ascii="Arial" w:hAnsi="Arial"/>
                <w:color w:val="FFFFFF"/>
                <w:sz w:val="21"/>
                <w:szCs w:val="21"/>
                <w:b/>
              </w:rPr>
              <w:t xml:space="preserve">CURRENT TREATMENT</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680" w:type="dxa"/>
            <w:vAlign w:val="center"/>
            <w:shd w:val="clear" w:fill="FFFFFF"/>
          </w:tcPr>
          <w:p>
            <w:pPr>
              <w:spacing w:before="40" w:after="40" w:line="240" w:lineRule="auto"/>
            </w:pPr>
            <w:r>
              <w:rPr>
                <w:rFonts w:ascii="Calibri" w:hAnsi="Calibri"/>
                <w:color w:val="000000"/>
                <w:sz w:val="21"/>
                <w:szCs w:val="21"/>
              </w:rPr>
              <w:t xml:space="preserve">WI-7615</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FFFFF"/>
          </w:tcPr>
          <w:p>
            <w:pPr>
              <w:spacing w:before="40" w:after="40" w:line="240" w:lineRule="auto"/>
            </w:pPr>
            <w:r>
              <w:rPr>
                <w:rFonts w:ascii="Calibri" w:hAnsi="Calibri"/>
                <w:color w:val="000000"/>
                <w:sz w:val="21"/>
                <w:szCs w:val="21"/>
              </w:rPr>
              <w:t xml:space="preserve">Native NEW check uses current project field; historical row may name older evaluator.</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FFFFF"/>
          </w:tcPr>
          <w:p>
            <w:pPr>
              <w:spacing w:before="40" w:after="40" w:line="240" w:lineRule="auto"/>
            </w:pPr>
            <w:r>
              <w:rPr>
                <w:rFonts w:ascii="Calibri" w:hAnsi="Calibri"/>
                <w:color w:val="000000"/>
                <w:sz w:val="21"/>
                <w:szCs w:val="21"/>
              </w:rPr>
              <w:t xml:space="preserve">Re-query item and installed behavior; no completion inference.</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680" w:type="dxa"/>
            <w:vAlign w:val="center"/>
            <w:shd w:val="clear" w:fill="F2F6FA"/>
          </w:tcPr>
          <w:p>
            <w:pPr>
              <w:spacing w:before="40" w:after="40" w:line="240" w:lineRule="auto"/>
            </w:pPr>
            <w:r>
              <w:rPr>
                <w:rFonts w:ascii="Calibri" w:hAnsi="Calibri"/>
                <w:color w:val="000000"/>
                <w:sz w:val="21"/>
                <w:szCs w:val="21"/>
              </w:rPr>
              <w:t xml:space="preserve">WI-7525</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2F6FA"/>
          </w:tcPr>
          <w:p>
            <w:pPr>
              <w:spacing w:before="40" w:after="40" w:line="240" w:lineRule="auto"/>
            </w:pPr>
            <w:r>
              <w:rPr>
                <w:rFonts w:ascii="Calibri" w:hAnsi="Calibri"/>
                <w:color w:val="000000"/>
                <w:sz w:val="21"/>
                <w:szCs w:val="21"/>
              </w:rPr>
              <w:t xml:space="preserve">Source has twelve statuses and shared carriers.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2F6FA"/>
          </w:tcPr>
          <w:p>
            <w:pPr>
              <w:spacing w:before="40" w:after="40" w:line="240" w:lineRule="auto"/>
            </w:pPr>
            <w:r>
              <w:rPr>
                <w:rFonts w:ascii="Calibri" w:hAnsi="Calibri"/>
                <w:color w:val="000000"/>
                <w:sz w:val="21"/>
                <w:szCs w:val="21"/>
              </w:rPr>
              <w:t xml:space="preserve">Refresh installed source and qualification; no newly executed PASS claimed.</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680" w:type="dxa"/>
            <w:vAlign w:val="center"/>
            <w:shd w:val="clear" w:fill="FFFFFF"/>
          </w:tcPr>
          <w:p>
            <w:pPr>
              <w:spacing w:before="40" w:after="40" w:line="240" w:lineRule="auto"/>
            </w:pPr>
            <w:r>
              <w:rPr>
                <w:rFonts w:ascii="Calibri" w:hAnsi="Calibri"/>
                <w:color w:val="000000"/>
                <w:sz w:val="21"/>
                <w:szCs w:val="21"/>
              </w:rPr>
              <w:t xml:space="preserve">WI-6992</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FFFFF"/>
          </w:tcPr>
          <w:p>
            <w:pPr>
              <w:spacing w:before="40" w:after="40" w:line="240" w:lineRule="auto"/>
            </w:pPr>
            <w:r>
              <w:rPr>
                <w:rFonts w:ascii="Calibri" w:hAnsi="Calibri"/>
                <w:color w:val="000000"/>
                <w:sz w:val="21"/>
                <w:szCs w:val="21"/>
              </w:rPr>
              <w:t xml:space="preserve">Emergency writer is not established as live integrated capability.</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FFFFF"/>
          </w:tcPr>
          <w:p>
            <w:pPr>
              <w:spacing w:before="40" w:after="40" w:line="240" w:lineRule="auto"/>
            </w:pPr>
            <w:r>
              <w:rPr>
                <w:rFonts w:ascii="Calibri" w:hAnsi="Calibri"/>
                <w:color w:val="000000"/>
                <w:sz w:val="21"/>
                <w:szCs w:val="21"/>
              </w:rPr>
              <w:t xml:space="preserve">Keep required work; no invented emergency-event command.</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680" w:type="dxa"/>
            <w:vAlign w:val="center"/>
            <w:shd w:val="clear" w:fill="F2F6FA"/>
          </w:tcPr>
          <w:p>
            <w:pPr>
              <w:spacing w:before="40" w:after="40" w:line="240" w:lineRule="auto"/>
            </w:pPr>
            <w:r>
              <w:rPr>
                <w:rFonts w:ascii="Calibri" w:hAnsi="Calibri"/>
                <w:color w:val="000000"/>
                <w:sz w:val="21"/>
                <w:szCs w:val="21"/>
              </w:rPr>
              <w:t xml:space="preserve">WI-7556</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2F6FA"/>
          </w:tcPr>
          <w:p>
            <w:pPr>
              <w:spacing w:before="40" w:after="40" w:line="240" w:lineRule="auto"/>
            </w:pPr>
            <w:r>
              <w:rPr>
                <w:rFonts w:ascii="Calibri" w:hAnsi="Calibri"/>
                <w:color w:val="000000"/>
                <w:sz w:val="21"/>
                <w:szCs w:val="21"/>
              </w:rPr>
              <w:t xml:space="preserve">Native UTF-8 handling is not global normalization.</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2F6FA"/>
          </w:tcPr>
          <w:p>
            <w:pPr>
              <w:spacing w:before="40" w:after="40" w:line="240" w:lineRule="auto"/>
            </w:pPr>
            <w:r>
              <w:rPr>
                <w:rFonts w:ascii="Calibri" w:hAnsi="Calibri"/>
                <w:color w:val="000000"/>
                <w:sz w:val="21"/>
                <w:szCs w:val="21"/>
              </w:rPr>
              <w:t xml:space="preserve">Re-query scope and verify affected behavior.</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680" w:type="dxa"/>
            <w:vAlign w:val="center"/>
            <w:shd w:val="clear" w:fill="FFFFFF"/>
          </w:tcPr>
          <w:p>
            <w:pPr>
              <w:spacing w:before="40" w:after="40" w:line="240" w:lineRule="auto"/>
            </w:pPr>
            <w:r>
              <w:rPr>
                <w:rFonts w:ascii="Calibri" w:hAnsi="Calibri"/>
                <w:color w:val="000000"/>
                <w:sz w:val="21"/>
                <w:szCs w:val="21"/>
              </w:rPr>
              <w:t xml:space="preserve">WI-7557</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FFFFF"/>
          </w:tcPr>
          <w:p>
            <w:pPr>
              <w:spacing w:before="40" w:after="40" w:line="240" w:lineRule="auto"/>
            </w:pPr>
            <w:r>
              <w:rPr>
                <w:rFonts w:ascii="Calibri" w:hAnsi="Calibri"/>
                <w:color w:val="000000"/>
                <w:sz w:val="21"/>
                <w:szCs w:val="21"/>
              </w:rPr>
              <w:t xml:space="preserve">State-report source uses canonical facts.</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FFFFF"/>
          </w:tcPr>
          <w:p>
            <w:pPr>
              <w:spacing w:before="40" w:after="40" w:line="240" w:lineRule="auto"/>
            </w:pPr>
            <w:r>
              <w:rPr>
                <w:rFonts w:ascii="Calibri" w:hAnsi="Calibri"/>
                <w:color w:val="000000"/>
                <w:sz w:val="21"/>
                <w:szCs w:val="21"/>
              </w:rPr>
              <w:t xml:space="preserve">Check installed result and work item; remove disk-scraper claim.</w:t>
            </w:r>
          </w:p>
        </w:tc>
      </w:tr>
      <w:tr>
        <w:trPr>
          <w:cantSplit/>
        </w:trPr>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1680" w:type="dxa"/>
            <w:vAlign w:val="center"/>
            <w:shd w:val="clear" w:fill="F2F6FA"/>
          </w:tcPr>
          <w:p>
            <w:pPr>
              <w:spacing w:before="40" w:after="40" w:line="240" w:lineRule="auto"/>
            </w:pPr>
            <w:r>
              <w:rPr>
                <w:rFonts w:ascii="Calibri" w:hAnsi="Calibri"/>
                <w:color w:val="000000"/>
                <w:sz w:val="21"/>
                <w:szCs w:val="21"/>
              </w:rPr>
              <w:t xml:space="preserve">WI-7616</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2F6FA"/>
          </w:tcPr>
          <w:p>
            <w:pPr>
              <w:spacing w:before="40" w:after="40" w:line="240" w:lineRule="auto"/>
            </w:pPr>
            <w:r>
              <w:rPr>
                <w:rFonts w:ascii="Calibri" w:hAnsi="Calibri"/>
                <w:color w:val="000000"/>
                <w:sz w:val="21"/>
                <w:szCs w:val="21"/>
              </w:rPr>
              <w:t xml:space="preserve">Older list-phases absent from native tree.</w:t>
            </w:r>
          </w:p>
        </w:tc>
        <w:tc>
          <w:tcPr>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W w:w="3840" w:type="dxa"/>
            <w:vAlign w:val="center"/>
            <w:shd w:val="clear" w:fill="F2F6FA"/>
          </w:tcPr>
          <w:p>
            <w:pPr>
              <w:spacing w:before="40" w:after="40" w:line="240" w:lineRule="auto"/>
            </w:pPr>
            <w:r>
              <w:rPr>
                <w:rFonts w:ascii="Calibri" w:hAnsi="Calibri"/>
                <w:color w:val="000000"/>
                <w:sz w:val="21"/>
                <w:szCs w:val="21"/>
              </w:rPr>
              <w:t xml:space="preserve">Separate obsolete history from residual argument defect.</w:t>
            </w:r>
          </w:p>
        </w:tc>
      </w:tr>
    </w:tbl>
    <w:p>
      <w:r>
        <w:br w:type="page"/>
      </w:r>
    </w:p>
    <w:p>
      <w:pPr>
        <w:keepNext/>
        <w:spacing w:before="360" w:after="160"/>
      </w:pPr>
      <w:r>
        <w:rPr>
          <w:rFonts w:ascii="Arial" w:hAnsi="Arial"/>
          <w:b/>
          <w:sz w:val="32"/>
          <w:color w:val="000000"/>
        </w:rPr>
        <w:t xml:space="preserve">Part 3 Draft Status and Publication</w:t>
      </w:r>
    </w:p>
    <w:p>
      <w:pPr>
        <w:spacing w:after="100" w:line="276" w:lineRule="auto"/>
      </w:pPr>
      <w:r>
        <w:rPr>
          <w:rFonts w:ascii="Calibri" w:hAnsi="Calibri"/>
          <w:i w:val="0"/>
          <w:color w:val="222222"/>
          <w:sz w:val="21"/>
        </w:rPr>
        <w:t xml:space="preserve">External source review and rendered inspection support this isolated OVERWATCH preparation. Designated canonical amendments are applied; product qualification, publication and installation remain pending. It authorizes no work and retires no temporary owner guidance. Integration requires refreshed in-tree source, installed release and cited canonical records, reconciliation of intervening material changes and rendered inspection. Earlier attribution stays in the unchanged precursor rather than supplying approval for this draft.</w:t>
      </w:r>
    </w:p>
    <w:p>
      <w:pPr>
        <w:spacing w:after="100" w:line="276" w:lineRule="auto"/>
      </w:pPr>
      <w:r>
        <w:rPr>
          <w:rFonts w:ascii="Calibri" w:hAnsi="Calibri"/>
          <w:i w:val="0"/>
          <w:color w:val="222222"/>
          <w:sz w:val="21"/>
        </w:rPr>
        <w:t xml:space="preserve">The unchanged precursor preserves earlier attribution. Signature labels are not reused as approval or independent verification for this draft.</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GT-KB Target Architecture Reference | SAD-GTKB-TARGET-ENDSTATE-2026-001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888888"/>
        <w:sz w:val="17"/>
      </w:rPr>
      <w:t>GroundTruth Knowledge Base (GT-KB) System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