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68C31" w14:textId="5498FDBA" w:rsidR="00567626" w:rsidRDefault="00567626" w:rsidP="00C60477">
      <w:pPr>
        <w:pStyle w:val="Heading1"/>
      </w:pPr>
    </w:p>
    <w:p w14:paraId="2A393A4C" w14:textId="434CFBD7" w:rsidR="00681BDD" w:rsidRDefault="00681BDD" w:rsidP="00681BDD">
      <w:r>
        <w:t>Q3 Methodology:</w:t>
      </w:r>
    </w:p>
    <w:p w14:paraId="1BC541E0" w14:textId="77777777" w:rsidR="00681BDD" w:rsidRDefault="00681BDD" w:rsidP="00681BDD"/>
    <w:p w14:paraId="3CAB6D17" w14:textId="06CFC609" w:rsidR="00681BDD" w:rsidRPr="00681BDD" w:rsidRDefault="00681BDD" w:rsidP="00681BDD">
      <w:pPr>
        <w:rPr>
          <w:rFonts w:eastAsia="Times New Roman"/>
          <w:lang w:eastAsia="en-GB"/>
        </w:rPr>
      </w:pPr>
      <w:r w:rsidRPr="00681BDD">
        <w:rPr>
          <w:rFonts w:eastAsia="Times New Roman"/>
          <w:lang w:eastAsia="en-GB"/>
        </w:rPr>
        <w:t>Instruments &amp; Conventions:</w:t>
      </w:r>
    </w:p>
    <w:p w14:paraId="1784D6DE" w14:textId="77777777" w:rsidR="00681BDD" w:rsidRPr="00681BDD" w:rsidRDefault="00681BDD" w:rsidP="00681BDD">
      <w:pPr>
        <w:rPr>
          <w:rFonts w:eastAsia="Times New Roman"/>
          <w:lang w:eastAsia="en-GB"/>
        </w:rPr>
      </w:pPr>
      <w:r w:rsidRPr="00681BDD">
        <w:rPr>
          <w:rFonts w:eastAsia="Times New Roman"/>
          <w:lang w:eastAsia="en-GB"/>
        </w:rPr>
        <w:t>Deposits: We use deposit rates starting from SWD (one week) onwards. The day count convention for deposits is Act/360.</w:t>
      </w:r>
    </w:p>
    <w:p w14:paraId="5E33C196" w14:textId="77777777" w:rsidR="00681BDD" w:rsidRPr="00681BDD" w:rsidRDefault="00681BDD" w:rsidP="00681BDD">
      <w:pPr>
        <w:rPr>
          <w:rFonts w:eastAsia="Times New Roman"/>
          <w:lang w:eastAsia="en-GB"/>
        </w:rPr>
      </w:pPr>
      <w:r w:rsidRPr="00681BDD">
        <w:rPr>
          <w:rFonts w:eastAsia="Times New Roman"/>
          <w:lang w:eastAsia="en-GB"/>
        </w:rPr>
        <w:t>IRS: We'll use IRS rates with standard market conventions: fixed leg with 30/360 day count and annual payments, while the floating leg follows EURIBOR conventions (Act/360).</w:t>
      </w:r>
    </w:p>
    <w:p w14:paraId="02968784" w14:textId="04D867C7" w:rsidR="00681BDD" w:rsidRPr="00681BDD" w:rsidRDefault="00681BDD" w:rsidP="00681BDD">
      <w:pPr>
        <w:rPr>
          <w:rFonts w:eastAsia="Times New Roman"/>
          <w:lang w:eastAsia="en-GB"/>
        </w:rPr>
      </w:pPr>
      <w:r w:rsidRPr="00681BDD">
        <w:rPr>
          <w:rFonts w:eastAsia="Times New Roman"/>
          <w:lang w:eastAsia="en-GB"/>
        </w:rPr>
        <w:t>Spot Date:</w:t>
      </w:r>
    </w:p>
    <w:p w14:paraId="63D97545" w14:textId="77777777" w:rsidR="00681BDD" w:rsidRPr="00681BDD" w:rsidRDefault="00681BDD" w:rsidP="00681BDD">
      <w:pPr>
        <w:rPr>
          <w:rFonts w:eastAsia="Times New Roman"/>
          <w:lang w:eastAsia="en-GB"/>
        </w:rPr>
      </w:pPr>
      <w:r w:rsidRPr="00681BDD">
        <w:rPr>
          <w:rFonts w:eastAsia="Times New Roman"/>
          <w:lang w:eastAsia="en-GB"/>
        </w:rPr>
        <w:t>With a 2-day spot lag from the trade date (November 24, 2024), our spot date is November 26, 2024.</w:t>
      </w:r>
    </w:p>
    <w:p w14:paraId="2874B941" w14:textId="5F7EA483" w:rsidR="00681BDD" w:rsidRPr="00681BDD" w:rsidRDefault="00681BDD" w:rsidP="00681BDD">
      <w:pPr>
        <w:rPr>
          <w:rFonts w:eastAsia="Times New Roman"/>
          <w:lang w:eastAsia="en-GB"/>
        </w:rPr>
      </w:pPr>
      <w:r w:rsidRPr="00681BDD">
        <w:rPr>
          <w:rFonts w:eastAsia="Times New Roman"/>
          <w:lang w:eastAsia="en-GB"/>
        </w:rPr>
        <w:t>Curve Construction:</w:t>
      </w:r>
    </w:p>
    <w:p w14:paraId="20F3AD49" w14:textId="77777777" w:rsidR="00681BDD" w:rsidRPr="00681BDD" w:rsidRDefault="00681BDD" w:rsidP="00681BDD">
      <w:pPr>
        <w:rPr>
          <w:rFonts w:eastAsia="Times New Roman"/>
          <w:lang w:eastAsia="en-GB"/>
        </w:rPr>
      </w:pPr>
      <w:r w:rsidRPr="00681BDD">
        <w:rPr>
          <w:rFonts w:eastAsia="Times New Roman"/>
          <w:lang w:eastAsia="en-GB"/>
        </w:rPr>
        <w:t xml:space="preserve">We will build three independent yield curves using </w:t>
      </w:r>
      <w:proofErr w:type="spellStart"/>
      <w:r w:rsidRPr="00681BDD">
        <w:rPr>
          <w:rFonts w:eastAsia="Times New Roman"/>
          <w:lang w:eastAsia="en-GB"/>
        </w:rPr>
        <w:t>QuantLib’s</w:t>
      </w:r>
      <w:proofErr w:type="spellEnd"/>
      <w:r w:rsidRPr="00681BDD">
        <w:rPr>
          <w:rFonts w:eastAsia="Times New Roman"/>
          <w:lang w:eastAsia="en-GB"/>
        </w:rPr>
        <w:t xml:space="preserve"> built-in helpers:</w:t>
      </w:r>
    </w:p>
    <w:p w14:paraId="3F4B859D" w14:textId="77777777" w:rsidR="00681BDD" w:rsidRPr="00681BDD" w:rsidRDefault="00681BDD" w:rsidP="00681BDD">
      <w:pPr>
        <w:rPr>
          <w:rFonts w:eastAsia="Times New Roman"/>
          <w:lang w:eastAsia="en-GB"/>
        </w:rPr>
      </w:pPr>
      <w:r w:rsidRPr="00681BDD">
        <w:rPr>
          <w:rFonts w:eastAsia="Times New Roman"/>
          <w:lang w:eastAsia="en-GB"/>
        </w:rPr>
        <w:t>One with linear interpolation on swap rates,</w:t>
      </w:r>
    </w:p>
    <w:p w14:paraId="4F51A56F" w14:textId="77777777" w:rsidR="00681BDD" w:rsidRPr="00681BDD" w:rsidRDefault="00681BDD" w:rsidP="00681BDD">
      <w:pPr>
        <w:rPr>
          <w:rFonts w:eastAsia="Times New Roman"/>
          <w:lang w:eastAsia="en-GB"/>
        </w:rPr>
      </w:pPr>
      <w:r w:rsidRPr="00681BDD">
        <w:rPr>
          <w:rFonts w:eastAsia="Times New Roman"/>
          <w:lang w:eastAsia="en-GB"/>
        </w:rPr>
        <w:t>One with constant forward interpolation,</w:t>
      </w:r>
    </w:p>
    <w:p w14:paraId="0A448585" w14:textId="77777777" w:rsidR="00681BDD" w:rsidRPr="00681BDD" w:rsidRDefault="00681BDD" w:rsidP="00681BDD">
      <w:pPr>
        <w:rPr>
          <w:rFonts w:eastAsia="Times New Roman"/>
          <w:lang w:eastAsia="en-GB"/>
        </w:rPr>
      </w:pPr>
      <w:r w:rsidRPr="00681BDD">
        <w:rPr>
          <w:rFonts w:eastAsia="Times New Roman"/>
          <w:lang w:eastAsia="en-GB"/>
        </w:rPr>
        <w:t>One with cubic spline interpolation.</w:t>
      </w:r>
    </w:p>
    <w:p w14:paraId="01C2EBE7" w14:textId="77777777" w:rsidR="00681BDD" w:rsidRPr="00681BDD" w:rsidRDefault="00681BDD" w:rsidP="00681BDD">
      <w:pPr>
        <w:rPr>
          <w:rFonts w:eastAsia="Times New Roman"/>
          <w:lang w:eastAsia="en-GB"/>
        </w:rPr>
      </w:pPr>
      <w:r w:rsidRPr="00681BDD">
        <w:rPr>
          <w:rFonts w:eastAsia="Times New Roman"/>
          <w:lang w:eastAsia="en-GB"/>
        </w:rPr>
        <w:t xml:space="preserve">We’ll use the default solver/calibration settings provided by </w:t>
      </w:r>
      <w:proofErr w:type="spellStart"/>
      <w:r w:rsidRPr="00681BDD">
        <w:rPr>
          <w:rFonts w:eastAsia="Times New Roman"/>
          <w:lang w:eastAsia="en-GB"/>
        </w:rPr>
        <w:t>QuantLib</w:t>
      </w:r>
      <w:proofErr w:type="spellEnd"/>
      <w:r w:rsidRPr="00681BDD">
        <w:rPr>
          <w:rFonts w:eastAsia="Times New Roman"/>
          <w:lang w:eastAsia="en-GB"/>
        </w:rPr>
        <w:t>.</w:t>
      </w:r>
    </w:p>
    <w:p w14:paraId="2DE0B351" w14:textId="345C5F0B" w:rsidR="00681BDD" w:rsidRPr="00681BDD" w:rsidRDefault="00681BDD" w:rsidP="00681BDD">
      <w:pPr>
        <w:rPr>
          <w:rFonts w:eastAsia="Times New Roman"/>
          <w:lang w:eastAsia="en-GB"/>
        </w:rPr>
      </w:pPr>
      <w:r w:rsidRPr="00681BDD">
        <w:rPr>
          <w:rFonts w:eastAsia="Times New Roman"/>
          <w:lang w:eastAsia="en-GB"/>
        </w:rPr>
        <w:t>Outputs:</w:t>
      </w:r>
    </w:p>
    <w:p w14:paraId="204BFF53" w14:textId="77777777" w:rsidR="00681BDD" w:rsidRPr="00681BDD" w:rsidRDefault="00681BDD" w:rsidP="00681BDD">
      <w:pPr>
        <w:rPr>
          <w:rFonts w:eastAsia="Times New Roman"/>
          <w:lang w:eastAsia="en-GB"/>
        </w:rPr>
      </w:pPr>
      <w:r w:rsidRPr="00681BDD">
        <w:rPr>
          <w:rFonts w:eastAsia="Times New Roman"/>
          <w:lang w:eastAsia="en-GB"/>
        </w:rPr>
        <w:t>For each curve, we’ll generate:</w:t>
      </w:r>
    </w:p>
    <w:p w14:paraId="1E8ED5EA" w14:textId="77777777" w:rsidR="00681BDD" w:rsidRPr="00681BDD" w:rsidRDefault="00681BDD" w:rsidP="00681BDD">
      <w:pPr>
        <w:rPr>
          <w:rFonts w:eastAsia="Times New Roman"/>
          <w:lang w:eastAsia="en-GB"/>
        </w:rPr>
      </w:pPr>
      <w:r w:rsidRPr="00681BDD">
        <w:rPr>
          <w:rFonts w:eastAsia="Times New Roman"/>
          <w:lang w:eastAsia="en-GB"/>
        </w:rPr>
        <w:t>A table and plot of discount factors versus maturity.</w:t>
      </w:r>
    </w:p>
    <w:p w14:paraId="68B145C7" w14:textId="77777777" w:rsidR="00681BDD" w:rsidRPr="00681BDD" w:rsidRDefault="00681BDD" w:rsidP="00681BDD">
      <w:pPr>
        <w:rPr>
          <w:rFonts w:eastAsia="Times New Roman"/>
          <w:lang w:eastAsia="en-GB"/>
        </w:rPr>
      </w:pPr>
      <w:r w:rsidRPr="00681BDD">
        <w:rPr>
          <w:rFonts w:eastAsia="Times New Roman"/>
          <w:lang w:eastAsia="en-GB"/>
        </w:rPr>
        <w:t>A table and plot of spot (zero) rates versus maturity.</w:t>
      </w:r>
    </w:p>
    <w:p w14:paraId="73CEBFFA" w14:textId="77777777" w:rsidR="00681BDD" w:rsidRPr="00681BDD" w:rsidRDefault="00681BDD" w:rsidP="00681BDD">
      <w:pPr>
        <w:rPr>
          <w:rFonts w:eastAsia="Times New Roman"/>
          <w:lang w:eastAsia="en-GB"/>
        </w:rPr>
      </w:pPr>
      <w:r w:rsidRPr="00681BDD">
        <w:rPr>
          <w:rFonts w:eastAsia="Times New Roman"/>
          <w:lang w:eastAsia="en-GB"/>
        </w:rPr>
        <w:t>A table and plot of forward rates versus maturity.</w:t>
      </w:r>
    </w:p>
    <w:p w14:paraId="5DA7CE1C" w14:textId="77777777" w:rsidR="00681BDD" w:rsidRPr="00681BDD" w:rsidRDefault="00681BDD" w:rsidP="00681BDD">
      <w:pPr>
        <w:rPr>
          <w:rFonts w:eastAsia="Times New Roman"/>
          <w:lang w:eastAsia="en-GB"/>
        </w:rPr>
      </w:pPr>
      <w:r w:rsidRPr="00681BDD">
        <w:rPr>
          <w:rFonts w:eastAsia="Times New Roman"/>
          <w:lang w:eastAsia="en-GB"/>
        </w:rPr>
        <w:t>The output range covers the entire term structure—from the earliest usable instrument (SWD deposit) up to the longest maturity (60Y IRS).</w:t>
      </w:r>
    </w:p>
    <w:p w14:paraId="4810ACEF" w14:textId="77777777" w:rsidR="00681BDD" w:rsidRDefault="00681BDD" w:rsidP="00681BDD"/>
    <w:p w14:paraId="14CF5D0F" w14:textId="77777777" w:rsidR="00681BDD" w:rsidRDefault="00681BDD" w:rsidP="00681BDD"/>
    <w:p w14:paraId="798D3E8F" w14:textId="3E120BAB" w:rsidR="0081279A" w:rsidRDefault="00681BDD" w:rsidP="00681BDD">
      <w:r>
        <w:t>Generally, you would use the deposit rate for the 1</w:t>
      </w:r>
      <w:r>
        <w:noBreakHyphen/>
        <w:t>year maturity and not the swap rate. Deposit rates are typically viewed as the more direct, liquid measure for short-term funding costs, while swap rates are used to extend the curve to longer maturities. Using the deposit rate helps anchor the short end of your curve consistently, as outlined in standard bootstrapping procedures</w:t>
      </w:r>
    </w:p>
    <w:p w14:paraId="55567044" w14:textId="77777777" w:rsidR="0081279A" w:rsidRDefault="0081279A">
      <w:r>
        <w:br w:type="page"/>
      </w:r>
    </w:p>
    <w:p w14:paraId="6E012C6C" w14:textId="6C6A1B94" w:rsidR="00681BDD" w:rsidRDefault="0081279A" w:rsidP="00681BDD">
      <w:r>
        <w:lastRenderedPageBreak/>
        <w:t>Q6 Assumptions:</w:t>
      </w:r>
    </w:p>
    <w:p w14:paraId="47842342" w14:textId="77777777" w:rsidR="0081279A" w:rsidRDefault="0081279A" w:rsidP="00681BDD"/>
    <w:p w14:paraId="687F4ECC" w14:textId="77777777" w:rsidR="0081279A" w:rsidRPr="0081279A" w:rsidRDefault="0081279A" w:rsidP="0081279A">
      <w:pPr>
        <w:spacing w:before="100" w:beforeAutospacing="1" w:after="100" w:afterAutospacing="1"/>
        <w:rPr>
          <w:rFonts w:ascii="Times New Roman" w:eastAsia="Times New Roman" w:hAnsi="Times New Roman" w:cs="Times New Roman"/>
          <w:lang w:eastAsia="en-GB"/>
        </w:rPr>
      </w:pPr>
      <w:r w:rsidRPr="0081279A">
        <w:rPr>
          <w:rFonts w:ascii="Times New Roman" w:eastAsia="Times New Roman" w:hAnsi="Symbol" w:cs="Times New Roman"/>
          <w:lang w:eastAsia="en-GB"/>
        </w:rPr>
        <w:t></w:t>
      </w:r>
      <w:r w:rsidRPr="0081279A">
        <w:rPr>
          <w:rFonts w:ascii="Times New Roman" w:eastAsia="Times New Roman" w:hAnsi="Times New Roman" w:cs="Times New Roman"/>
          <w:lang w:eastAsia="en-GB"/>
        </w:rPr>
        <w:t xml:space="preserve">  </w:t>
      </w:r>
      <w:r w:rsidRPr="0081279A">
        <w:rPr>
          <w:rFonts w:ascii="Times New Roman" w:eastAsia="Times New Roman" w:hAnsi="Times New Roman" w:cs="Times New Roman"/>
          <w:b/>
          <w:bCs/>
          <w:lang w:eastAsia="en-GB"/>
        </w:rPr>
        <w:t>Simplification Assumption:</w:t>
      </w:r>
      <w:r w:rsidRPr="0081279A">
        <w:rPr>
          <w:rFonts w:ascii="Times New Roman" w:eastAsia="Times New Roman" w:hAnsi="Times New Roman" w:cs="Times New Roman"/>
          <w:lang w:eastAsia="en-GB"/>
        </w:rPr>
        <w:br/>
        <w:t>In practice, CVA is often calculated as the discounted expected loss using the </w:t>
      </w:r>
      <w:r w:rsidRPr="0081279A">
        <w:rPr>
          <w:rFonts w:ascii="Times New Roman" w:eastAsia="Times New Roman" w:hAnsi="Times New Roman" w:cs="Times New Roman"/>
          <w:i/>
          <w:iCs/>
          <w:lang w:eastAsia="en-GB"/>
        </w:rPr>
        <w:t>incremental</w:t>
      </w:r>
      <w:r w:rsidRPr="0081279A">
        <w:rPr>
          <w:rFonts w:ascii="Times New Roman" w:eastAsia="Times New Roman" w:hAnsi="Times New Roman" w:cs="Times New Roman"/>
          <w:lang w:eastAsia="en-GB"/>
        </w:rPr>
        <w:t> (or marginal) default probability over each period. That is, instead of using 1−Q(t)1−Q(t) (which is the cumulative default probability up to time </w:t>
      </w:r>
      <w:proofErr w:type="spellStart"/>
      <w:r w:rsidRPr="0081279A">
        <w:rPr>
          <w:rFonts w:ascii="Times New Roman" w:eastAsia="Times New Roman" w:hAnsi="Times New Roman" w:cs="Times New Roman"/>
          <w:lang w:eastAsia="en-GB"/>
        </w:rPr>
        <w:t>tt</w:t>
      </w:r>
      <w:proofErr w:type="spellEnd"/>
      <w:r w:rsidRPr="0081279A">
        <w:rPr>
          <w:rFonts w:ascii="Times New Roman" w:eastAsia="Times New Roman" w:hAnsi="Times New Roman" w:cs="Times New Roman"/>
          <w:lang w:eastAsia="en-GB"/>
        </w:rPr>
        <w:t>), you might compute the difference between survival probabilities at successive periods:</w:t>
      </w:r>
    </w:p>
    <w:p w14:paraId="76FED4E7" w14:textId="77777777" w:rsidR="0081279A" w:rsidRPr="0081279A" w:rsidRDefault="0081279A" w:rsidP="0081279A">
      <w:pPr>
        <w:rPr>
          <w:rFonts w:ascii="Times New Roman" w:eastAsia="Times New Roman" w:hAnsi="Times New Roman" w:cs="Times New Roman"/>
          <w:lang w:eastAsia="en-GB"/>
        </w:rPr>
      </w:pPr>
      <w:r w:rsidRPr="0081279A">
        <w:rPr>
          <w:rFonts w:ascii="Times New Roman" w:eastAsia="Times New Roman" w:hAnsi="Times New Roman" w:cs="Times New Roman"/>
          <w:lang w:eastAsia="en-GB"/>
        </w:rPr>
        <w:t>ΔDefault Probability=Q(ti−1)−Q(ti)ΔDefault Probability=Q(ti−1​)−Q(ti​)</w:t>
      </w:r>
    </w:p>
    <w:p w14:paraId="293A983B" w14:textId="77777777" w:rsidR="0081279A" w:rsidRPr="0081279A" w:rsidRDefault="0081279A" w:rsidP="0081279A">
      <w:pPr>
        <w:spacing w:before="100" w:beforeAutospacing="1" w:after="100" w:afterAutospacing="1"/>
        <w:rPr>
          <w:rFonts w:ascii="Times New Roman" w:eastAsia="Times New Roman" w:hAnsi="Times New Roman" w:cs="Times New Roman"/>
          <w:lang w:eastAsia="en-GB"/>
        </w:rPr>
      </w:pPr>
      <w:r w:rsidRPr="0081279A">
        <w:rPr>
          <w:rFonts w:ascii="Times New Roman" w:eastAsia="Times New Roman" w:hAnsi="Times New Roman" w:cs="Times New Roman"/>
          <w:lang w:eastAsia="en-GB"/>
        </w:rPr>
        <w:t>Multiplying this incremental default probability by the exposure in that period would yield a more precise CVA.</w:t>
      </w:r>
      <w:r w:rsidRPr="0081279A">
        <w:rPr>
          <w:rFonts w:ascii="Times New Roman" w:eastAsia="Times New Roman" w:hAnsi="Times New Roman" w:cs="Times New Roman"/>
          <w:lang w:eastAsia="en-GB"/>
        </w:rPr>
        <w:br/>
      </w:r>
      <w:r w:rsidRPr="0081279A">
        <w:rPr>
          <w:rFonts w:ascii="Times New Roman" w:eastAsia="Times New Roman" w:hAnsi="Times New Roman" w:cs="Times New Roman"/>
          <w:b/>
          <w:bCs/>
          <w:lang w:eastAsia="en-GB"/>
        </w:rPr>
        <w:t>Your approach, however, is a reasonable discrete approximation</w:t>
      </w:r>
      <w:r w:rsidRPr="0081279A">
        <w:rPr>
          <w:rFonts w:ascii="Times New Roman" w:eastAsia="Times New Roman" w:hAnsi="Times New Roman" w:cs="Times New Roman"/>
          <w:lang w:eastAsia="en-GB"/>
        </w:rPr>
        <w:t> if you assume default risk is evaluated only at coupon dates and the exposure remains constant within each period.</w:t>
      </w:r>
    </w:p>
    <w:p w14:paraId="23BFEB5A" w14:textId="1E17A8FA" w:rsidR="0081279A" w:rsidRPr="0081279A" w:rsidRDefault="0081279A" w:rsidP="0081279A">
      <w:pPr>
        <w:spacing w:before="100" w:beforeAutospacing="1" w:after="100" w:afterAutospacing="1"/>
        <w:rPr>
          <w:rFonts w:ascii="Times New Roman" w:eastAsia="Times New Roman" w:hAnsi="Times New Roman" w:cs="Times New Roman"/>
          <w:lang w:eastAsia="en-GB"/>
        </w:rPr>
      </w:pPr>
      <w:r w:rsidRPr="0081279A">
        <w:rPr>
          <w:rFonts w:ascii="Times New Roman" w:eastAsia="Times New Roman" w:hAnsi="Symbol" w:cs="Times New Roman"/>
          <w:lang w:eastAsia="en-GB"/>
        </w:rPr>
        <w:t></w:t>
      </w:r>
      <w:r w:rsidRPr="0081279A">
        <w:rPr>
          <w:rFonts w:ascii="Times New Roman" w:eastAsia="Times New Roman" w:hAnsi="Times New Roman" w:cs="Times New Roman"/>
          <w:lang w:eastAsia="en-GB"/>
        </w:rPr>
        <w:t xml:space="preserve">  </w:t>
      </w:r>
      <w:r w:rsidRPr="0081279A">
        <w:rPr>
          <w:rFonts w:ascii="Times New Roman" w:eastAsia="Times New Roman" w:hAnsi="Times New Roman" w:cs="Times New Roman"/>
          <w:b/>
          <w:bCs/>
          <w:lang w:eastAsia="en-GB"/>
        </w:rPr>
        <w:t>Exposure Assumption:</w:t>
      </w:r>
      <w:r w:rsidRPr="0081279A">
        <w:rPr>
          <w:rFonts w:ascii="Times New Roman" w:eastAsia="Times New Roman" w:hAnsi="Times New Roman" w:cs="Times New Roman"/>
          <w:lang w:eastAsia="en-GB"/>
        </w:rPr>
        <w:br/>
        <w:t>You’ve taken the coupon amount as the exposure. This is appropriate if the main concern is the loss of coupon payments in the event of default. In a more detailed model, you might consider both coupon and principal exposures, especially if default risk applies to the whole bond value</w:t>
      </w:r>
      <w:r>
        <w:rPr>
          <w:rFonts w:ascii="Times New Roman" w:eastAsia="Times New Roman" w:hAnsi="Times New Roman" w:cs="Times New Roman"/>
          <w:lang w:eastAsia="en-GB"/>
        </w:rPr>
        <w:t>.</w:t>
      </w:r>
    </w:p>
    <w:sectPr w:rsidR="0081279A" w:rsidRPr="0081279A" w:rsidSect="00C60477">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00"/>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70313"/>
    <w:multiLevelType w:val="multilevel"/>
    <w:tmpl w:val="395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1159A"/>
    <w:multiLevelType w:val="multilevel"/>
    <w:tmpl w:val="E46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93F9D"/>
    <w:multiLevelType w:val="multilevel"/>
    <w:tmpl w:val="6A8C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A5CC4"/>
    <w:multiLevelType w:val="multilevel"/>
    <w:tmpl w:val="1FA6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762827">
    <w:abstractNumId w:val="0"/>
  </w:num>
  <w:num w:numId="2" w16cid:durableId="1430850906">
    <w:abstractNumId w:val="1"/>
  </w:num>
  <w:num w:numId="3" w16cid:durableId="342781274">
    <w:abstractNumId w:val="2"/>
  </w:num>
  <w:num w:numId="4" w16cid:durableId="197652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DD"/>
    <w:rsid w:val="00120859"/>
    <w:rsid w:val="00355162"/>
    <w:rsid w:val="00375625"/>
    <w:rsid w:val="004A23C9"/>
    <w:rsid w:val="0050275C"/>
    <w:rsid w:val="00532BBF"/>
    <w:rsid w:val="00567626"/>
    <w:rsid w:val="005A0119"/>
    <w:rsid w:val="00653A01"/>
    <w:rsid w:val="00657D26"/>
    <w:rsid w:val="00681BDD"/>
    <w:rsid w:val="0069466F"/>
    <w:rsid w:val="006E6A82"/>
    <w:rsid w:val="007F1B2F"/>
    <w:rsid w:val="0081279A"/>
    <w:rsid w:val="00817DAD"/>
    <w:rsid w:val="00921E10"/>
    <w:rsid w:val="00922BBE"/>
    <w:rsid w:val="00933115"/>
    <w:rsid w:val="00964D2D"/>
    <w:rsid w:val="009F1E9F"/>
    <w:rsid w:val="009F3C53"/>
    <w:rsid w:val="00C60477"/>
    <w:rsid w:val="00CF1C9A"/>
    <w:rsid w:val="00CF4092"/>
    <w:rsid w:val="00DB7E19"/>
    <w:rsid w:val="00DF613C"/>
    <w:rsid w:val="00F006D1"/>
    <w:rsid w:val="00F62883"/>
    <w:rsid w:val="00F82467"/>
    <w:rsid w:val="00F91BF1"/>
    <w:rsid w:val="00FE4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6984B5"/>
  <w15:chartTrackingRefBased/>
  <w15:docId w15:val="{CCB67A14-B33C-3442-93B0-E3F199A1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oudy Old Style" w:eastAsiaTheme="minorHAnsi" w:hAnsi="Goudy Old Style"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567626"/>
    <w:pPr>
      <w:outlineLvl w:val="0"/>
    </w:pPr>
    <w:rPr>
      <w:b/>
      <w:bCs/>
      <w:sz w:val="32"/>
      <w:szCs w:val="28"/>
      <w:u w:val="single"/>
    </w:rPr>
  </w:style>
  <w:style w:type="paragraph" w:styleId="Heading2">
    <w:name w:val="heading 2"/>
    <w:basedOn w:val="Normal"/>
    <w:next w:val="Normal"/>
    <w:link w:val="Heading2Char"/>
    <w:uiPriority w:val="9"/>
    <w:unhideWhenUsed/>
    <w:qFormat/>
    <w:rsid w:val="00817DAD"/>
    <w:pPr>
      <w:outlineLvl w:val="1"/>
    </w:pPr>
    <w:rPr>
      <w:u w:val="single"/>
    </w:rPr>
  </w:style>
  <w:style w:type="paragraph" w:styleId="Heading3">
    <w:name w:val="heading 3"/>
    <w:basedOn w:val="Normal"/>
    <w:next w:val="Normal"/>
    <w:link w:val="Heading3Char"/>
    <w:uiPriority w:val="9"/>
    <w:semiHidden/>
    <w:unhideWhenUsed/>
    <w:qFormat/>
    <w:rsid w:val="00817D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D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7D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7D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7D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7D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7D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26"/>
    <w:rPr>
      <w:b/>
      <w:bCs/>
      <w:sz w:val="32"/>
      <w:szCs w:val="28"/>
      <w:u w:val="single"/>
    </w:rPr>
  </w:style>
  <w:style w:type="character" w:customStyle="1" w:styleId="Heading2Char">
    <w:name w:val="Heading 2 Char"/>
    <w:basedOn w:val="DefaultParagraphFont"/>
    <w:link w:val="Heading2"/>
    <w:uiPriority w:val="9"/>
    <w:rsid w:val="00817DAD"/>
    <w:rPr>
      <w:u w:val="single"/>
    </w:rPr>
  </w:style>
  <w:style w:type="character" w:customStyle="1" w:styleId="Heading3Char">
    <w:name w:val="Heading 3 Char"/>
    <w:basedOn w:val="DefaultParagraphFont"/>
    <w:link w:val="Heading3"/>
    <w:uiPriority w:val="9"/>
    <w:semiHidden/>
    <w:rsid w:val="00817D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D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17D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17D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7D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7D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7D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67"/>
    <w:rPr>
      <w:sz w:val="36"/>
      <w:szCs w:val="36"/>
    </w:rPr>
  </w:style>
  <w:style w:type="character" w:customStyle="1" w:styleId="TitleChar">
    <w:name w:val="Title Char"/>
    <w:basedOn w:val="DefaultParagraphFont"/>
    <w:link w:val="Title"/>
    <w:uiPriority w:val="10"/>
    <w:rsid w:val="00F82467"/>
    <w:rPr>
      <w:sz w:val="36"/>
      <w:szCs w:val="36"/>
    </w:rPr>
  </w:style>
  <w:style w:type="paragraph" w:styleId="Subtitle">
    <w:name w:val="Subtitle"/>
    <w:basedOn w:val="Normal"/>
    <w:next w:val="Normal"/>
    <w:link w:val="SubtitleChar"/>
    <w:uiPriority w:val="11"/>
    <w:qFormat/>
    <w:rsid w:val="00C60477"/>
    <w:pPr>
      <w:jc w:val="center"/>
    </w:pPr>
    <w:rPr>
      <w:sz w:val="28"/>
      <w:szCs w:val="28"/>
    </w:rPr>
  </w:style>
  <w:style w:type="character" w:customStyle="1" w:styleId="SubtitleChar">
    <w:name w:val="Subtitle Char"/>
    <w:basedOn w:val="DefaultParagraphFont"/>
    <w:link w:val="Subtitle"/>
    <w:uiPriority w:val="11"/>
    <w:rsid w:val="00C60477"/>
    <w:rPr>
      <w:rFonts w:eastAsiaTheme="minorEastAsia"/>
      <w:sz w:val="28"/>
      <w:szCs w:val="28"/>
    </w:rPr>
  </w:style>
  <w:style w:type="paragraph" w:styleId="Quote">
    <w:name w:val="Quote"/>
    <w:basedOn w:val="Normal"/>
    <w:next w:val="Normal"/>
    <w:link w:val="QuoteChar"/>
    <w:uiPriority w:val="29"/>
    <w:qFormat/>
    <w:rsid w:val="00817D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7DAD"/>
    <w:rPr>
      <w:i/>
      <w:iCs/>
      <w:color w:val="404040" w:themeColor="text1" w:themeTint="BF"/>
    </w:rPr>
  </w:style>
  <w:style w:type="paragraph" w:styleId="ListParagraph">
    <w:name w:val="List Paragraph"/>
    <w:basedOn w:val="Normal"/>
    <w:uiPriority w:val="34"/>
    <w:qFormat/>
    <w:rsid w:val="00817DAD"/>
    <w:pPr>
      <w:ind w:left="720"/>
      <w:contextualSpacing/>
    </w:pPr>
  </w:style>
  <w:style w:type="character" w:styleId="IntenseEmphasis">
    <w:name w:val="Intense Emphasis"/>
    <w:basedOn w:val="DefaultParagraphFont"/>
    <w:uiPriority w:val="21"/>
    <w:qFormat/>
    <w:rsid w:val="00817DAD"/>
    <w:rPr>
      <w:i/>
      <w:iCs/>
      <w:color w:val="0F4761" w:themeColor="accent1" w:themeShade="BF"/>
    </w:rPr>
  </w:style>
  <w:style w:type="paragraph" w:styleId="IntenseQuote">
    <w:name w:val="Intense Quote"/>
    <w:basedOn w:val="Normal"/>
    <w:next w:val="Normal"/>
    <w:link w:val="IntenseQuoteChar"/>
    <w:uiPriority w:val="30"/>
    <w:qFormat/>
    <w:rsid w:val="00817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DAD"/>
    <w:rPr>
      <w:i/>
      <w:iCs/>
      <w:color w:val="0F4761" w:themeColor="accent1" w:themeShade="BF"/>
    </w:rPr>
  </w:style>
  <w:style w:type="character" w:styleId="IntenseReference">
    <w:name w:val="Intense Reference"/>
    <w:basedOn w:val="DefaultParagraphFont"/>
    <w:uiPriority w:val="32"/>
    <w:qFormat/>
    <w:rsid w:val="00817DAD"/>
    <w:rPr>
      <w:b/>
      <w:bCs/>
      <w:smallCaps/>
      <w:color w:val="0F4761" w:themeColor="accent1" w:themeShade="BF"/>
      <w:spacing w:val="5"/>
    </w:rPr>
  </w:style>
  <w:style w:type="paragraph" w:styleId="TOCHeading">
    <w:name w:val="TOC Heading"/>
    <w:basedOn w:val="Heading1"/>
    <w:next w:val="Normal"/>
    <w:uiPriority w:val="39"/>
    <w:unhideWhenUsed/>
    <w:qFormat/>
    <w:rsid w:val="00567626"/>
    <w:pPr>
      <w:keepNext/>
      <w:keepLines/>
      <w:spacing w:before="480" w:line="276" w:lineRule="auto"/>
      <w:outlineLvl w:val="9"/>
    </w:pPr>
    <w:rPr>
      <w:rFonts w:eastAsiaTheme="majorEastAsia" w:cstheme="majorBidi"/>
      <w:b w:val="0"/>
      <w:bCs w:val="0"/>
      <w:color w:val="0F4761" w:themeColor="accent1" w:themeShade="BF"/>
      <w:lang w:val="en-US"/>
    </w:rPr>
  </w:style>
  <w:style w:type="paragraph" w:styleId="TOC1">
    <w:name w:val="toc 1"/>
    <w:basedOn w:val="Normal"/>
    <w:next w:val="Normal"/>
    <w:autoRedefine/>
    <w:uiPriority w:val="39"/>
    <w:semiHidden/>
    <w:unhideWhenUsed/>
    <w:rsid w:val="00567626"/>
    <w:pPr>
      <w:spacing w:before="120"/>
    </w:pPr>
    <w:rPr>
      <w:rFonts w:asciiTheme="minorHAnsi" w:hAnsiTheme="minorHAnsi"/>
      <w:b/>
      <w:bCs/>
      <w:i/>
      <w:iCs/>
    </w:rPr>
  </w:style>
  <w:style w:type="paragraph" w:styleId="TOC2">
    <w:name w:val="toc 2"/>
    <w:basedOn w:val="Normal"/>
    <w:next w:val="Normal"/>
    <w:autoRedefine/>
    <w:uiPriority w:val="39"/>
    <w:semiHidden/>
    <w:unhideWhenUsed/>
    <w:rsid w:val="0056762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56762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6762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6762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6762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6762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6762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67626"/>
    <w:pPr>
      <w:ind w:left="1920"/>
    </w:pPr>
    <w:rPr>
      <w:rFonts w:asciiTheme="minorHAnsi" w:hAnsiTheme="minorHAnsi"/>
      <w:sz w:val="20"/>
      <w:szCs w:val="20"/>
    </w:rPr>
  </w:style>
  <w:style w:type="paragraph" w:styleId="NoSpacing">
    <w:name w:val="No Spacing"/>
    <w:link w:val="NoSpacingChar"/>
    <w:uiPriority w:val="1"/>
    <w:qFormat/>
    <w:rsid w:val="00C60477"/>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60477"/>
    <w:rPr>
      <w:rFonts w:asciiTheme="minorHAnsi" w:eastAsiaTheme="minorEastAsia" w:hAnsiTheme="minorHAnsi" w:cstheme="minorBidi"/>
      <w:sz w:val="22"/>
      <w:szCs w:val="22"/>
      <w:lang w:val="en-US" w:eastAsia="zh-CN"/>
    </w:rPr>
  </w:style>
  <w:style w:type="character" w:styleId="Strong">
    <w:name w:val="Strong"/>
    <w:basedOn w:val="DefaultParagraphFont"/>
    <w:uiPriority w:val="22"/>
    <w:qFormat/>
    <w:rsid w:val="00681BDD"/>
    <w:rPr>
      <w:b/>
      <w:bCs/>
    </w:rPr>
  </w:style>
  <w:style w:type="character" w:customStyle="1" w:styleId="apple-converted-space">
    <w:name w:val="apple-converted-space"/>
    <w:basedOn w:val="DefaultParagraphFont"/>
    <w:rsid w:val="00681BDD"/>
  </w:style>
  <w:style w:type="character" w:styleId="Emphasis">
    <w:name w:val="Emphasis"/>
    <w:basedOn w:val="DefaultParagraphFont"/>
    <w:uiPriority w:val="20"/>
    <w:qFormat/>
    <w:rsid w:val="0081279A"/>
    <w:rPr>
      <w:i/>
      <w:iCs/>
    </w:rPr>
  </w:style>
  <w:style w:type="character" w:customStyle="1" w:styleId="katex-mathml">
    <w:name w:val="katex-mathml"/>
    <w:basedOn w:val="DefaultParagraphFont"/>
    <w:rsid w:val="0081279A"/>
  </w:style>
  <w:style w:type="character" w:customStyle="1" w:styleId="mord">
    <w:name w:val="mord"/>
    <w:basedOn w:val="DefaultParagraphFont"/>
    <w:rsid w:val="0081279A"/>
  </w:style>
  <w:style w:type="character" w:customStyle="1" w:styleId="mbin">
    <w:name w:val="mbin"/>
    <w:basedOn w:val="DefaultParagraphFont"/>
    <w:rsid w:val="0081279A"/>
  </w:style>
  <w:style w:type="character" w:customStyle="1" w:styleId="mopen">
    <w:name w:val="mopen"/>
    <w:basedOn w:val="DefaultParagraphFont"/>
    <w:rsid w:val="0081279A"/>
  </w:style>
  <w:style w:type="character" w:customStyle="1" w:styleId="mclose">
    <w:name w:val="mclose"/>
    <w:basedOn w:val="DefaultParagraphFont"/>
    <w:rsid w:val="0081279A"/>
  </w:style>
  <w:style w:type="character" w:customStyle="1" w:styleId="mrel">
    <w:name w:val="mrel"/>
    <w:basedOn w:val="DefaultParagraphFont"/>
    <w:rsid w:val="0081279A"/>
  </w:style>
  <w:style w:type="character" w:customStyle="1" w:styleId="vlist-s">
    <w:name w:val="vlist-s"/>
    <w:basedOn w:val="DefaultParagraphFont"/>
    <w:rsid w:val="0081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787679">
      <w:bodyDiv w:val="1"/>
      <w:marLeft w:val="0"/>
      <w:marRight w:val="0"/>
      <w:marTop w:val="0"/>
      <w:marBottom w:val="0"/>
      <w:divBdr>
        <w:top w:val="none" w:sz="0" w:space="0" w:color="auto"/>
        <w:left w:val="none" w:sz="0" w:space="0" w:color="auto"/>
        <w:bottom w:val="none" w:sz="0" w:space="0" w:color="auto"/>
        <w:right w:val="none" w:sz="0" w:space="0" w:color="auto"/>
      </w:divBdr>
    </w:div>
    <w:div w:id="19905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3E60-81E4-4740-BE75-7C6DE8F1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PG-Remani, Shaan Ali</dc:creator>
  <cp:keywords/>
  <dc:description/>
  <cp:lastModifiedBy>PG-Remani, Shaan Ali</cp:lastModifiedBy>
  <cp:revision>2</cp:revision>
  <dcterms:created xsi:type="dcterms:W3CDTF">2025-03-24T23:03:00Z</dcterms:created>
  <dcterms:modified xsi:type="dcterms:W3CDTF">2025-03-25T16:41:00Z</dcterms:modified>
</cp:coreProperties>
</file>