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4A0926C" w14:textId="7F5D0B22" w:rsidR="00A954C2" w:rsidRDefault="00000000" w:rsidP="00064D35">
      <w:pPr>
        <w:spacing w:after="0" w:line="259" w:lineRule="auto"/>
        <w:ind w:left="0" w:firstLine="0"/>
        <w:rPr>
          <w:b/>
          <w:sz w:val="36"/>
        </w:rPr>
      </w:pPr>
      <w:r>
        <w:rPr>
          <w:b/>
          <w:sz w:val="36"/>
        </w:rPr>
        <w:t xml:space="preserve">NorthFlow CFO Value Case </w:t>
      </w:r>
    </w:p>
    <w:p w14:paraId="064C15F1" w14:textId="29ACEFF9" w:rsidR="00064D35" w:rsidRDefault="00064D35" w:rsidP="00064D35">
      <w:pPr>
        <w:ind w:left="0" w:firstLine="0"/>
      </w:pPr>
      <w:proofErr w:type="gramStart"/>
      <w:r>
        <w:t>12 month</w:t>
      </w:r>
      <w:proofErr w:type="gramEnd"/>
      <w:r>
        <w:t xml:space="preserve"> timeline, conservative scenario using 25% Realization rate </w:t>
      </w:r>
    </w:p>
    <w:p w14:paraId="340EAB30" w14:textId="3CFF452C" w:rsidR="00064D35" w:rsidRDefault="00064D35" w:rsidP="006567EE">
      <w:pPr>
        <w:pStyle w:val="Heading2"/>
        <w:ind w:left="0" w:firstLine="0"/>
      </w:pPr>
      <w:r>
        <w:t>Metric Breakdown</w:t>
      </w:r>
    </w:p>
    <w:p w14:paraId="723B3599" w14:textId="77777777" w:rsidR="006567EE" w:rsidRDefault="00000000" w:rsidP="006567EE">
      <w:pPr>
        <w:spacing w:after="4"/>
        <w:ind w:left="-5"/>
      </w:pPr>
      <w:r>
        <w:t>Conservative Scenario: 25% Realization of Identified Savings Opportunity</w:t>
      </w:r>
    </w:p>
    <w:p w14:paraId="1B776ABB" w14:textId="5F5C47CC" w:rsidR="00064D35" w:rsidRPr="00064D35" w:rsidRDefault="00064D35" w:rsidP="006567EE">
      <w:pPr>
        <w:pStyle w:val="Heading3"/>
      </w:pPr>
      <w:r>
        <w:t>Implementation Cost and Opportunity</w:t>
      </w:r>
    </w:p>
    <w:tbl>
      <w:tblPr>
        <w:tblStyle w:val="TableGrid0"/>
        <w:tblW w:w="0" w:type="auto"/>
        <w:tblInd w:w="-5" w:type="dxa"/>
        <w:tblLook w:val="04A0" w:firstRow="1" w:lastRow="0" w:firstColumn="1" w:lastColumn="0" w:noHBand="0" w:noVBand="1"/>
      </w:tblPr>
      <w:tblGrid>
        <w:gridCol w:w="3969"/>
        <w:gridCol w:w="6604"/>
      </w:tblGrid>
      <w:tr w:rsidR="00064D35" w14:paraId="0A9D8B8D" w14:textId="77777777" w:rsidTr="00064D35">
        <w:tc>
          <w:tcPr>
            <w:tcW w:w="3969" w:type="dxa"/>
          </w:tcPr>
          <w:p w14:paraId="4A5AED80" w14:textId="6AE44D34" w:rsidR="00064D35" w:rsidRDefault="00064D35">
            <w:pPr>
              <w:spacing w:after="4"/>
              <w:ind w:left="0" w:firstLine="0"/>
            </w:pPr>
            <w:r>
              <w:t>Build Cost</w:t>
            </w:r>
          </w:p>
        </w:tc>
        <w:tc>
          <w:tcPr>
            <w:tcW w:w="6604" w:type="dxa"/>
          </w:tcPr>
          <w:p w14:paraId="1D56162D" w14:textId="5B7E6BFA" w:rsidR="00064D35" w:rsidRDefault="00064D35">
            <w:pPr>
              <w:spacing w:after="4"/>
              <w:ind w:left="0" w:firstLine="0"/>
            </w:pPr>
            <w:r>
              <w:rPr>
                <w:b/>
              </w:rPr>
              <w:t>$666,000</w:t>
            </w:r>
          </w:p>
        </w:tc>
      </w:tr>
      <w:tr w:rsidR="00064D35" w14:paraId="5DD22DBE" w14:textId="77777777" w:rsidTr="00064D35">
        <w:tc>
          <w:tcPr>
            <w:tcW w:w="3969" w:type="dxa"/>
          </w:tcPr>
          <w:p w14:paraId="58FF5379" w14:textId="0A67E38E" w:rsidR="00064D35" w:rsidRDefault="00064D35">
            <w:pPr>
              <w:spacing w:after="4"/>
              <w:ind w:left="0" w:firstLine="0"/>
            </w:pPr>
            <w:r>
              <w:t>Annual Realized Benefit (25%)</w:t>
            </w:r>
          </w:p>
        </w:tc>
        <w:tc>
          <w:tcPr>
            <w:tcW w:w="6604" w:type="dxa"/>
          </w:tcPr>
          <w:p w14:paraId="56322C16" w14:textId="49F77215" w:rsidR="00064D35" w:rsidRDefault="00064D35">
            <w:pPr>
              <w:spacing w:after="4"/>
              <w:ind w:left="0" w:firstLine="0"/>
            </w:pPr>
            <w:r>
              <w:rPr>
                <w:b/>
              </w:rPr>
              <w:t>$2.9M</w:t>
            </w:r>
          </w:p>
        </w:tc>
      </w:tr>
      <w:tr w:rsidR="00064D35" w14:paraId="40AB1D00" w14:textId="77777777" w:rsidTr="00064D35">
        <w:tc>
          <w:tcPr>
            <w:tcW w:w="3969" w:type="dxa"/>
          </w:tcPr>
          <w:p w14:paraId="6331C57C" w14:textId="04A70210" w:rsidR="00064D35" w:rsidRDefault="00064D35">
            <w:pPr>
              <w:spacing w:after="4"/>
              <w:ind w:left="0" w:firstLine="0"/>
            </w:pPr>
            <w:r w:rsidRPr="00064D35">
              <w:t>Benefit</w:t>
            </w:r>
          </w:p>
        </w:tc>
        <w:tc>
          <w:tcPr>
            <w:tcW w:w="6604" w:type="dxa"/>
          </w:tcPr>
          <w:p w14:paraId="077222BB" w14:textId="159CA272" w:rsidR="00064D35" w:rsidRDefault="00064D35">
            <w:pPr>
              <w:spacing w:after="4"/>
              <w:ind w:left="0" w:firstLine="0"/>
            </w:pPr>
            <w:r>
              <w:rPr>
                <w:b/>
              </w:rPr>
              <w:t>$2.234M</w:t>
            </w:r>
          </w:p>
        </w:tc>
      </w:tr>
      <w:tr w:rsidR="00064D35" w14:paraId="5261BEAE" w14:textId="77777777" w:rsidTr="00064D35">
        <w:tc>
          <w:tcPr>
            <w:tcW w:w="3969" w:type="dxa"/>
          </w:tcPr>
          <w:p w14:paraId="7F846442" w14:textId="6479E8DF" w:rsidR="00064D35" w:rsidRDefault="00064D35" w:rsidP="00064D35">
            <w:pPr>
              <w:spacing w:after="4"/>
              <w:ind w:left="0" w:firstLine="0"/>
            </w:pPr>
            <w:r w:rsidRPr="00064D35">
              <w:t>ROI</w:t>
            </w:r>
          </w:p>
        </w:tc>
        <w:tc>
          <w:tcPr>
            <w:tcW w:w="6604" w:type="dxa"/>
          </w:tcPr>
          <w:p w14:paraId="15074153" w14:textId="05BEB103" w:rsidR="00064D35" w:rsidRDefault="00064D35" w:rsidP="00064D35">
            <w:pPr>
              <w:spacing w:after="4"/>
              <w:ind w:left="0" w:firstLine="0"/>
            </w:pPr>
            <w:r>
              <w:rPr>
                <w:b/>
              </w:rPr>
              <w:t>335%</w:t>
            </w:r>
          </w:p>
        </w:tc>
      </w:tr>
      <w:tr w:rsidR="00064D35" w14:paraId="4B86A179" w14:textId="77777777" w:rsidTr="00064D35">
        <w:tc>
          <w:tcPr>
            <w:tcW w:w="3969" w:type="dxa"/>
          </w:tcPr>
          <w:p w14:paraId="0ADCF587" w14:textId="221F4A24" w:rsidR="00064D35" w:rsidRDefault="00064D35" w:rsidP="00064D35">
            <w:pPr>
              <w:spacing w:after="4"/>
              <w:ind w:left="0" w:firstLine="0"/>
            </w:pPr>
            <w:r w:rsidRPr="00064D35">
              <w:t xml:space="preserve">Payback </w:t>
            </w:r>
            <w:r>
              <w:t xml:space="preserve">Time </w:t>
            </w:r>
          </w:p>
        </w:tc>
        <w:tc>
          <w:tcPr>
            <w:tcW w:w="6604" w:type="dxa"/>
          </w:tcPr>
          <w:p w14:paraId="59C3E720" w14:textId="12DEFBF2" w:rsidR="00064D35" w:rsidRDefault="00064D35" w:rsidP="00064D35">
            <w:pPr>
              <w:spacing w:after="4"/>
              <w:ind w:left="0" w:firstLine="0"/>
            </w:pPr>
            <w:r>
              <w:rPr>
                <w:b/>
              </w:rPr>
              <w:t>~2.8 Months</w:t>
            </w:r>
          </w:p>
        </w:tc>
      </w:tr>
    </w:tbl>
    <w:p w14:paraId="3010DFF8" w14:textId="790A5331" w:rsidR="00064D35" w:rsidRDefault="00064D35" w:rsidP="006567EE">
      <w:pPr>
        <w:pStyle w:val="Heading3"/>
        <w:ind w:left="0" w:firstLine="0"/>
      </w:pPr>
      <w:r>
        <w:t>Annual Opportunity Savings</w:t>
      </w:r>
    </w:p>
    <w:tbl>
      <w:tblPr>
        <w:tblStyle w:val="TableGrid0"/>
        <w:tblW w:w="0" w:type="auto"/>
        <w:tblInd w:w="-5" w:type="dxa"/>
        <w:tblLook w:val="04A0" w:firstRow="1" w:lastRow="0" w:firstColumn="1" w:lastColumn="0" w:noHBand="0" w:noVBand="1"/>
      </w:tblPr>
      <w:tblGrid>
        <w:gridCol w:w="3544"/>
        <w:gridCol w:w="7029"/>
      </w:tblGrid>
      <w:tr w:rsidR="00064D35" w14:paraId="17F92E51" w14:textId="77777777" w:rsidTr="00064D35">
        <w:tc>
          <w:tcPr>
            <w:tcW w:w="3544" w:type="dxa"/>
          </w:tcPr>
          <w:p w14:paraId="73BB8A57" w14:textId="02D01B09" w:rsidR="00064D35" w:rsidRDefault="00064D35">
            <w:pPr>
              <w:spacing w:after="4"/>
              <w:ind w:left="0" w:firstLine="0"/>
            </w:pPr>
            <w:r>
              <w:rPr>
                <w:b/>
              </w:rPr>
              <w:t>Identified Annual Opportunity</w:t>
            </w:r>
          </w:p>
        </w:tc>
        <w:tc>
          <w:tcPr>
            <w:tcW w:w="7029" w:type="dxa"/>
          </w:tcPr>
          <w:p w14:paraId="7CB71DA5" w14:textId="6F3BC6CF" w:rsidR="00064D35" w:rsidRDefault="00064D35">
            <w:pPr>
              <w:spacing w:after="4"/>
              <w:ind w:left="0" w:firstLine="0"/>
            </w:pPr>
            <w:r>
              <w:rPr>
                <w:b/>
              </w:rPr>
              <w:t>Value</w:t>
            </w:r>
            <w:r>
              <w:rPr>
                <w:b/>
              </w:rPr>
              <w:t xml:space="preserve"> (per year)</w:t>
            </w:r>
          </w:p>
        </w:tc>
      </w:tr>
      <w:tr w:rsidR="00064D35" w14:paraId="7766C4D7" w14:textId="77777777" w:rsidTr="00064D35">
        <w:tc>
          <w:tcPr>
            <w:tcW w:w="3544" w:type="dxa"/>
          </w:tcPr>
          <w:p w14:paraId="4D729824" w14:textId="19ECB7C0" w:rsidR="00064D35" w:rsidRDefault="00064D35" w:rsidP="00064D35">
            <w:pPr>
              <w:spacing w:after="4"/>
              <w:ind w:left="0" w:firstLine="0"/>
            </w:pPr>
            <w:r>
              <w:t>Avoided Regulatory Penalties</w:t>
            </w:r>
          </w:p>
        </w:tc>
        <w:tc>
          <w:tcPr>
            <w:tcW w:w="7029" w:type="dxa"/>
          </w:tcPr>
          <w:p w14:paraId="40437831" w14:textId="73542615" w:rsidR="00064D35" w:rsidRDefault="00064D35" w:rsidP="00064D35">
            <w:pPr>
              <w:spacing w:after="4"/>
              <w:ind w:left="0" w:firstLine="0"/>
            </w:pPr>
            <w:r>
              <w:t>$9.6M</w:t>
            </w:r>
          </w:p>
        </w:tc>
      </w:tr>
      <w:tr w:rsidR="00064D35" w14:paraId="07CF3ED4" w14:textId="77777777" w:rsidTr="00064D35">
        <w:tc>
          <w:tcPr>
            <w:tcW w:w="3544" w:type="dxa"/>
          </w:tcPr>
          <w:p w14:paraId="3C9A7287" w14:textId="4238A07B" w:rsidR="00064D35" w:rsidRDefault="00064D35" w:rsidP="00064D35">
            <w:pPr>
              <w:spacing w:after="4"/>
              <w:ind w:left="0" w:firstLine="0"/>
            </w:pPr>
            <w:r>
              <w:t>Reduced Repeat Calls</w:t>
            </w:r>
          </w:p>
        </w:tc>
        <w:tc>
          <w:tcPr>
            <w:tcW w:w="7029" w:type="dxa"/>
          </w:tcPr>
          <w:p w14:paraId="0C2879A4" w14:textId="7E45F421" w:rsidR="00064D35" w:rsidRDefault="00064D35" w:rsidP="00064D35">
            <w:pPr>
              <w:spacing w:after="4"/>
              <w:ind w:left="0" w:firstLine="0"/>
            </w:pPr>
            <w:r>
              <w:t>$1.5M</w:t>
            </w:r>
          </w:p>
        </w:tc>
      </w:tr>
      <w:tr w:rsidR="00064D35" w14:paraId="05B5EF61" w14:textId="77777777" w:rsidTr="00064D35">
        <w:tc>
          <w:tcPr>
            <w:tcW w:w="3544" w:type="dxa"/>
          </w:tcPr>
          <w:p w14:paraId="34AA11F9" w14:textId="42508232" w:rsidR="00064D35" w:rsidRDefault="00064D35" w:rsidP="00064D35">
            <w:pPr>
              <w:spacing w:after="4"/>
              <w:ind w:left="0" w:firstLine="0"/>
            </w:pPr>
            <w:r>
              <w:t>Reduced Transfer/Reopen Costs</w:t>
            </w:r>
          </w:p>
        </w:tc>
        <w:tc>
          <w:tcPr>
            <w:tcW w:w="7029" w:type="dxa"/>
          </w:tcPr>
          <w:p w14:paraId="7B8057D1" w14:textId="5CB3839B" w:rsidR="00064D35" w:rsidRDefault="00064D35" w:rsidP="00064D35">
            <w:pPr>
              <w:spacing w:after="4"/>
              <w:ind w:left="0" w:firstLine="0"/>
            </w:pPr>
            <w:r>
              <w:t>$0.5M</w:t>
            </w:r>
          </w:p>
        </w:tc>
      </w:tr>
      <w:tr w:rsidR="00064D35" w14:paraId="63677537" w14:textId="77777777" w:rsidTr="00064D35">
        <w:tc>
          <w:tcPr>
            <w:tcW w:w="3544" w:type="dxa"/>
          </w:tcPr>
          <w:p w14:paraId="2FAD18DB" w14:textId="259F960D" w:rsidR="00064D35" w:rsidRDefault="00064D35" w:rsidP="00064D35">
            <w:pPr>
              <w:spacing w:after="4"/>
              <w:ind w:left="0" w:firstLine="0"/>
            </w:pPr>
            <w:r>
              <w:t>Total Opportunity</w:t>
            </w:r>
          </w:p>
        </w:tc>
        <w:tc>
          <w:tcPr>
            <w:tcW w:w="7029" w:type="dxa"/>
          </w:tcPr>
          <w:p w14:paraId="1E9F6160" w14:textId="1F51F34E" w:rsidR="00064D35" w:rsidRDefault="00064D35" w:rsidP="006567EE">
            <w:pPr>
              <w:spacing w:after="4"/>
              <w:ind w:left="0" w:firstLine="0"/>
              <w:jc w:val="both"/>
            </w:pPr>
            <w:r>
              <w:t>$11.6M</w:t>
            </w:r>
          </w:p>
        </w:tc>
      </w:tr>
    </w:tbl>
    <w:p w14:paraId="67798C2F" w14:textId="77777777" w:rsidR="006567EE" w:rsidRDefault="006567EE" w:rsidP="006567EE">
      <w:pPr>
        <w:spacing w:after="4"/>
        <w:ind w:left="0" w:firstLine="0"/>
        <w:rPr>
          <w:rStyle w:val="Heading2Char"/>
        </w:rPr>
      </w:pPr>
      <w:r w:rsidRPr="006567EE">
        <w:rPr>
          <w:rStyle w:val="Heading2Char"/>
        </w:rPr>
        <w:t>Material Assumptions</w:t>
      </w:r>
    </w:p>
    <w:p w14:paraId="112FAB18" w14:textId="0086E356" w:rsidR="006567EE" w:rsidRDefault="006567EE" w:rsidP="006567EE">
      <w:pPr>
        <w:pStyle w:val="ListParagraph"/>
        <w:numPr>
          <w:ilvl w:val="0"/>
          <w:numId w:val="2"/>
        </w:numPr>
        <w:spacing w:after="4"/>
      </w:pPr>
      <w:r>
        <w:t xml:space="preserve">Assuming </w:t>
      </w:r>
      <w:r>
        <w:t xml:space="preserve">NorthFlow captures only 25% of identified inefficiencies. </w:t>
      </w:r>
    </w:p>
    <w:p w14:paraId="081F03EF" w14:textId="703181D3" w:rsidR="006567EE" w:rsidRDefault="006567EE" w:rsidP="006567EE">
      <w:pPr>
        <w:pStyle w:val="ListParagraph"/>
        <w:numPr>
          <w:ilvl w:val="0"/>
          <w:numId w:val="2"/>
        </w:numPr>
        <w:spacing w:after="4"/>
      </w:pPr>
      <w:r>
        <w:t xml:space="preserve">Assuming </w:t>
      </w:r>
      <w:r>
        <w:t>No core-system replacement required.</w:t>
      </w:r>
    </w:p>
    <w:p w14:paraId="7EECE28A" w14:textId="64A89A18" w:rsidR="006567EE" w:rsidRDefault="006567EE" w:rsidP="006567EE">
      <w:pPr>
        <w:pStyle w:val="ListParagraph"/>
        <w:numPr>
          <w:ilvl w:val="0"/>
          <w:numId w:val="2"/>
        </w:numPr>
        <w:spacing w:after="4"/>
      </w:pPr>
      <w:r>
        <w:t xml:space="preserve">Existing billing, complaint, meter, and customer systems remain operational and </w:t>
      </w:r>
      <w:r>
        <w:t xml:space="preserve">are </w:t>
      </w:r>
      <w:r>
        <w:t>connected through the</w:t>
      </w:r>
      <w:r>
        <w:t xml:space="preserve"> newly implemented</w:t>
      </w:r>
      <w:r>
        <w:t xml:space="preserve"> NorthFlow</w:t>
      </w:r>
      <w:r>
        <w:t xml:space="preserve"> </w:t>
      </w:r>
      <w:r>
        <w:t>translation layer</w:t>
      </w:r>
    </w:p>
    <w:p w14:paraId="2DE1D9EE" w14:textId="77777777" w:rsidR="006567EE" w:rsidRDefault="00000000" w:rsidP="006567EE">
      <w:pPr>
        <w:pStyle w:val="Heading2"/>
        <w:ind w:left="0" w:firstLine="0"/>
      </w:pPr>
      <w:r>
        <w:rPr>
          <w:rFonts w:eastAsia="Arial"/>
        </w:rPr>
        <w:t>Cost Assumptions</w:t>
      </w:r>
      <w:r>
        <w:t xml:space="preserve"> </w:t>
      </w:r>
    </w:p>
    <w:p w14:paraId="399F773B" w14:textId="4D28B62E" w:rsidR="00A954C2" w:rsidRDefault="00000000" w:rsidP="006567EE">
      <w:pPr>
        <w:ind w:left="0" w:firstLine="0"/>
      </w:pPr>
      <w:r>
        <w:t>Build and implementation cost of $510K. Operating cost of $13K/month ($156K/year). Total Year 1 Cost = $666K.</w:t>
      </w:r>
    </w:p>
    <w:p w14:paraId="75536C73" w14:textId="77777777" w:rsidR="006567EE" w:rsidRDefault="00000000" w:rsidP="006567EE">
      <w:pPr>
        <w:ind w:left="0" w:firstLine="0"/>
      </w:pPr>
      <w:r w:rsidRPr="006567EE">
        <w:rPr>
          <w:rStyle w:val="Heading2Char"/>
        </w:rPr>
        <w:t>Why Conservative?</w:t>
      </w:r>
      <w:r>
        <w:t xml:space="preserve"> </w:t>
      </w:r>
    </w:p>
    <w:p w14:paraId="5B0F533C" w14:textId="77777777" w:rsidR="006567EE" w:rsidRDefault="00000000" w:rsidP="006567EE">
      <w:pPr>
        <w:ind w:left="-5"/>
      </w:pPr>
      <w:r>
        <w:t>Rather than claiming the full $11.6M opportunity, this case assumes NorthFlow captures only 25% of identified inefficiencies, generating approximately $2.9M in annual benefit.</w:t>
      </w:r>
    </w:p>
    <w:p w14:paraId="0576187D" w14:textId="0DB45AE2" w:rsidR="006567EE" w:rsidRPr="006567EE" w:rsidRDefault="00000000" w:rsidP="006567EE">
      <w:pPr>
        <w:ind w:left="-5"/>
        <w:rPr>
          <w:rStyle w:val="Heading2Char"/>
          <w:rFonts w:ascii="Arial" w:eastAsia="Arial" w:hAnsi="Arial" w:cs="Arial"/>
          <w:color w:val="000000"/>
          <w:sz w:val="20"/>
          <w:szCs w:val="24"/>
        </w:rPr>
      </w:pPr>
      <w:r w:rsidRPr="006567EE">
        <w:rPr>
          <w:rStyle w:val="Heading2Char"/>
        </w:rPr>
        <w:t>Key Risks</w:t>
      </w:r>
    </w:p>
    <w:p w14:paraId="6D92DC7C" w14:textId="346E45BC" w:rsidR="00A954C2" w:rsidRPr="006567EE" w:rsidRDefault="00000000" w:rsidP="006567EE">
      <w:pPr>
        <w:spacing w:after="356" w:line="276" w:lineRule="auto"/>
        <w:ind w:left="-5"/>
        <w:rPr>
          <w:rFonts w:asciiTheme="majorHAnsi" w:eastAsiaTheme="majorEastAsia" w:hAnsiTheme="majorHAnsi" w:cstheme="majorBidi"/>
          <w:color w:val="0F4761" w:themeColor="accent1" w:themeShade="BF"/>
          <w:sz w:val="26"/>
          <w:szCs w:val="26"/>
        </w:rPr>
      </w:pPr>
      <w:r>
        <w:t>Adoption slower than expected, lower reduction in transfers/repeat calls, integration delays. Even below target realization, the largest value driver remains avoided regulatory penalties.</w:t>
      </w:r>
    </w:p>
    <w:p w14:paraId="3F997EC2" w14:textId="77777777" w:rsidR="006567EE" w:rsidRPr="006567EE" w:rsidRDefault="006567EE" w:rsidP="006567EE">
      <w:pPr>
        <w:pStyle w:val="Heading3"/>
        <w:rPr>
          <w:rFonts w:eastAsia="Arial"/>
        </w:rPr>
      </w:pPr>
      <w:r w:rsidRPr="006567EE">
        <w:rPr>
          <w:rFonts w:eastAsia="Arial"/>
        </w:rPr>
        <w:t>Financial Math</w:t>
      </w:r>
    </w:p>
    <w:p w14:paraId="7EA0A2F4" w14:textId="77777777" w:rsidR="006567EE" w:rsidRPr="006567EE" w:rsidRDefault="006567EE" w:rsidP="006567EE">
      <w:pPr>
        <w:pStyle w:val="Heading2"/>
        <w:rPr>
          <w:rFonts w:eastAsia="Arial"/>
          <w:sz w:val="20"/>
          <w:szCs w:val="20"/>
        </w:rPr>
      </w:pPr>
      <w:r w:rsidRPr="006567EE">
        <w:rPr>
          <w:rFonts w:eastAsia="Arial"/>
          <w:sz w:val="20"/>
          <w:szCs w:val="20"/>
        </w:rPr>
        <w:t>Identified Opportunity = $9.6M + $1.5M + $0.5M = $11.6M</w:t>
      </w:r>
    </w:p>
    <w:p w14:paraId="7398599B" w14:textId="77777777" w:rsidR="006567EE" w:rsidRPr="006567EE" w:rsidRDefault="006567EE" w:rsidP="006567EE">
      <w:pPr>
        <w:pStyle w:val="Heading2"/>
        <w:rPr>
          <w:rFonts w:eastAsia="Arial"/>
          <w:sz w:val="20"/>
          <w:szCs w:val="20"/>
        </w:rPr>
      </w:pPr>
      <w:r w:rsidRPr="006567EE">
        <w:rPr>
          <w:rFonts w:eastAsia="Arial"/>
          <w:sz w:val="20"/>
          <w:szCs w:val="20"/>
        </w:rPr>
        <w:t>Conservative Realization = $11.6M × 25% = $2.9M Annual Benefit</w:t>
      </w:r>
    </w:p>
    <w:p w14:paraId="36B28FF6" w14:textId="77777777" w:rsidR="006567EE" w:rsidRPr="006567EE" w:rsidRDefault="006567EE" w:rsidP="006567EE">
      <w:pPr>
        <w:pStyle w:val="Heading2"/>
        <w:rPr>
          <w:rFonts w:eastAsia="Arial"/>
          <w:sz w:val="20"/>
          <w:szCs w:val="20"/>
        </w:rPr>
      </w:pPr>
      <w:r w:rsidRPr="006567EE">
        <w:rPr>
          <w:rFonts w:eastAsia="Arial"/>
          <w:sz w:val="20"/>
          <w:szCs w:val="20"/>
        </w:rPr>
        <w:t>Year 1 Cost = $510K Build + ($13K × 12 months) Operations = $666K</w:t>
      </w:r>
    </w:p>
    <w:p w14:paraId="7B49A58F" w14:textId="77777777" w:rsidR="006567EE" w:rsidRPr="006567EE" w:rsidRDefault="006567EE" w:rsidP="006567EE">
      <w:pPr>
        <w:pStyle w:val="Heading2"/>
        <w:rPr>
          <w:rFonts w:eastAsia="Arial"/>
          <w:sz w:val="20"/>
          <w:szCs w:val="20"/>
        </w:rPr>
      </w:pPr>
      <w:r w:rsidRPr="006567EE">
        <w:rPr>
          <w:rFonts w:eastAsia="Arial"/>
          <w:sz w:val="20"/>
          <w:szCs w:val="20"/>
        </w:rPr>
        <w:t>Net Benefit = $2.9M - $666K = $2.234M</w:t>
      </w:r>
    </w:p>
    <w:p w14:paraId="53614CF1" w14:textId="77777777" w:rsidR="006567EE" w:rsidRPr="006567EE" w:rsidRDefault="006567EE" w:rsidP="006567EE">
      <w:pPr>
        <w:pStyle w:val="Heading2"/>
        <w:rPr>
          <w:rFonts w:eastAsia="Arial"/>
          <w:sz w:val="20"/>
          <w:szCs w:val="20"/>
        </w:rPr>
      </w:pPr>
      <w:r w:rsidRPr="006567EE">
        <w:rPr>
          <w:rFonts w:eastAsia="Arial"/>
          <w:sz w:val="20"/>
          <w:szCs w:val="20"/>
        </w:rPr>
        <w:t>ROI = ($2.234M ÷ $666K) × 100 = 335%</w:t>
      </w:r>
    </w:p>
    <w:p w14:paraId="2A8783D1" w14:textId="56D1AC44" w:rsidR="006567EE" w:rsidRPr="006567EE" w:rsidRDefault="006567EE" w:rsidP="006567EE">
      <w:pPr>
        <w:pStyle w:val="Heading2"/>
        <w:rPr>
          <w:rFonts w:eastAsia="Arial"/>
          <w:sz w:val="20"/>
          <w:szCs w:val="20"/>
        </w:rPr>
      </w:pPr>
      <w:r w:rsidRPr="006567EE">
        <w:rPr>
          <w:rFonts w:eastAsia="Arial"/>
          <w:sz w:val="20"/>
          <w:szCs w:val="20"/>
        </w:rPr>
        <w:t>Payback = $666K ÷ $2.9M = 0.23 years ≈ 2.8 months</w:t>
      </w:r>
    </w:p>
    <w:p w14:paraId="30129A42" w14:textId="77777777" w:rsidR="006567EE" w:rsidRDefault="006567EE" w:rsidP="006567EE"/>
    <w:p w14:paraId="31E6A0D1" w14:textId="77777777" w:rsidR="006567EE" w:rsidRDefault="006567EE" w:rsidP="006567EE"/>
    <w:p w14:paraId="36217B7B" w14:textId="7142CB8B" w:rsidR="00A954C2" w:rsidRDefault="00000000" w:rsidP="006567EE">
      <w:pPr>
        <w:pStyle w:val="Heading3"/>
        <w:ind w:left="0" w:firstLine="0"/>
      </w:pPr>
      <w:r>
        <w:rPr>
          <w:rFonts w:eastAsia="Arial"/>
        </w:rPr>
        <w:t>Sources</w:t>
      </w:r>
    </w:p>
    <w:p w14:paraId="3D8AEFE1" w14:textId="77777777" w:rsidR="00A954C2" w:rsidRDefault="00000000" w:rsidP="006567EE">
      <w:pPr>
        <w:pStyle w:val="Heading4"/>
      </w:pPr>
      <w:r>
        <w:t>Northwind unit costs: $2.4M quarterly regulatory penalty, $7.40 inbound call, transferred complaint costs. Enterprise software cost benchmarks indicate many enterprise platforms fall in the $250K-$2M+ range, making a $510K build estimate reasonable. Operating cost assumption: $13K/month production infrastructure and support. Web references used for validation: Low/Code Enterprise Software Development Cost Guide and Space-O Enterprise Software Development Cost Guide.</w:t>
      </w:r>
    </w:p>
    <w:p w14:paraId="7314E88C" w14:textId="77777777" w:rsidR="00064D35" w:rsidRPr="00064D35" w:rsidRDefault="00064D35" w:rsidP="006567EE">
      <w:pPr>
        <w:ind w:left="0" w:firstLine="0"/>
      </w:pPr>
    </w:p>
    <w:sectPr w:rsidR="00064D35" w:rsidRPr="00064D35">
      <w:pgSz w:w="11906" w:h="16838"/>
      <w:pgMar w:top="1400" w:right="723" w:bottom="1440" w:left="6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528578B"/>
    <w:multiLevelType w:val="hybridMultilevel"/>
    <w:tmpl w:val="511022BC"/>
    <w:lvl w:ilvl="0" w:tplc="3DF2FE24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3AD0CD7"/>
    <w:multiLevelType w:val="hybridMultilevel"/>
    <w:tmpl w:val="BFEEA78A"/>
    <w:lvl w:ilvl="0" w:tplc="89727FA8">
      <w:start w:val="2"/>
      <w:numFmt w:val="bullet"/>
      <w:lvlText w:val=""/>
      <w:lvlJc w:val="left"/>
      <w:pPr>
        <w:ind w:left="345" w:hanging="360"/>
      </w:pPr>
      <w:rPr>
        <w:rFonts w:ascii="Symbol" w:eastAsia="Arial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065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7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25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85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05" w:hanging="360"/>
      </w:pPr>
      <w:rPr>
        <w:rFonts w:ascii="Wingdings" w:hAnsi="Wingdings" w:hint="default"/>
      </w:rPr>
    </w:lvl>
  </w:abstractNum>
  <w:num w:numId="1" w16cid:durableId="1044134839">
    <w:abstractNumId w:val="0"/>
  </w:num>
  <w:num w:numId="2" w16cid:durableId="1409304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54C2"/>
    <w:rsid w:val="00064D35"/>
    <w:rsid w:val="00272672"/>
    <w:rsid w:val="006567EE"/>
    <w:rsid w:val="00A954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64ECC8A"/>
  <w15:docId w15:val="{702D26D0-A974-FB48-9999-0A3996403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16" w:line="255" w:lineRule="auto"/>
      <w:ind w:left="10" w:hanging="10"/>
    </w:pPr>
    <w:rPr>
      <w:rFonts w:ascii="Arial" w:eastAsia="Arial" w:hAnsi="Arial" w:cs="Arial"/>
      <w:color w:val="000000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064D3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64D3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64D3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567E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064D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064D35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064D35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table" w:styleId="TableGrid0">
    <w:name w:val="Table Grid"/>
    <w:basedOn w:val="TableNormal"/>
    <w:uiPriority w:val="39"/>
    <w:rsid w:val="00064D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064D35"/>
    <w:rPr>
      <w:rFonts w:asciiTheme="majorHAnsi" w:eastAsiaTheme="majorEastAsia" w:hAnsiTheme="majorHAnsi" w:cstheme="majorBidi"/>
      <w:color w:val="0A2F40" w:themeColor="accent1" w:themeShade="7F"/>
    </w:rPr>
  </w:style>
  <w:style w:type="character" w:customStyle="1" w:styleId="Heading4Char">
    <w:name w:val="Heading 4 Char"/>
    <w:basedOn w:val="DefaultParagraphFont"/>
    <w:link w:val="Heading4"/>
    <w:uiPriority w:val="9"/>
    <w:rsid w:val="006567EE"/>
    <w:rPr>
      <w:rFonts w:asciiTheme="majorHAnsi" w:eastAsiaTheme="majorEastAsia" w:hAnsiTheme="majorHAnsi" w:cstheme="majorBidi"/>
      <w:i/>
      <w:iCs/>
      <w:color w:val="0F4761" w:themeColor="accent1" w:themeShade="BF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320</Words>
  <Characters>1830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2146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Navrit Angurana</dc:creator>
  <cp:keywords/>
  <cp:lastModifiedBy>Navrit Angurana</cp:lastModifiedBy>
  <cp:revision>2</cp:revision>
  <dcterms:created xsi:type="dcterms:W3CDTF">2026-09-27T13:58:00Z</dcterms:created>
  <dcterms:modified xsi:type="dcterms:W3CDTF">2026-09-27T13:58:00Z</dcterms:modified>
</cp:coreProperties>
</file>