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3C7911D7" w:rsidR="008E28A5" w:rsidRPr="006E4958" w:rsidRDefault="00DD1129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093FEF6F" w:rsidR="008E28A5" w:rsidRPr="006E4958" w:rsidRDefault="00DD1129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Testov Test Testin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2A333A7B" w:rsidR="006E4958" w:rsidRPr="00AC1598" w:rsidRDefault="00DD1129" w:rsidP="006E4958">
      <w:pPr>
        <w:jc w:val="right"/>
      </w:pPr>
      <w:r>
        <w:t>«22» ноября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3621E20E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DD1129"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29F81DCD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129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17E04918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DD112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Testov Test Testin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253FEB21" w14:textId="77777777" w:rsidR="00DD1129" w:rsidRDefault="00DD1129" w:rsidP="003861C9">
            <w:pPr>
              <w:rPr>
                <w:lang w:val="en-US"/>
              </w:rPr>
            </w:pPr>
            <w:r>
              <w:rPr>
                <w:lang w:val="en-US"/>
              </w:rPr>
              <w:t>BMW X5 turbo</w:t>
            </w:r>
          </w:p>
          <w:p w14:paraId="2371959B" w14:textId="779EE18E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542715BA" w14:textId="77777777" w:rsidR="00DD1129" w:rsidRDefault="00DD1129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9836000 рублей</w:t>
            </w:r>
          </w:p>
          <w:p w14:paraId="57851587" w14:textId="202C0777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2087D20A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DD1129">
        <w:rPr>
          <w:rFonts w:eastAsia="Arial"/>
          <w:color w:val="000000"/>
        </w:rPr>
        <w:t>1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464FDC30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DD1129">
        <w:rPr>
          <w:rFonts w:eastAsia="Arial"/>
          <w:color w:val="000000"/>
        </w:rPr>
        <w:t>9836000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47256B42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DD1129">
        <w:rPr>
          <w:u w:val="single"/>
        </w:rPr>
        <w:t>Полный расчет</w:t>
      </w:r>
    </w:p>
    <w:p w14:paraId="7CB6BAE2" w14:textId="4F842E8A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DD1129">
        <w:rPr>
          <w:u w:val="single"/>
        </w:rPr>
        <w:t>9836000</w:t>
      </w:r>
    </w:p>
    <w:p w14:paraId="092C5D5A" w14:textId="2469A943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DD1129">
        <w:rPr>
          <w:u w:val="single"/>
        </w:rPr>
        <w:t>--------- Месяцев</w:t>
      </w:r>
    </w:p>
    <w:p w14:paraId="0605F2E2" w14:textId="0661F920" w:rsidR="00AC1598" w:rsidRPr="009C1842" w:rsidRDefault="000E103D" w:rsidP="00AC1598">
      <w:r w:rsidRPr="00B8646E">
        <w:t>Ежемесячный взнос:__</w:t>
      </w:r>
      <w:r w:rsidR="00DD1129">
        <w:rPr>
          <w:u w:val="single"/>
        </w:rPr>
        <w:t>-------------- рублей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3141923E" w:rsidR="00E10509" w:rsidRPr="00495BAF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DD1129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495BAF"/>
    <w:rsid w:val="005744EF"/>
    <w:rsid w:val="006E4958"/>
    <w:rsid w:val="00793022"/>
    <w:rsid w:val="007A1748"/>
    <w:rsid w:val="008E28A5"/>
    <w:rsid w:val="009C1842"/>
    <w:rsid w:val="009E376E"/>
    <w:rsid w:val="00A4209F"/>
    <w:rsid w:val="00AC1598"/>
    <w:rsid w:val="00AF1056"/>
    <w:rsid w:val="00B61545"/>
    <w:rsid w:val="00B7787B"/>
    <w:rsid w:val="00B8646E"/>
    <w:rsid w:val="00BD27CF"/>
    <w:rsid w:val="00CE36A0"/>
    <w:rsid w:val="00DC0F03"/>
    <w:rsid w:val="00DD1129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ООО "Издательство "Главная Книга"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2021-11-22T14:31:00Z</dcterms:created>
  <dcterms:modified xsi:type="dcterms:W3CDTF">2021-11-22T14:31:00Z</dcterms:modified>
</cp:coreProperties>
</file>