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52D9D" w14:textId="1BB37FAC" w:rsidR="00C86545" w:rsidRPr="009C3985" w:rsidRDefault="00C86545" w:rsidP="00C86545">
      <w:pPr>
        <w:jc w:val="center"/>
        <w:rPr>
          <w:b/>
          <w:bCs/>
          <w:sz w:val="40"/>
          <w:szCs w:val="40"/>
          <w:u w:val="single"/>
        </w:rPr>
      </w:pPr>
      <w:r w:rsidRPr="009C3985">
        <w:rPr>
          <w:b/>
          <w:bCs/>
          <w:noProof/>
        </w:rPr>
        <mc:AlternateContent>
          <mc:Choice Requires="wps">
            <w:drawing>
              <wp:anchor distT="0" distB="0" distL="114300" distR="114300" simplePos="0" relativeHeight="251660288" behindDoc="0" locked="0" layoutInCell="1" allowOverlap="1" wp14:anchorId="78AC6149" wp14:editId="081D2509">
                <wp:simplePos x="0" y="0"/>
                <wp:positionH relativeFrom="column">
                  <wp:posOffset>4274127</wp:posOffset>
                </wp:positionH>
                <wp:positionV relativeFrom="paragraph">
                  <wp:posOffset>-685800</wp:posOffset>
                </wp:positionV>
                <wp:extent cx="2153863" cy="1075517"/>
                <wp:effectExtent l="0" t="0" r="18415" b="10795"/>
                <wp:wrapNone/>
                <wp:docPr id="1246044614" name="Text Box 2"/>
                <wp:cNvGraphicFramePr/>
                <a:graphic xmlns:a="http://schemas.openxmlformats.org/drawingml/2006/main">
                  <a:graphicData uri="http://schemas.microsoft.com/office/word/2010/wordprocessingShape">
                    <wps:wsp>
                      <wps:cNvSpPr txBox="1"/>
                      <wps:spPr>
                        <a:xfrm>
                          <a:off x="0" y="0"/>
                          <a:ext cx="2153863" cy="1075517"/>
                        </a:xfrm>
                        <a:prstGeom prst="rect">
                          <a:avLst/>
                        </a:prstGeom>
                        <a:solidFill>
                          <a:schemeClr val="lt1"/>
                        </a:solidFill>
                        <a:ln w="6350">
                          <a:solidFill>
                            <a:schemeClr val="bg1"/>
                          </a:solidFill>
                        </a:ln>
                      </wps:spPr>
                      <wps:txbx>
                        <w:txbxContent>
                          <w:p w14:paraId="16D6EB31" w14:textId="77777777" w:rsidR="00C86545" w:rsidRDefault="00C86545" w:rsidP="00C86545">
                            <w:r>
                              <w:rPr>
                                <w:noProof/>
                              </w:rPr>
                              <w:drawing>
                                <wp:inline distT="0" distB="0" distL="0" distR="0" wp14:anchorId="5905A58F" wp14:editId="48AD538A">
                                  <wp:extent cx="1957705" cy="978567"/>
                                  <wp:effectExtent l="0" t="0" r="4445" b="0"/>
                                  <wp:docPr id="130060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57705" cy="97856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AC6149" id="_x0000_t202" coordsize="21600,21600" o:spt="202" path="m,l,21600r21600,l21600,xe">
                <v:stroke joinstyle="miter"/>
                <v:path gradientshapeok="t" o:connecttype="rect"/>
              </v:shapetype>
              <v:shape id="Text Box 2" o:spid="_x0000_s1026" type="#_x0000_t202" style="position:absolute;left:0;text-align:left;margin-left:336.55pt;margin-top:-54pt;width:169.6pt;height:84.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" fillcolor="white [3201]" strokecolor="white [3212]" strokeweight=".5pt">
                <v:textbox>
                  <w:txbxContent>
                    <w:p w14:paraId="16D6EB31" w14:textId="77777777" w:rsidR="00C86545" w:rsidRDefault="00C86545" w:rsidP="00C86545">
                      <w:r>
                        <w:rPr>
                          <w:noProof/>
                        </w:rPr>
                        <w:drawing>
                          <wp:inline distT="0" distB="0" distL="0" distR="0" wp14:anchorId="5905A58F" wp14:editId="48AD538A">
                            <wp:extent cx="1957705" cy="978567"/>
                            <wp:effectExtent l="0" t="0" r="4445" b="0"/>
                            <wp:docPr id="130060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57705" cy="978567"/>
                                    </a:xfrm>
                                    <a:prstGeom prst="rect">
                                      <a:avLst/>
                                    </a:prstGeom>
                                    <a:noFill/>
                                    <a:ln>
                                      <a:noFill/>
                                    </a:ln>
                                  </pic:spPr>
                                </pic:pic>
                              </a:graphicData>
                            </a:graphic>
                          </wp:inline>
                        </w:drawing>
                      </w:r>
                    </w:p>
                  </w:txbxContent>
                </v:textbox>
              </v:shape>
            </w:pict>
          </mc:Fallback>
        </mc:AlternateContent>
      </w:r>
      <w:r w:rsidRPr="009C3985">
        <w:rPr>
          <w:b/>
          <w:bCs/>
          <w:noProof/>
        </w:rPr>
        <mc:AlternateContent>
          <mc:Choice Requires="wps">
            <w:drawing>
              <wp:anchor distT="0" distB="0" distL="114300" distR="114300" simplePos="0" relativeHeight="251659264" behindDoc="0" locked="0" layoutInCell="1" allowOverlap="1" wp14:anchorId="612272F4" wp14:editId="01A0ECB0">
                <wp:simplePos x="0" y="0"/>
                <wp:positionH relativeFrom="column">
                  <wp:posOffset>-651164</wp:posOffset>
                </wp:positionH>
                <wp:positionV relativeFrom="paragraph">
                  <wp:posOffset>-637309</wp:posOffset>
                </wp:positionV>
                <wp:extent cx="2133600" cy="1212273"/>
                <wp:effectExtent l="0" t="0" r="19050" b="26035"/>
                <wp:wrapNone/>
                <wp:docPr id="1858331218" name="Text Box 2"/>
                <wp:cNvGraphicFramePr/>
                <a:graphic xmlns:a="http://schemas.openxmlformats.org/drawingml/2006/main">
                  <a:graphicData uri="http://schemas.microsoft.com/office/word/2010/wordprocessingShape">
                    <wps:wsp>
                      <wps:cNvSpPr txBox="1"/>
                      <wps:spPr>
                        <a:xfrm>
                          <a:off x="0" y="0"/>
                          <a:ext cx="2133600" cy="1212273"/>
                        </a:xfrm>
                        <a:prstGeom prst="rect">
                          <a:avLst/>
                        </a:prstGeom>
                        <a:solidFill>
                          <a:schemeClr val="lt1"/>
                        </a:solidFill>
                        <a:ln w="6350">
                          <a:solidFill>
                            <a:schemeClr val="bg1"/>
                          </a:solidFill>
                        </a:ln>
                      </wps:spPr>
                      <wps:txbx>
                        <w:txbxContent>
                          <w:p w14:paraId="3C6AA0E3" w14:textId="77777777" w:rsidR="00C86545" w:rsidRDefault="00C86545" w:rsidP="00C86545">
                            <w:r>
                              <w:rPr>
                                <w:noProof/>
                              </w:rPr>
                              <w:drawing>
                                <wp:inline distT="0" distB="0" distL="0" distR="0" wp14:anchorId="75D6FFEE" wp14:editId="54254858">
                                  <wp:extent cx="1957705" cy="978567"/>
                                  <wp:effectExtent l="0" t="0" r="4445" b="0"/>
                                  <wp:docPr id="183186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57705" cy="97856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2272F4" id="_x0000_s1027" type="#_x0000_t202" style="position:absolute;left:0;text-align:left;margin-left:-51.25pt;margin-top:-50.2pt;width:168pt;height:95.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" fillcolor="white [3201]" strokecolor="white [3212]" strokeweight=".5pt">
                <v:textbox>
                  <w:txbxContent>
                    <w:p w14:paraId="3C6AA0E3" w14:textId="77777777" w:rsidR="00C86545" w:rsidRDefault="00C86545" w:rsidP="00C86545">
                      <w:r>
                        <w:rPr>
                          <w:noProof/>
                        </w:rPr>
                        <w:drawing>
                          <wp:inline distT="0" distB="0" distL="0" distR="0" wp14:anchorId="75D6FFEE" wp14:editId="54254858">
                            <wp:extent cx="1957705" cy="978567"/>
                            <wp:effectExtent l="0" t="0" r="4445" b="0"/>
                            <wp:docPr id="183186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57705" cy="978567"/>
                                    </a:xfrm>
                                    <a:prstGeom prst="rect">
                                      <a:avLst/>
                                    </a:prstGeom>
                                    <a:noFill/>
                                    <a:ln>
                                      <a:noFill/>
                                    </a:ln>
                                  </pic:spPr>
                                </pic:pic>
                              </a:graphicData>
                            </a:graphic>
                          </wp:inline>
                        </w:drawing>
                      </w:r>
                    </w:p>
                  </w:txbxContent>
                </v:textbox>
              </v:shape>
            </w:pict>
          </mc:Fallback>
        </mc:AlternateContent>
      </w:r>
      <w:r w:rsidRPr="009C3985">
        <w:rPr>
          <w:b/>
          <w:bCs/>
          <w:sz w:val="40"/>
          <w:szCs w:val="40"/>
          <w:u w:val="single"/>
        </w:rPr>
        <w:t xml:space="preserve">Day </w:t>
      </w:r>
      <w:r>
        <w:rPr>
          <w:b/>
          <w:bCs/>
          <w:sz w:val="40"/>
          <w:szCs w:val="40"/>
          <w:u w:val="single"/>
        </w:rPr>
        <w:t>4</w:t>
      </w:r>
      <w:r>
        <w:rPr>
          <w:b/>
          <w:bCs/>
          <w:sz w:val="40"/>
          <w:szCs w:val="40"/>
          <w:u w:val="single"/>
        </w:rPr>
        <w:t>7</w:t>
      </w:r>
    </w:p>
    <w:p w14:paraId="1FC3AB1E" w14:textId="77777777" w:rsidR="00C86545" w:rsidRPr="009C3985" w:rsidRDefault="00C86545" w:rsidP="00C86545">
      <w:pPr>
        <w:jc w:val="center"/>
        <w:rPr>
          <w:b/>
          <w:bCs/>
          <w:sz w:val="40"/>
          <w:szCs w:val="40"/>
          <w:u w:val="single"/>
        </w:rPr>
      </w:pPr>
      <w:r w:rsidRPr="009C3985">
        <w:rPr>
          <w:b/>
          <w:bCs/>
          <w:sz w:val="40"/>
          <w:szCs w:val="40"/>
          <w:u w:val="single"/>
        </w:rPr>
        <w:t>“CLOUD SECURITY”</w:t>
      </w:r>
    </w:p>
    <w:p w14:paraId="7B9C0272" w14:textId="29C32508" w:rsidR="00D839F5" w:rsidRDefault="00AB3A2C">
      <w:pPr>
        <w:rPr>
          <w:b/>
          <w:bCs/>
          <w:u w:val="single"/>
        </w:rPr>
      </w:pPr>
      <w:r>
        <w:rPr>
          <w:b/>
          <w:bCs/>
          <w:u w:val="single"/>
        </w:rPr>
        <w:t>What is Cloud Operation?</w:t>
      </w:r>
    </w:p>
    <w:p w14:paraId="610CB640" w14:textId="07438834" w:rsidR="00AB3A2C" w:rsidRDefault="00AB3A2C" w:rsidP="00AB3A2C">
      <w:pPr>
        <w:jc w:val="both"/>
      </w:pPr>
      <w:r w:rsidRPr="00AB3A2C">
        <w:t>Cloud Operations refers to the process of efficiently running, managing, and delivering cloud infrastructure and services to ensure high performance, availability, security, compliance, and cost-effectiveness. It involves monitoring resources, maintaining configurations, automating management tasks, ensuring disaster recovery, and meeting service-level agreements while optimizing performance and capacity for users.</w:t>
      </w:r>
    </w:p>
    <w:p w14:paraId="3D457425" w14:textId="604D5632" w:rsidR="00AB3A2C" w:rsidRPr="00AB3A2C" w:rsidRDefault="00AB3A2C" w:rsidP="00AB3A2C">
      <w:pPr>
        <w:jc w:val="both"/>
        <w:rPr>
          <w:b/>
          <w:bCs/>
          <w:u w:val="single"/>
        </w:rPr>
      </w:pPr>
      <w:r w:rsidRPr="00AB3A2C">
        <w:rPr>
          <w:b/>
          <w:bCs/>
          <w:u w:val="single"/>
        </w:rPr>
        <w:t>What is Cloud Operation Security?</w:t>
      </w:r>
    </w:p>
    <w:p w14:paraId="1DDA8338" w14:textId="7022B6A3" w:rsidR="00AB3A2C" w:rsidRDefault="00AB3A2C" w:rsidP="00AB3A2C">
      <w:pPr>
        <w:jc w:val="both"/>
      </w:pPr>
      <w:r w:rsidRPr="00AB3A2C">
        <w:t>Cloud Operation Security focuses on protecting data, networks, and applications in cloud environments, which differ from traditional on-premises setups. It involves using tools, protocols, and agreements between providers and consumers to ensure availability (uptime), integrity (authorized changes), and confidentiality (preventing unauthorized access). Key practices include monitoring logs, isolating resources, securing records, and continuous service improvements to mitigate threats and maintain compliance.</w:t>
      </w:r>
    </w:p>
    <w:p w14:paraId="695F89FC" w14:textId="794AB0BE" w:rsidR="00AB3A2C" w:rsidRPr="00AB3A2C" w:rsidRDefault="00AB3A2C" w:rsidP="00AB3A2C">
      <w:pPr>
        <w:jc w:val="both"/>
        <w:rPr>
          <w:b/>
          <w:bCs/>
          <w:u w:val="single"/>
        </w:rPr>
      </w:pPr>
      <w:r w:rsidRPr="00AB3A2C">
        <w:rPr>
          <w:b/>
          <w:bCs/>
          <w:u w:val="single"/>
        </w:rPr>
        <w:t>Fundamentals/Strategies to Secure Cloud Operations:</w:t>
      </w:r>
    </w:p>
    <w:p w14:paraId="58DEBA4F" w14:textId="03DF7509" w:rsidR="00AB3A2C" w:rsidRPr="00AB3A2C" w:rsidRDefault="00AB3A2C" w:rsidP="00AB3A2C">
      <w:pPr>
        <w:pStyle w:val="ListParagraph"/>
        <w:numPr>
          <w:ilvl w:val="0"/>
          <w:numId w:val="4"/>
        </w:numPr>
        <w:jc w:val="both"/>
      </w:pPr>
      <w:r w:rsidRPr="00AB3A2C">
        <w:t>Encrypt sensitive data</w:t>
      </w:r>
    </w:p>
    <w:p w14:paraId="739E4023" w14:textId="2A9FE687" w:rsidR="00AB3A2C" w:rsidRPr="00AB3A2C" w:rsidRDefault="00AB3A2C" w:rsidP="00AB3A2C">
      <w:pPr>
        <w:pStyle w:val="ListParagraph"/>
        <w:numPr>
          <w:ilvl w:val="0"/>
          <w:numId w:val="4"/>
        </w:numPr>
        <w:jc w:val="both"/>
      </w:pPr>
      <w:r w:rsidRPr="00AB3A2C">
        <w:t>Enforce improvements across the lifecycle of operations</w:t>
      </w:r>
    </w:p>
    <w:p w14:paraId="190F7DF2" w14:textId="1D5C9A79" w:rsidR="00AB3A2C" w:rsidRPr="00AB3A2C" w:rsidRDefault="00AB3A2C" w:rsidP="00AB3A2C">
      <w:pPr>
        <w:pStyle w:val="ListParagraph"/>
        <w:numPr>
          <w:ilvl w:val="0"/>
          <w:numId w:val="4"/>
        </w:numPr>
        <w:jc w:val="both"/>
      </w:pPr>
      <w:r w:rsidRPr="00AB3A2C">
        <w:t>Control access to cloud configuration and management tools</w:t>
      </w:r>
    </w:p>
    <w:p w14:paraId="025F70E1" w14:textId="6ABF8E72" w:rsidR="00AB3A2C" w:rsidRPr="00AB3A2C" w:rsidRDefault="00AB3A2C" w:rsidP="00AB3A2C">
      <w:pPr>
        <w:pStyle w:val="ListParagraph"/>
        <w:numPr>
          <w:ilvl w:val="0"/>
          <w:numId w:val="4"/>
        </w:numPr>
        <w:jc w:val="both"/>
      </w:pPr>
      <w:r w:rsidRPr="00AB3A2C">
        <w:t>Use automation to reduce human errors due to misconfigurations</w:t>
      </w:r>
    </w:p>
    <w:p w14:paraId="227A118D" w14:textId="7D8C5C6B" w:rsidR="00AB3A2C" w:rsidRPr="00AB3A2C" w:rsidRDefault="00AB3A2C" w:rsidP="00AB3A2C">
      <w:pPr>
        <w:pStyle w:val="ListParagraph"/>
        <w:numPr>
          <w:ilvl w:val="0"/>
          <w:numId w:val="4"/>
        </w:numPr>
        <w:jc w:val="both"/>
      </w:pPr>
      <w:r w:rsidRPr="00AB3A2C">
        <w:t>Monitor ephemeral and new types of cloud assets via visibility and vulnerability management</w:t>
      </w:r>
    </w:p>
    <w:p w14:paraId="7A05778B" w14:textId="6A32E385" w:rsidR="00AB3A2C" w:rsidRPr="00864E8B" w:rsidRDefault="00864E8B" w:rsidP="00AB3A2C">
      <w:pPr>
        <w:jc w:val="both"/>
        <w:rPr>
          <w:b/>
          <w:bCs/>
          <w:u w:val="single"/>
        </w:rPr>
      </w:pPr>
      <w:r w:rsidRPr="00864E8B">
        <w:rPr>
          <w:b/>
          <w:bCs/>
          <w:u w:val="single"/>
        </w:rPr>
        <w:t>Virtualization Management tool:</w:t>
      </w:r>
    </w:p>
    <w:p w14:paraId="261C7D59" w14:textId="0B843AD0" w:rsidR="00864E8B" w:rsidRDefault="00864E8B" w:rsidP="00AB3A2C">
      <w:pPr>
        <w:jc w:val="both"/>
      </w:pPr>
      <w:r w:rsidRPr="00864E8B">
        <w:t>A Virtualization Management Tool is software that helps manage cloud virtual environments by integrating the virtual layer with underlying physical hardware. It allows organizations to efficiently administer cloud resources, including managing processor and memory allocations to virtual machines (VMs), ensuring smooth cloud operations.</w:t>
      </w:r>
    </w:p>
    <w:p w14:paraId="3E0FC26D" w14:textId="5CE09BEF" w:rsidR="00864E8B" w:rsidRPr="00864E8B" w:rsidRDefault="00864E8B" w:rsidP="00864E8B">
      <w:pPr>
        <w:jc w:val="both"/>
        <w:rPr>
          <w:u w:val="single"/>
        </w:rPr>
      </w:pPr>
      <w:r w:rsidRPr="00864E8B">
        <w:rPr>
          <w:b/>
          <w:bCs/>
          <w:u w:val="single"/>
        </w:rPr>
        <w:t>Best Practices for Secure Configuration of Virtualization Management Tools</w:t>
      </w:r>
      <w:r w:rsidRPr="00864E8B">
        <w:rPr>
          <w:u w:val="single"/>
        </w:rPr>
        <w:t>:</w:t>
      </w:r>
    </w:p>
    <w:p w14:paraId="7DA2AEFA" w14:textId="77777777" w:rsidR="00864E8B" w:rsidRPr="00864E8B" w:rsidRDefault="00864E8B" w:rsidP="00864E8B">
      <w:pPr>
        <w:pStyle w:val="ListParagraph"/>
        <w:numPr>
          <w:ilvl w:val="0"/>
          <w:numId w:val="7"/>
        </w:numPr>
        <w:jc w:val="both"/>
      </w:pPr>
      <w:r w:rsidRPr="00864E8B">
        <w:t>Ensure all management takes place on an isolated management network</w:t>
      </w:r>
    </w:p>
    <w:p w14:paraId="651FB5CA" w14:textId="77777777" w:rsidR="00864E8B" w:rsidRPr="00864E8B" w:rsidRDefault="00864E8B" w:rsidP="00864E8B">
      <w:pPr>
        <w:pStyle w:val="ListParagraph"/>
        <w:numPr>
          <w:ilvl w:val="0"/>
          <w:numId w:val="7"/>
        </w:numPr>
        <w:jc w:val="both"/>
      </w:pPr>
      <w:r w:rsidRPr="00864E8B">
        <w:t>Install management tools on the host based on the virtualization platform</w:t>
      </w:r>
    </w:p>
    <w:p w14:paraId="0C8DE1B9" w14:textId="77777777" w:rsidR="00864E8B" w:rsidRPr="00864E8B" w:rsidRDefault="00864E8B" w:rsidP="00864E8B">
      <w:pPr>
        <w:pStyle w:val="ListParagraph"/>
        <w:numPr>
          <w:ilvl w:val="0"/>
          <w:numId w:val="7"/>
        </w:numPr>
        <w:jc w:val="both"/>
      </w:pPr>
      <w:r w:rsidRPr="00864E8B">
        <w:t>Install the latest tool on every host</w:t>
      </w:r>
    </w:p>
    <w:p w14:paraId="3A1939CB" w14:textId="77777777" w:rsidR="00864E8B" w:rsidRPr="00864E8B" w:rsidRDefault="00864E8B" w:rsidP="00864E8B">
      <w:pPr>
        <w:pStyle w:val="ListParagraph"/>
        <w:numPr>
          <w:ilvl w:val="0"/>
          <w:numId w:val="7"/>
        </w:numPr>
        <w:jc w:val="both"/>
      </w:pPr>
      <w:r w:rsidRPr="00864E8B">
        <w:t>Ensure the configuration management plan includes rules for updating tools</w:t>
      </w:r>
    </w:p>
    <w:p w14:paraId="74CAF470" w14:textId="77777777" w:rsidR="00864E8B" w:rsidRPr="00864E8B" w:rsidRDefault="00864E8B" w:rsidP="00864E8B">
      <w:pPr>
        <w:pStyle w:val="ListParagraph"/>
        <w:numPr>
          <w:ilvl w:val="0"/>
          <w:numId w:val="7"/>
        </w:numPr>
        <w:jc w:val="both"/>
      </w:pPr>
      <w:r w:rsidRPr="00864E8B">
        <w:t>Deploy sufficient server resources for VM movement during platform/tool updates</w:t>
      </w:r>
    </w:p>
    <w:p w14:paraId="291068C5" w14:textId="77777777" w:rsidR="00864E8B" w:rsidRPr="00864E8B" w:rsidRDefault="00864E8B" w:rsidP="00864E8B">
      <w:pPr>
        <w:pStyle w:val="ListParagraph"/>
        <w:numPr>
          <w:ilvl w:val="0"/>
          <w:numId w:val="7"/>
        </w:numPr>
        <w:jc w:val="both"/>
      </w:pPr>
      <w:r w:rsidRPr="00864E8B">
        <w:t>Conduct external vulnerability testing of the tools</w:t>
      </w:r>
    </w:p>
    <w:p w14:paraId="75901F9C" w14:textId="77777777" w:rsidR="00864E8B" w:rsidRPr="00864E8B" w:rsidRDefault="00864E8B" w:rsidP="00864E8B">
      <w:pPr>
        <w:pStyle w:val="ListParagraph"/>
        <w:numPr>
          <w:ilvl w:val="0"/>
          <w:numId w:val="7"/>
        </w:numPr>
        <w:jc w:val="both"/>
      </w:pPr>
      <w:r w:rsidRPr="00864E8B">
        <w:t>Follow vendor-provided security guidance for configuring and deploying tools</w:t>
      </w:r>
    </w:p>
    <w:p w14:paraId="35199FE7" w14:textId="77777777" w:rsidR="00864E8B" w:rsidRPr="00864E8B" w:rsidRDefault="00864E8B" w:rsidP="00864E8B">
      <w:pPr>
        <w:pStyle w:val="ListParagraph"/>
        <w:numPr>
          <w:ilvl w:val="0"/>
          <w:numId w:val="7"/>
        </w:numPr>
        <w:jc w:val="both"/>
      </w:pPr>
      <w:r w:rsidRPr="00864E8B">
        <w:t>Implement role-based access to management tools</w:t>
      </w:r>
    </w:p>
    <w:p w14:paraId="3318410D" w14:textId="77777777" w:rsidR="00864E8B" w:rsidRPr="00864E8B" w:rsidRDefault="00864E8B" w:rsidP="00864E8B">
      <w:pPr>
        <w:pStyle w:val="ListParagraph"/>
        <w:numPr>
          <w:ilvl w:val="0"/>
          <w:numId w:val="7"/>
        </w:numPr>
        <w:jc w:val="both"/>
      </w:pPr>
      <w:r w:rsidRPr="00864E8B">
        <w:t>Audit and log management tools</w:t>
      </w:r>
    </w:p>
    <w:p w14:paraId="44846B49" w14:textId="77777777" w:rsidR="00864E8B" w:rsidRPr="00864E8B" w:rsidRDefault="00864E8B" w:rsidP="00864E8B">
      <w:pPr>
        <w:pStyle w:val="ListParagraph"/>
        <w:numPr>
          <w:ilvl w:val="0"/>
          <w:numId w:val="7"/>
        </w:numPr>
        <w:jc w:val="both"/>
      </w:pPr>
      <w:r w:rsidRPr="00864E8B">
        <w:t>Understand the vendor’s management tools and install/configure them securely based on system configuration</w:t>
      </w:r>
    </w:p>
    <w:p w14:paraId="3B9C1ED3" w14:textId="7A96359A" w:rsidR="00864E8B" w:rsidRDefault="00872511" w:rsidP="00AB3A2C">
      <w:pPr>
        <w:jc w:val="both"/>
      </w:pPr>
      <w:r>
        <w:lastRenderedPageBreak/>
        <w:t>DHCP Options Set in AWS:</w:t>
      </w:r>
    </w:p>
    <w:p w14:paraId="03785612" w14:textId="38F93770" w:rsidR="00872511" w:rsidRDefault="00872511" w:rsidP="00AB3A2C">
      <w:pPr>
        <w:jc w:val="both"/>
      </w:pPr>
      <w:r>
        <w:t>Steps:</w:t>
      </w:r>
    </w:p>
    <w:p w14:paraId="1C915D38" w14:textId="170FFCA4" w:rsidR="00872511" w:rsidRDefault="00872511" w:rsidP="00AB3A2C">
      <w:pPr>
        <w:jc w:val="both"/>
      </w:pPr>
      <w:r>
        <w:t>Look for VPC:</w:t>
      </w:r>
    </w:p>
    <w:p w14:paraId="6F3D94EA" w14:textId="05D5D088" w:rsidR="00872511" w:rsidRDefault="00872511" w:rsidP="00AB3A2C">
      <w:pPr>
        <w:jc w:val="both"/>
      </w:pPr>
      <w:r w:rsidRPr="00872511">
        <w:drawing>
          <wp:inline distT="0" distB="0" distL="0" distR="0" wp14:anchorId="76ADADF2" wp14:editId="5EB7EC01">
            <wp:extent cx="5731510" cy="2049145"/>
            <wp:effectExtent l="0" t="0" r="2540" b="8255"/>
            <wp:docPr id="94854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43918" name=""/>
                    <pic:cNvPicPr/>
                  </pic:nvPicPr>
                  <pic:blipFill>
                    <a:blip r:embed="rId6"/>
                    <a:stretch>
                      <a:fillRect/>
                    </a:stretch>
                  </pic:blipFill>
                  <pic:spPr>
                    <a:xfrm>
                      <a:off x="0" y="0"/>
                      <a:ext cx="5731510" cy="2049145"/>
                    </a:xfrm>
                    <a:prstGeom prst="rect">
                      <a:avLst/>
                    </a:prstGeom>
                  </pic:spPr>
                </pic:pic>
              </a:graphicData>
            </a:graphic>
          </wp:inline>
        </w:drawing>
      </w:r>
    </w:p>
    <w:p w14:paraId="050C19A2" w14:textId="047E0B14" w:rsidR="00872511" w:rsidRDefault="00872511" w:rsidP="00AB3A2C">
      <w:pPr>
        <w:jc w:val="both"/>
      </w:pPr>
      <w:r>
        <w:t>Look for “your VPC”:</w:t>
      </w:r>
    </w:p>
    <w:p w14:paraId="1069C029" w14:textId="436F042A" w:rsidR="00872511" w:rsidRDefault="00872511" w:rsidP="00AB3A2C">
      <w:pPr>
        <w:jc w:val="both"/>
      </w:pPr>
      <w:r w:rsidRPr="00872511">
        <w:drawing>
          <wp:inline distT="0" distB="0" distL="0" distR="0" wp14:anchorId="14FF88EA" wp14:editId="5420995C">
            <wp:extent cx="5731510" cy="2573020"/>
            <wp:effectExtent l="0" t="0" r="2540" b="0"/>
            <wp:docPr id="163111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11834" name=""/>
                    <pic:cNvPicPr/>
                  </pic:nvPicPr>
                  <pic:blipFill>
                    <a:blip r:embed="rId7"/>
                    <a:stretch>
                      <a:fillRect/>
                    </a:stretch>
                  </pic:blipFill>
                  <pic:spPr>
                    <a:xfrm>
                      <a:off x="0" y="0"/>
                      <a:ext cx="5731510" cy="2573020"/>
                    </a:xfrm>
                    <a:prstGeom prst="rect">
                      <a:avLst/>
                    </a:prstGeom>
                  </pic:spPr>
                </pic:pic>
              </a:graphicData>
            </a:graphic>
          </wp:inline>
        </w:drawing>
      </w:r>
    </w:p>
    <w:p w14:paraId="2EDEA85A" w14:textId="35D51B4F" w:rsidR="00872511" w:rsidRDefault="00872511" w:rsidP="00AB3A2C">
      <w:pPr>
        <w:jc w:val="both"/>
      </w:pPr>
      <w:r>
        <w:t>Open the VPC:</w:t>
      </w:r>
    </w:p>
    <w:p w14:paraId="5C3B3A23" w14:textId="1F1B4DE4" w:rsidR="00872511" w:rsidRDefault="00872511" w:rsidP="00AB3A2C">
      <w:pPr>
        <w:jc w:val="both"/>
      </w:pPr>
      <w:r w:rsidRPr="00872511">
        <w:drawing>
          <wp:inline distT="0" distB="0" distL="0" distR="0" wp14:anchorId="7587F87F" wp14:editId="4DC811DD">
            <wp:extent cx="5731510" cy="2541270"/>
            <wp:effectExtent l="0" t="0" r="2540" b="0"/>
            <wp:docPr id="31257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72093" name=""/>
                    <pic:cNvPicPr/>
                  </pic:nvPicPr>
                  <pic:blipFill>
                    <a:blip r:embed="rId8"/>
                    <a:stretch>
                      <a:fillRect/>
                    </a:stretch>
                  </pic:blipFill>
                  <pic:spPr>
                    <a:xfrm>
                      <a:off x="0" y="0"/>
                      <a:ext cx="5731510" cy="2541270"/>
                    </a:xfrm>
                    <a:prstGeom prst="rect">
                      <a:avLst/>
                    </a:prstGeom>
                  </pic:spPr>
                </pic:pic>
              </a:graphicData>
            </a:graphic>
          </wp:inline>
        </w:drawing>
      </w:r>
    </w:p>
    <w:p w14:paraId="41AD5705" w14:textId="47FBFC35" w:rsidR="00872511" w:rsidRDefault="00872511" w:rsidP="00AB3A2C">
      <w:pPr>
        <w:jc w:val="both"/>
      </w:pPr>
      <w:r>
        <w:lastRenderedPageBreak/>
        <w:t>Click on “DHCP option set”:</w:t>
      </w:r>
    </w:p>
    <w:p w14:paraId="1C56E65B" w14:textId="002B7B6A" w:rsidR="00872511" w:rsidRDefault="00872511" w:rsidP="00AB3A2C">
      <w:pPr>
        <w:jc w:val="both"/>
      </w:pPr>
      <w:r w:rsidRPr="00872511">
        <w:drawing>
          <wp:inline distT="0" distB="0" distL="0" distR="0" wp14:anchorId="1F2A4775" wp14:editId="6FD9A925">
            <wp:extent cx="5731510" cy="2566670"/>
            <wp:effectExtent l="0" t="0" r="2540" b="5080"/>
            <wp:docPr id="33181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13962" name=""/>
                    <pic:cNvPicPr/>
                  </pic:nvPicPr>
                  <pic:blipFill>
                    <a:blip r:embed="rId9"/>
                    <a:stretch>
                      <a:fillRect/>
                    </a:stretch>
                  </pic:blipFill>
                  <pic:spPr>
                    <a:xfrm>
                      <a:off x="0" y="0"/>
                      <a:ext cx="5731510" cy="2566670"/>
                    </a:xfrm>
                    <a:prstGeom prst="rect">
                      <a:avLst/>
                    </a:prstGeom>
                  </pic:spPr>
                </pic:pic>
              </a:graphicData>
            </a:graphic>
          </wp:inline>
        </w:drawing>
      </w:r>
    </w:p>
    <w:p w14:paraId="162F846E" w14:textId="2109E627" w:rsidR="00872511" w:rsidRDefault="00872511" w:rsidP="00AB3A2C">
      <w:pPr>
        <w:jc w:val="both"/>
      </w:pPr>
      <w:r>
        <w:t>Click on “Create DHCP option set”:</w:t>
      </w:r>
    </w:p>
    <w:p w14:paraId="0E75F9D2" w14:textId="20A37673" w:rsidR="00872511" w:rsidRDefault="00872511" w:rsidP="00AB3A2C">
      <w:pPr>
        <w:jc w:val="both"/>
      </w:pPr>
      <w:r w:rsidRPr="00872511">
        <w:drawing>
          <wp:inline distT="0" distB="0" distL="0" distR="0" wp14:anchorId="3A03E9F4" wp14:editId="31C8CF59">
            <wp:extent cx="5731510" cy="2577465"/>
            <wp:effectExtent l="0" t="0" r="2540" b="0"/>
            <wp:docPr id="93219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94408" name=""/>
                    <pic:cNvPicPr/>
                  </pic:nvPicPr>
                  <pic:blipFill>
                    <a:blip r:embed="rId10"/>
                    <a:stretch>
                      <a:fillRect/>
                    </a:stretch>
                  </pic:blipFill>
                  <pic:spPr>
                    <a:xfrm>
                      <a:off x="0" y="0"/>
                      <a:ext cx="5731510" cy="2577465"/>
                    </a:xfrm>
                    <a:prstGeom prst="rect">
                      <a:avLst/>
                    </a:prstGeom>
                  </pic:spPr>
                </pic:pic>
              </a:graphicData>
            </a:graphic>
          </wp:inline>
        </w:drawing>
      </w:r>
    </w:p>
    <w:p w14:paraId="1E8AC84A" w14:textId="143666BF" w:rsidR="00872511" w:rsidRDefault="00872511" w:rsidP="00AB3A2C">
      <w:pPr>
        <w:jc w:val="both"/>
      </w:pPr>
      <w:r>
        <w:t>Fill it and you are done!</w:t>
      </w:r>
    </w:p>
    <w:p w14:paraId="2933AC0A" w14:textId="2D5321F2" w:rsidR="00AC5CD7" w:rsidRDefault="00AC5CD7" w:rsidP="00AC5CD7">
      <w:pPr>
        <w:jc w:val="center"/>
      </w:pPr>
      <w:r>
        <w:t>--The End--</w:t>
      </w:r>
    </w:p>
    <w:p w14:paraId="476912BA" w14:textId="77777777" w:rsidR="00872511" w:rsidRDefault="00872511" w:rsidP="00AB3A2C">
      <w:pPr>
        <w:jc w:val="both"/>
      </w:pPr>
    </w:p>
    <w:p w14:paraId="188047EB" w14:textId="77777777" w:rsidR="00872511" w:rsidRPr="00AB3A2C" w:rsidRDefault="00872511" w:rsidP="00AB3A2C">
      <w:pPr>
        <w:jc w:val="both"/>
      </w:pPr>
    </w:p>
    <w:sectPr w:rsidR="00872511" w:rsidRPr="00AB3A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B2229"/>
    <w:multiLevelType w:val="hybridMultilevel"/>
    <w:tmpl w:val="DE1A2E8A"/>
    <w:lvl w:ilvl="0" w:tplc="281AE03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A454D03"/>
    <w:multiLevelType w:val="hybridMultilevel"/>
    <w:tmpl w:val="7A94E860"/>
    <w:lvl w:ilvl="0" w:tplc="281AE034">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D845048"/>
    <w:multiLevelType w:val="hybridMultilevel"/>
    <w:tmpl w:val="BF6E7230"/>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584A57A7"/>
    <w:multiLevelType w:val="hybridMultilevel"/>
    <w:tmpl w:val="F44A84A8"/>
    <w:lvl w:ilvl="0" w:tplc="281AE034">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5F1D2B6A"/>
    <w:multiLevelType w:val="multilevel"/>
    <w:tmpl w:val="9434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9C3767"/>
    <w:multiLevelType w:val="hybridMultilevel"/>
    <w:tmpl w:val="5C5ED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E210E6C"/>
    <w:multiLevelType w:val="hybridMultilevel"/>
    <w:tmpl w:val="E03ABFA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632860093">
    <w:abstractNumId w:val="5"/>
  </w:num>
  <w:num w:numId="2" w16cid:durableId="406416941">
    <w:abstractNumId w:val="0"/>
  </w:num>
  <w:num w:numId="3" w16cid:durableId="637613377">
    <w:abstractNumId w:val="1"/>
  </w:num>
  <w:num w:numId="4" w16cid:durableId="491065641">
    <w:abstractNumId w:val="6"/>
  </w:num>
  <w:num w:numId="5" w16cid:durableId="290869389">
    <w:abstractNumId w:val="4"/>
  </w:num>
  <w:num w:numId="6" w16cid:durableId="1899244638">
    <w:abstractNumId w:val="3"/>
  </w:num>
  <w:num w:numId="7" w16cid:durableId="8075541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6C8"/>
    <w:rsid w:val="001626C8"/>
    <w:rsid w:val="00307A8B"/>
    <w:rsid w:val="00446697"/>
    <w:rsid w:val="007E1A8B"/>
    <w:rsid w:val="00864E8B"/>
    <w:rsid w:val="00872511"/>
    <w:rsid w:val="00AB3A2C"/>
    <w:rsid w:val="00AC5CD7"/>
    <w:rsid w:val="00C86545"/>
    <w:rsid w:val="00D839F5"/>
    <w:rsid w:val="00E213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CE01C"/>
  <w15:chartTrackingRefBased/>
  <w15:docId w15:val="{09841F98-621B-4EEC-92A3-B1F4C6D2D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545"/>
  </w:style>
  <w:style w:type="paragraph" w:styleId="Heading1">
    <w:name w:val="heading 1"/>
    <w:basedOn w:val="Normal"/>
    <w:next w:val="Normal"/>
    <w:link w:val="Heading1Char"/>
    <w:uiPriority w:val="9"/>
    <w:qFormat/>
    <w:rsid w:val="001626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26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26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26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26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2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6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26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26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26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26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2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6C8"/>
    <w:rPr>
      <w:rFonts w:eastAsiaTheme="majorEastAsia" w:cstheme="majorBidi"/>
      <w:color w:val="272727" w:themeColor="text1" w:themeTint="D8"/>
    </w:rPr>
  </w:style>
  <w:style w:type="paragraph" w:styleId="Title">
    <w:name w:val="Title"/>
    <w:basedOn w:val="Normal"/>
    <w:next w:val="Normal"/>
    <w:link w:val="TitleChar"/>
    <w:uiPriority w:val="10"/>
    <w:qFormat/>
    <w:rsid w:val="00162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6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6C8"/>
    <w:pPr>
      <w:spacing w:before="160"/>
      <w:jc w:val="center"/>
    </w:pPr>
    <w:rPr>
      <w:i/>
      <w:iCs/>
      <w:color w:val="404040" w:themeColor="text1" w:themeTint="BF"/>
    </w:rPr>
  </w:style>
  <w:style w:type="character" w:customStyle="1" w:styleId="QuoteChar">
    <w:name w:val="Quote Char"/>
    <w:basedOn w:val="DefaultParagraphFont"/>
    <w:link w:val="Quote"/>
    <w:uiPriority w:val="29"/>
    <w:rsid w:val="001626C8"/>
    <w:rPr>
      <w:i/>
      <w:iCs/>
      <w:color w:val="404040" w:themeColor="text1" w:themeTint="BF"/>
    </w:rPr>
  </w:style>
  <w:style w:type="paragraph" w:styleId="ListParagraph">
    <w:name w:val="List Paragraph"/>
    <w:basedOn w:val="Normal"/>
    <w:uiPriority w:val="34"/>
    <w:qFormat/>
    <w:rsid w:val="001626C8"/>
    <w:pPr>
      <w:ind w:left="720"/>
      <w:contextualSpacing/>
    </w:pPr>
  </w:style>
  <w:style w:type="character" w:styleId="IntenseEmphasis">
    <w:name w:val="Intense Emphasis"/>
    <w:basedOn w:val="DefaultParagraphFont"/>
    <w:uiPriority w:val="21"/>
    <w:qFormat/>
    <w:rsid w:val="001626C8"/>
    <w:rPr>
      <w:i/>
      <w:iCs/>
      <w:color w:val="2F5496" w:themeColor="accent1" w:themeShade="BF"/>
    </w:rPr>
  </w:style>
  <w:style w:type="paragraph" w:styleId="IntenseQuote">
    <w:name w:val="Intense Quote"/>
    <w:basedOn w:val="Normal"/>
    <w:next w:val="Normal"/>
    <w:link w:val="IntenseQuoteChar"/>
    <w:uiPriority w:val="30"/>
    <w:qFormat/>
    <w:rsid w:val="001626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26C8"/>
    <w:rPr>
      <w:i/>
      <w:iCs/>
      <w:color w:val="2F5496" w:themeColor="accent1" w:themeShade="BF"/>
    </w:rPr>
  </w:style>
  <w:style w:type="character" w:styleId="IntenseReference">
    <w:name w:val="Intense Reference"/>
    <w:basedOn w:val="DefaultParagraphFont"/>
    <w:uiPriority w:val="32"/>
    <w:qFormat/>
    <w:rsid w:val="001626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395</Words>
  <Characters>2258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4</cp:revision>
  <dcterms:created xsi:type="dcterms:W3CDTF">2025-09-16T02:34:00Z</dcterms:created>
  <dcterms:modified xsi:type="dcterms:W3CDTF">2025-09-16T03:14:00Z</dcterms:modified>
</cp:coreProperties>
</file>