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2C091" w14:textId="0DFDFA67" w:rsidR="0089267A" w:rsidRPr="002211C6" w:rsidRDefault="0089267A" w:rsidP="0089267A">
      <w:pPr>
        <w:jc w:val="center"/>
        <w:rPr>
          <w:b/>
          <w:bCs/>
          <w:sz w:val="40"/>
          <w:szCs w:val="40"/>
          <w:u w:val="single"/>
        </w:rPr>
      </w:pPr>
      <w:r>
        <w:rPr>
          <w:noProof/>
        </w:rPr>
        <mc:AlternateContent>
          <mc:Choice Requires="wps">
            <w:drawing>
              <wp:anchor distT="0" distB="0" distL="114300" distR="114300" simplePos="0" relativeHeight="251660288" behindDoc="0" locked="0" layoutInCell="1" allowOverlap="1" wp14:anchorId="2288CEE2" wp14:editId="7575840C">
                <wp:simplePos x="0" y="0"/>
                <wp:positionH relativeFrom="column">
                  <wp:posOffset>4274127</wp:posOffset>
                </wp:positionH>
                <wp:positionV relativeFrom="paragraph">
                  <wp:posOffset>-685800</wp:posOffset>
                </wp:positionV>
                <wp:extent cx="2153863" cy="1075517"/>
                <wp:effectExtent l="0" t="0" r="18415" b="10795"/>
                <wp:wrapNone/>
                <wp:docPr id="1246044614" name="Text Box 2"/>
                <wp:cNvGraphicFramePr/>
                <a:graphic xmlns:a="http://schemas.openxmlformats.org/drawingml/2006/main">
                  <a:graphicData uri="http://schemas.microsoft.com/office/word/2010/wordprocessingShape">
                    <wps:wsp>
                      <wps:cNvSpPr txBox="1"/>
                      <wps:spPr>
                        <a:xfrm>
                          <a:off x="0" y="0"/>
                          <a:ext cx="2153863" cy="1075517"/>
                        </a:xfrm>
                        <a:prstGeom prst="rect">
                          <a:avLst/>
                        </a:prstGeom>
                        <a:solidFill>
                          <a:schemeClr val="lt1"/>
                        </a:solidFill>
                        <a:ln w="6350">
                          <a:solidFill>
                            <a:schemeClr val="bg1"/>
                          </a:solidFill>
                        </a:ln>
                      </wps:spPr>
                      <wps:txbx>
                        <w:txbxContent>
                          <w:p w14:paraId="0B355E88" w14:textId="77777777" w:rsidR="0089267A" w:rsidRDefault="0089267A" w:rsidP="0089267A">
                            <w:r>
                              <w:rPr>
                                <w:noProof/>
                              </w:rPr>
                              <w:drawing>
                                <wp:inline distT="0" distB="0" distL="0" distR="0" wp14:anchorId="37717F81" wp14:editId="18353F59">
                                  <wp:extent cx="1957705" cy="978567"/>
                                  <wp:effectExtent l="0" t="0" r="4445" b="0"/>
                                  <wp:docPr id="25359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8CEE2" id="_x0000_t202" coordsize="21600,21600" o:spt="202" path="m,l,21600r21600,l21600,xe">
                <v:stroke joinstyle="miter"/>
                <v:path gradientshapeok="t" o:connecttype="rect"/>
              </v:shapetype>
              <v:shape id="Text Box 2" o:spid="_x0000_s1026" type="#_x0000_t202" style="position:absolute;left:0;text-align:left;margin-left:336.55pt;margin-top:-54pt;width:169.6pt;height:8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" fillcolor="white [3201]" strokecolor="white [3212]" strokeweight=".5pt">
                <v:textbox>
                  <w:txbxContent>
                    <w:p w14:paraId="0B355E88" w14:textId="77777777" w:rsidR="0089267A" w:rsidRDefault="0089267A" w:rsidP="0089267A">
                      <w:r>
                        <w:rPr>
                          <w:noProof/>
                        </w:rPr>
                        <w:drawing>
                          <wp:inline distT="0" distB="0" distL="0" distR="0" wp14:anchorId="37717F81" wp14:editId="18353F59">
                            <wp:extent cx="1957705" cy="978567"/>
                            <wp:effectExtent l="0" t="0" r="4445" b="0"/>
                            <wp:docPr id="25359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857B94B" wp14:editId="186C52AE">
                <wp:simplePos x="0" y="0"/>
                <wp:positionH relativeFrom="column">
                  <wp:posOffset>-651164</wp:posOffset>
                </wp:positionH>
                <wp:positionV relativeFrom="paragraph">
                  <wp:posOffset>-637309</wp:posOffset>
                </wp:positionV>
                <wp:extent cx="2133600" cy="1212273"/>
                <wp:effectExtent l="0" t="0" r="19050" b="26035"/>
                <wp:wrapNone/>
                <wp:docPr id="1858331218" name="Text Box 2"/>
                <wp:cNvGraphicFramePr/>
                <a:graphic xmlns:a="http://schemas.openxmlformats.org/drawingml/2006/main">
                  <a:graphicData uri="http://schemas.microsoft.com/office/word/2010/wordprocessingShape">
                    <wps:wsp>
                      <wps:cNvSpPr txBox="1"/>
                      <wps:spPr>
                        <a:xfrm>
                          <a:off x="0" y="0"/>
                          <a:ext cx="2133600" cy="1212273"/>
                        </a:xfrm>
                        <a:prstGeom prst="rect">
                          <a:avLst/>
                        </a:prstGeom>
                        <a:solidFill>
                          <a:schemeClr val="lt1"/>
                        </a:solidFill>
                        <a:ln w="6350">
                          <a:solidFill>
                            <a:schemeClr val="bg1"/>
                          </a:solidFill>
                        </a:ln>
                      </wps:spPr>
                      <wps:txbx>
                        <w:txbxContent>
                          <w:p w14:paraId="4DCBF7BF" w14:textId="77777777" w:rsidR="0089267A" w:rsidRDefault="0089267A" w:rsidP="0089267A">
                            <w:r>
                              <w:rPr>
                                <w:noProof/>
                              </w:rPr>
                              <w:drawing>
                                <wp:inline distT="0" distB="0" distL="0" distR="0" wp14:anchorId="165FB271" wp14:editId="704D513F">
                                  <wp:extent cx="1957705" cy="978567"/>
                                  <wp:effectExtent l="0" t="0" r="4445" b="0"/>
                                  <wp:docPr id="153173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B94B" id="_x0000_s1027" type="#_x0000_t202" style="position:absolute;left:0;text-align:left;margin-left:-51.25pt;margin-top:-50.2pt;width:168pt;height:9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" fillcolor="white [3201]" strokecolor="white [3212]" strokeweight=".5pt">
                <v:textbox>
                  <w:txbxContent>
                    <w:p w14:paraId="4DCBF7BF" w14:textId="77777777" w:rsidR="0089267A" w:rsidRDefault="0089267A" w:rsidP="0089267A">
                      <w:r>
                        <w:rPr>
                          <w:noProof/>
                        </w:rPr>
                        <w:drawing>
                          <wp:inline distT="0" distB="0" distL="0" distR="0" wp14:anchorId="165FB271" wp14:editId="704D513F">
                            <wp:extent cx="1957705" cy="978567"/>
                            <wp:effectExtent l="0" t="0" r="4445" b="0"/>
                            <wp:docPr id="153173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v:textbox>
              </v:shape>
            </w:pict>
          </mc:Fallback>
        </mc:AlternateContent>
      </w:r>
      <w:r w:rsidRPr="002211C6">
        <w:rPr>
          <w:b/>
          <w:bCs/>
          <w:sz w:val="40"/>
          <w:szCs w:val="40"/>
          <w:u w:val="single"/>
        </w:rPr>
        <w:t xml:space="preserve">Day </w:t>
      </w:r>
      <w:r>
        <w:rPr>
          <w:b/>
          <w:bCs/>
          <w:sz w:val="40"/>
          <w:szCs w:val="40"/>
          <w:u w:val="single"/>
        </w:rPr>
        <w:t>6</w:t>
      </w:r>
    </w:p>
    <w:p w14:paraId="59A2D7A8" w14:textId="60179048" w:rsidR="00D839F5" w:rsidRPr="00457465" w:rsidRDefault="0089267A" w:rsidP="00457465">
      <w:pPr>
        <w:jc w:val="center"/>
        <w:rPr>
          <w:b/>
          <w:bCs/>
          <w:sz w:val="40"/>
          <w:szCs w:val="40"/>
          <w:u w:val="single"/>
        </w:rPr>
      </w:pPr>
      <w:r>
        <w:rPr>
          <w:b/>
          <w:bCs/>
          <w:sz w:val="40"/>
          <w:szCs w:val="40"/>
          <w:u w:val="single"/>
        </w:rPr>
        <w:t>“CLOUD SECURITY”</w:t>
      </w:r>
    </w:p>
    <w:p w14:paraId="45A9AB03" w14:textId="522B6E65" w:rsidR="00457465" w:rsidRPr="00C51089" w:rsidRDefault="00457465" w:rsidP="00457465">
      <w:pPr>
        <w:tabs>
          <w:tab w:val="left" w:pos="2484"/>
        </w:tabs>
        <w:jc w:val="both"/>
        <w:rPr>
          <w:b/>
          <w:bCs/>
          <w:u w:val="single"/>
        </w:rPr>
      </w:pPr>
      <w:r w:rsidRPr="00C51089">
        <w:rPr>
          <w:b/>
          <w:bCs/>
          <w:u w:val="single"/>
        </w:rPr>
        <w:t>What is Cloud Infrastructure?</w:t>
      </w:r>
    </w:p>
    <w:p w14:paraId="71B612E7" w14:textId="6C0920E8" w:rsidR="00457465" w:rsidRDefault="00457465" w:rsidP="00457465">
      <w:pPr>
        <w:tabs>
          <w:tab w:val="left" w:pos="2484"/>
        </w:tabs>
        <w:jc w:val="both"/>
      </w:pPr>
      <w:r>
        <w:t>Definition: Cloud infrastructure includes all the hardware (servers, storage, networking) and software required to deliver cloud computing services. It enables organizations to access scalable computing resources on demand without heavy upfront investments.</w:t>
      </w:r>
    </w:p>
    <w:p w14:paraId="2E777A5B" w14:textId="0810152D" w:rsidR="00457465" w:rsidRDefault="00457465" w:rsidP="00457465">
      <w:pPr>
        <w:tabs>
          <w:tab w:val="left" w:pos="2484"/>
        </w:tabs>
        <w:jc w:val="both"/>
      </w:pPr>
      <w:r>
        <w:t>Architectures:</w:t>
      </w:r>
    </w:p>
    <w:p w14:paraId="1517CD45" w14:textId="6BA503A1" w:rsidR="00457465" w:rsidRDefault="00457465" w:rsidP="00457465">
      <w:pPr>
        <w:pStyle w:val="ListParagraph"/>
        <w:numPr>
          <w:ilvl w:val="0"/>
          <w:numId w:val="3"/>
        </w:numPr>
        <w:tabs>
          <w:tab w:val="left" w:pos="2484"/>
        </w:tabs>
        <w:jc w:val="both"/>
      </w:pPr>
      <w:r>
        <w:t>Private Cloud: Dedicated to a single organization; secure but costly.</w:t>
      </w:r>
    </w:p>
    <w:p w14:paraId="74586DE8" w14:textId="7B83BDAA" w:rsidR="00457465" w:rsidRDefault="00457465" w:rsidP="00457465">
      <w:pPr>
        <w:pStyle w:val="ListParagraph"/>
        <w:numPr>
          <w:ilvl w:val="0"/>
          <w:numId w:val="3"/>
        </w:numPr>
        <w:tabs>
          <w:tab w:val="left" w:pos="2484"/>
        </w:tabs>
        <w:jc w:val="both"/>
      </w:pPr>
      <w:r>
        <w:t>Public Cloud: Shared via internet; cost-effective but may raise privacy concerns.</w:t>
      </w:r>
    </w:p>
    <w:p w14:paraId="03845D52" w14:textId="6F3F07B5" w:rsidR="00457465" w:rsidRDefault="00457465" w:rsidP="00457465">
      <w:pPr>
        <w:pStyle w:val="ListParagraph"/>
        <w:numPr>
          <w:ilvl w:val="0"/>
          <w:numId w:val="3"/>
        </w:numPr>
        <w:tabs>
          <w:tab w:val="left" w:pos="2484"/>
        </w:tabs>
        <w:jc w:val="both"/>
      </w:pPr>
      <w:r>
        <w:t>Hybrid Cloud: Combines both; sensitive data stays private, other data on public cloud.</w:t>
      </w:r>
    </w:p>
    <w:p w14:paraId="0737F16A" w14:textId="486F31CC" w:rsidR="00457465" w:rsidRDefault="00457465" w:rsidP="00457465">
      <w:pPr>
        <w:tabs>
          <w:tab w:val="left" w:pos="2484"/>
        </w:tabs>
        <w:jc w:val="both"/>
      </w:pPr>
      <w:r>
        <w:t>Delivery Models:</w:t>
      </w:r>
    </w:p>
    <w:p w14:paraId="78ABB94E" w14:textId="4B10B009" w:rsidR="00457465" w:rsidRDefault="00457465" w:rsidP="00457465">
      <w:pPr>
        <w:pStyle w:val="ListParagraph"/>
        <w:numPr>
          <w:ilvl w:val="0"/>
          <w:numId w:val="5"/>
        </w:numPr>
        <w:tabs>
          <w:tab w:val="left" w:pos="2484"/>
        </w:tabs>
        <w:jc w:val="both"/>
      </w:pPr>
      <w:r>
        <w:t>IaaS: Infrastructure only (compute, storage, network); users manage software stack.</w:t>
      </w:r>
    </w:p>
    <w:p w14:paraId="26FF5AC8" w14:textId="6F09076F" w:rsidR="00457465" w:rsidRDefault="00457465" w:rsidP="00457465">
      <w:pPr>
        <w:pStyle w:val="ListParagraph"/>
        <w:numPr>
          <w:ilvl w:val="0"/>
          <w:numId w:val="5"/>
        </w:numPr>
        <w:tabs>
          <w:tab w:val="left" w:pos="2484"/>
        </w:tabs>
        <w:jc w:val="both"/>
      </w:pPr>
      <w:r>
        <w:t>PaaS: Infrastructure + platform (OS, middleware); for app development/testing.</w:t>
      </w:r>
    </w:p>
    <w:p w14:paraId="42173C2C" w14:textId="2D4A8399" w:rsidR="00457465" w:rsidRDefault="00457465" w:rsidP="00457465">
      <w:pPr>
        <w:pStyle w:val="ListParagraph"/>
        <w:numPr>
          <w:ilvl w:val="0"/>
          <w:numId w:val="5"/>
        </w:numPr>
        <w:tabs>
          <w:tab w:val="left" w:pos="2484"/>
        </w:tabs>
        <w:jc w:val="both"/>
      </w:pPr>
      <w:r>
        <w:t>SaaS: Ready-to-use software apps via web; no local install or maintenance needed.</w:t>
      </w:r>
    </w:p>
    <w:p w14:paraId="3D834708" w14:textId="534576A9" w:rsidR="00457465" w:rsidRPr="00DC4587" w:rsidRDefault="00DC4587" w:rsidP="00457465">
      <w:pPr>
        <w:tabs>
          <w:tab w:val="left" w:pos="2484"/>
        </w:tabs>
        <w:jc w:val="both"/>
        <w:rPr>
          <w:b/>
          <w:bCs/>
          <w:u w:val="single"/>
        </w:rPr>
      </w:pPr>
      <w:r w:rsidRPr="00DC4587">
        <w:rPr>
          <w:b/>
          <w:bCs/>
          <w:u w:val="single"/>
        </w:rPr>
        <w:t>Cloud Platform and Infrastructure components:</w:t>
      </w:r>
    </w:p>
    <w:tbl>
      <w:tblPr>
        <w:tblW w:w="731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0"/>
        <w:gridCol w:w="5364"/>
      </w:tblGrid>
      <w:tr w:rsidR="00DC4587" w:rsidRPr="00DC4587" w14:paraId="39988F00" w14:textId="77777777" w:rsidTr="0080067D">
        <w:trPr>
          <w:trHeight w:val="191"/>
          <w:tblHeader/>
          <w:tblCellSpacing w:w="15" w:type="dxa"/>
          <w:jc w:val="center"/>
        </w:trPr>
        <w:tc>
          <w:tcPr>
            <w:tcW w:w="0" w:type="auto"/>
            <w:vAlign w:val="center"/>
            <w:hideMark/>
          </w:tcPr>
          <w:p w14:paraId="4E59BAAB" w14:textId="77777777" w:rsidR="00DC4587" w:rsidRPr="00DC4587" w:rsidRDefault="00DC4587" w:rsidP="00DC4587">
            <w:pPr>
              <w:tabs>
                <w:tab w:val="left" w:pos="2484"/>
              </w:tabs>
              <w:jc w:val="center"/>
              <w:rPr>
                <w:b/>
                <w:bCs/>
              </w:rPr>
            </w:pPr>
            <w:r w:rsidRPr="00DC4587">
              <w:rPr>
                <w:b/>
                <w:bCs/>
              </w:rPr>
              <w:t>Component</w:t>
            </w:r>
          </w:p>
        </w:tc>
        <w:tc>
          <w:tcPr>
            <w:tcW w:w="0" w:type="auto"/>
            <w:vAlign w:val="center"/>
            <w:hideMark/>
          </w:tcPr>
          <w:p w14:paraId="635B1DF1" w14:textId="77777777" w:rsidR="00DC4587" w:rsidRPr="00DC4587" w:rsidRDefault="00DC4587" w:rsidP="00DC4587">
            <w:pPr>
              <w:tabs>
                <w:tab w:val="left" w:pos="2484"/>
              </w:tabs>
              <w:jc w:val="center"/>
              <w:rPr>
                <w:b/>
                <w:bCs/>
              </w:rPr>
            </w:pPr>
            <w:r w:rsidRPr="00DC4587">
              <w:rPr>
                <w:b/>
                <w:bCs/>
              </w:rPr>
              <w:t>Description</w:t>
            </w:r>
          </w:p>
        </w:tc>
      </w:tr>
      <w:tr w:rsidR="00DC4587" w:rsidRPr="00DC4587" w14:paraId="2002F518" w14:textId="77777777" w:rsidTr="0080067D">
        <w:trPr>
          <w:trHeight w:val="322"/>
          <w:tblCellSpacing w:w="15" w:type="dxa"/>
          <w:jc w:val="center"/>
        </w:trPr>
        <w:tc>
          <w:tcPr>
            <w:tcW w:w="0" w:type="auto"/>
            <w:vAlign w:val="center"/>
            <w:hideMark/>
          </w:tcPr>
          <w:p w14:paraId="2CB2D4C8" w14:textId="4635F919" w:rsidR="00DC4587" w:rsidRPr="00DC4587" w:rsidRDefault="00DC4587" w:rsidP="00DC4587">
            <w:pPr>
              <w:tabs>
                <w:tab w:val="left" w:pos="2484"/>
              </w:tabs>
              <w:jc w:val="both"/>
            </w:pPr>
            <w:r w:rsidRPr="00DC4587">
              <w:rPr>
                <w:b/>
                <w:bCs/>
              </w:rPr>
              <w:t>Physical</w:t>
            </w:r>
            <w:r>
              <w:rPr>
                <w:b/>
                <w:bCs/>
              </w:rPr>
              <w:t xml:space="preserve"> </w:t>
            </w:r>
            <w:r w:rsidRPr="00DC4587">
              <w:rPr>
                <w:b/>
                <w:bCs/>
              </w:rPr>
              <w:t>&amp; Environment</w:t>
            </w:r>
          </w:p>
        </w:tc>
        <w:tc>
          <w:tcPr>
            <w:tcW w:w="0" w:type="auto"/>
            <w:vAlign w:val="center"/>
            <w:hideMark/>
          </w:tcPr>
          <w:p w14:paraId="6399D811" w14:textId="77777777" w:rsidR="00DC4587" w:rsidRPr="00DC4587" w:rsidRDefault="00DC4587" w:rsidP="00DC4587">
            <w:pPr>
              <w:tabs>
                <w:tab w:val="left" w:pos="2484"/>
              </w:tabs>
              <w:jc w:val="both"/>
            </w:pPr>
            <w:r w:rsidRPr="00DC4587">
              <w:t xml:space="preserve">Includes data </w:t>
            </w:r>
            <w:proofErr w:type="spellStart"/>
            <w:r w:rsidRPr="00DC4587">
              <w:t>centers</w:t>
            </w:r>
            <w:proofErr w:type="spellEnd"/>
            <w:r w:rsidRPr="00DC4587">
              <w:t>, buildings, and surrounding physical infrastructure.</w:t>
            </w:r>
          </w:p>
        </w:tc>
      </w:tr>
      <w:tr w:rsidR="00DC4587" w:rsidRPr="00DC4587" w14:paraId="58CB3021" w14:textId="77777777" w:rsidTr="0080067D">
        <w:trPr>
          <w:trHeight w:val="196"/>
          <w:tblCellSpacing w:w="15" w:type="dxa"/>
          <w:jc w:val="center"/>
        </w:trPr>
        <w:tc>
          <w:tcPr>
            <w:tcW w:w="0" w:type="auto"/>
            <w:vAlign w:val="center"/>
            <w:hideMark/>
          </w:tcPr>
          <w:p w14:paraId="2C81694B" w14:textId="77777777" w:rsidR="00DC4587" w:rsidRPr="00DC4587" w:rsidRDefault="00DC4587" w:rsidP="00DC4587">
            <w:pPr>
              <w:tabs>
                <w:tab w:val="left" w:pos="2484"/>
              </w:tabs>
              <w:jc w:val="both"/>
            </w:pPr>
            <w:r w:rsidRPr="00DC4587">
              <w:rPr>
                <w:b/>
                <w:bCs/>
              </w:rPr>
              <w:t>Network</w:t>
            </w:r>
          </w:p>
        </w:tc>
        <w:tc>
          <w:tcPr>
            <w:tcW w:w="0" w:type="auto"/>
            <w:vAlign w:val="center"/>
            <w:hideMark/>
          </w:tcPr>
          <w:p w14:paraId="7BB13856" w14:textId="77777777" w:rsidR="00DC4587" w:rsidRPr="00DC4587" w:rsidRDefault="00DC4587" w:rsidP="00DC4587">
            <w:pPr>
              <w:tabs>
                <w:tab w:val="left" w:pos="2484"/>
              </w:tabs>
              <w:jc w:val="both"/>
            </w:pPr>
            <w:r w:rsidRPr="00DC4587">
              <w:t>Ensures secure and controlled communication between servers and clients.</w:t>
            </w:r>
          </w:p>
        </w:tc>
      </w:tr>
      <w:tr w:rsidR="00DC4587" w:rsidRPr="00DC4587" w14:paraId="3D892636" w14:textId="77777777" w:rsidTr="0080067D">
        <w:trPr>
          <w:trHeight w:val="322"/>
          <w:tblCellSpacing w:w="15" w:type="dxa"/>
          <w:jc w:val="center"/>
        </w:trPr>
        <w:tc>
          <w:tcPr>
            <w:tcW w:w="0" w:type="auto"/>
            <w:vAlign w:val="center"/>
            <w:hideMark/>
          </w:tcPr>
          <w:p w14:paraId="0602499E" w14:textId="77777777" w:rsidR="00DC4587" w:rsidRPr="00DC4587" w:rsidRDefault="00DC4587" w:rsidP="00DC4587">
            <w:pPr>
              <w:tabs>
                <w:tab w:val="left" w:pos="2484"/>
              </w:tabs>
              <w:jc w:val="both"/>
            </w:pPr>
            <w:r w:rsidRPr="00DC4587">
              <w:rPr>
                <w:b/>
                <w:bCs/>
              </w:rPr>
              <w:t>Compute</w:t>
            </w:r>
          </w:p>
        </w:tc>
        <w:tc>
          <w:tcPr>
            <w:tcW w:w="0" w:type="auto"/>
            <w:vAlign w:val="center"/>
            <w:hideMark/>
          </w:tcPr>
          <w:p w14:paraId="20CEEDE5" w14:textId="77777777" w:rsidR="00DC4587" w:rsidRPr="00DC4587" w:rsidRDefault="00DC4587" w:rsidP="00DC4587">
            <w:pPr>
              <w:tabs>
                <w:tab w:val="left" w:pos="2484"/>
              </w:tabs>
              <w:jc w:val="both"/>
            </w:pPr>
            <w:r w:rsidRPr="00DC4587">
              <w:t>Manages and allocates processing resources (e.g., CPU, memory) for workloads.</w:t>
            </w:r>
          </w:p>
        </w:tc>
      </w:tr>
      <w:tr w:rsidR="00DC4587" w:rsidRPr="00DC4587" w14:paraId="18F51F0F" w14:textId="77777777" w:rsidTr="0080067D">
        <w:trPr>
          <w:trHeight w:val="196"/>
          <w:tblCellSpacing w:w="15" w:type="dxa"/>
          <w:jc w:val="center"/>
        </w:trPr>
        <w:tc>
          <w:tcPr>
            <w:tcW w:w="0" w:type="auto"/>
            <w:vAlign w:val="center"/>
            <w:hideMark/>
          </w:tcPr>
          <w:p w14:paraId="518BAC0D" w14:textId="77777777" w:rsidR="00DC4587" w:rsidRPr="00DC4587" w:rsidRDefault="00DC4587" w:rsidP="00DC4587">
            <w:pPr>
              <w:tabs>
                <w:tab w:val="left" w:pos="2484"/>
              </w:tabs>
              <w:jc w:val="both"/>
            </w:pPr>
            <w:r w:rsidRPr="00DC4587">
              <w:rPr>
                <w:b/>
                <w:bCs/>
              </w:rPr>
              <w:t>Storage</w:t>
            </w:r>
          </w:p>
        </w:tc>
        <w:tc>
          <w:tcPr>
            <w:tcW w:w="0" w:type="auto"/>
            <w:vAlign w:val="center"/>
            <w:hideMark/>
          </w:tcPr>
          <w:p w14:paraId="76543EAB" w14:textId="77777777" w:rsidR="00DC4587" w:rsidRPr="00DC4587" w:rsidRDefault="00DC4587" w:rsidP="00DC4587">
            <w:pPr>
              <w:tabs>
                <w:tab w:val="left" w:pos="2484"/>
              </w:tabs>
              <w:jc w:val="both"/>
            </w:pPr>
            <w:r w:rsidRPr="00DC4587">
              <w:t>Provides off-site data storage and management on cloud file servers.</w:t>
            </w:r>
          </w:p>
        </w:tc>
      </w:tr>
      <w:tr w:rsidR="00DC4587" w:rsidRPr="00DC4587" w14:paraId="6FF34355" w14:textId="77777777" w:rsidTr="0080067D">
        <w:trPr>
          <w:trHeight w:val="322"/>
          <w:tblCellSpacing w:w="15" w:type="dxa"/>
          <w:jc w:val="center"/>
        </w:trPr>
        <w:tc>
          <w:tcPr>
            <w:tcW w:w="0" w:type="auto"/>
            <w:vAlign w:val="center"/>
            <w:hideMark/>
          </w:tcPr>
          <w:p w14:paraId="0EB53C86" w14:textId="77777777" w:rsidR="00DC4587" w:rsidRPr="00DC4587" w:rsidRDefault="00DC4587" w:rsidP="00DC4587">
            <w:pPr>
              <w:tabs>
                <w:tab w:val="left" w:pos="2484"/>
              </w:tabs>
              <w:jc w:val="both"/>
            </w:pPr>
            <w:r w:rsidRPr="00DC4587">
              <w:rPr>
                <w:b/>
                <w:bCs/>
              </w:rPr>
              <w:t>Virtualization</w:t>
            </w:r>
          </w:p>
        </w:tc>
        <w:tc>
          <w:tcPr>
            <w:tcW w:w="0" w:type="auto"/>
            <w:vAlign w:val="center"/>
            <w:hideMark/>
          </w:tcPr>
          <w:p w14:paraId="59DF8B63" w14:textId="77777777" w:rsidR="00DC4587" w:rsidRPr="00DC4587" w:rsidRDefault="00DC4587" w:rsidP="00DC4587">
            <w:pPr>
              <w:tabs>
                <w:tab w:val="left" w:pos="2484"/>
              </w:tabs>
              <w:jc w:val="both"/>
            </w:pPr>
            <w:r w:rsidRPr="00DC4587">
              <w:t>Enables virtual environments for compute, storage, and networking resources.</w:t>
            </w:r>
          </w:p>
        </w:tc>
      </w:tr>
      <w:tr w:rsidR="00DC4587" w:rsidRPr="00DC4587" w14:paraId="45F5ED2E" w14:textId="77777777" w:rsidTr="0080067D">
        <w:trPr>
          <w:trHeight w:val="322"/>
          <w:tblCellSpacing w:w="15" w:type="dxa"/>
          <w:jc w:val="center"/>
        </w:trPr>
        <w:tc>
          <w:tcPr>
            <w:tcW w:w="0" w:type="auto"/>
            <w:vAlign w:val="center"/>
            <w:hideMark/>
          </w:tcPr>
          <w:p w14:paraId="626B0312" w14:textId="77777777" w:rsidR="00DC4587" w:rsidRPr="00DC4587" w:rsidRDefault="00DC4587" w:rsidP="00DC4587">
            <w:pPr>
              <w:tabs>
                <w:tab w:val="left" w:pos="2484"/>
              </w:tabs>
              <w:jc w:val="both"/>
            </w:pPr>
            <w:r w:rsidRPr="00DC4587">
              <w:rPr>
                <w:b/>
                <w:bCs/>
              </w:rPr>
              <w:t>Management</w:t>
            </w:r>
          </w:p>
        </w:tc>
        <w:tc>
          <w:tcPr>
            <w:tcW w:w="0" w:type="auto"/>
            <w:vAlign w:val="center"/>
            <w:hideMark/>
          </w:tcPr>
          <w:p w14:paraId="3E61B8A8" w14:textId="77777777" w:rsidR="00DC4587" w:rsidRPr="00DC4587" w:rsidRDefault="00DC4587" w:rsidP="00DC4587">
            <w:pPr>
              <w:tabs>
                <w:tab w:val="left" w:pos="2484"/>
              </w:tabs>
              <w:jc w:val="both"/>
            </w:pPr>
            <w:r w:rsidRPr="00DC4587">
              <w:t>Offers tools/interfaces for configuring and maintaining apps, infra, and platform.</w:t>
            </w:r>
          </w:p>
        </w:tc>
      </w:tr>
    </w:tbl>
    <w:p w14:paraId="54B1A0D5" w14:textId="77777777" w:rsidR="00DC4587" w:rsidRDefault="00DC4587" w:rsidP="00457465">
      <w:pPr>
        <w:tabs>
          <w:tab w:val="left" w:pos="2484"/>
        </w:tabs>
        <w:jc w:val="both"/>
      </w:pPr>
    </w:p>
    <w:p w14:paraId="013F329F" w14:textId="77777777" w:rsidR="00133F6B" w:rsidRDefault="00133F6B" w:rsidP="00457465">
      <w:pPr>
        <w:tabs>
          <w:tab w:val="left" w:pos="2484"/>
        </w:tabs>
        <w:jc w:val="both"/>
        <w:rPr>
          <w:b/>
          <w:bCs/>
          <w:u w:val="single"/>
        </w:rPr>
      </w:pPr>
    </w:p>
    <w:p w14:paraId="55B64E45" w14:textId="77777777" w:rsidR="00133F6B" w:rsidRDefault="00133F6B" w:rsidP="00457465">
      <w:pPr>
        <w:tabs>
          <w:tab w:val="left" w:pos="2484"/>
        </w:tabs>
        <w:jc w:val="both"/>
        <w:rPr>
          <w:b/>
          <w:bCs/>
          <w:u w:val="single"/>
        </w:rPr>
      </w:pPr>
    </w:p>
    <w:p w14:paraId="7AABB5FC" w14:textId="77777777" w:rsidR="00133F6B" w:rsidRDefault="00133F6B" w:rsidP="00457465">
      <w:pPr>
        <w:tabs>
          <w:tab w:val="left" w:pos="2484"/>
        </w:tabs>
        <w:jc w:val="both"/>
        <w:rPr>
          <w:b/>
          <w:bCs/>
          <w:u w:val="single"/>
        </w:rPr>
      </w:pPr>
    </w:p>
    <w:p w14:paraId="2277F41B" w14:textId="77777777" w:rsidR="00133F6B" w:rsidRDefault="00133F6B" w:rsidP="00457465">
      <w:pPr>
        <w:tabs>
          <w:tab w:val="left" w:pos="2484"/>
        </w:tabs>
        <w:jc w:val="both"/>
        <w:rPr>
          <w:b/>
          <w:bCs/>
          <w:u w:val="single"/>
        </w:rPr>
      </w:pPr>
    </w:p>
    <w:p w14:paraId="71C6810F" w14:textId="28716D39" w:rsidR="00F60E86" w:rsidRPr="00F60E86" w:rsidRDefault="00F60E86" w:rsidP="00457465">
      <w:pPr>
        <w:tabs>
          <w:tab w:val="left" w:pos="2484"/>
        </w:tabs>
        <w:jc w:val="both"/>
        <w:rPr>
          <w:b/>
          <w:bCs/>
          <w:u w:val="single"/>
        </w:rPr>
      </w:pPr>
      <w:r w:rsidRPr="00F60E86">
        <w:rPr>
          <w:b/>
          <w:bCs/>
          <w:u w:val="single"/>
        </w:rPr>
        <w:lastRenderedPageBreak/>
        <w:t>Risk associated with Cloud Platform and Infrastructure: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9"/>
        <w:gridCol w:w="6867"/>
      </w:tblGrid>
      <w:tr w:rsidR="00133F6B" w:rsidRPr="00133F6B" w14:paraId="1C834E30" w14:textId="77777777" w:rsidTr="0080067D">
        <w:trPr>
          <w:tblHeader/>
          <w:tblCellSpacing w:w="15" w:type="dxa"/>
        </w:trPr>
        <w:tc>
          <w:tcPr>
            <w:tcW w:w="0" w:type="auto"/>
            <w:vAlign w:val="center"/>
            <w:hideMark/>
          </w:tcPr>
          <w:p w14:paraId="217E58B4" w14:textId="77777777" w:rsidR="00133F6B" w:rsidRPr="00133F6B" w:rsidRDefault="00133F6B" w:rsidP="00133F6B">
            <w:pPr>
              <w:tabs>
                <w:tab w:val="left" w:pos="2484"/>
              </w:tabs>
              <w:jc w:val="both"/>
              <w:rPr>
                <w:b/>
                <w:bCs/>
              </w:rPr>
            </w:pPr>
            <w:r w:rsidRPr="00133F6B">
              <w:rPr>
                <w:b/>
                <w:bCs/>
              </w:rPr>
              <w:t>Risk Category</w:t>
            </w:r>
          </w:p>
        </w:tc>
        <w:tc>
          <w:tcPr>
            <w:tcW w:w="0" w:type="auto"/>
            <w:vAlign w:val="center"/>
            <w:hideMark/>
          </w:tcPr>
          <w:p w14:paraId="071DC7B6" w14:textId="77777777" w:rsidR="00133F6B" w:rsidRPr="00133F6B" w:rsidRDefault="00133F6B" w:rsidP="00133F6B">
            <w:pPr>
              <w:tabs>
                <w:tab w:val="left" w:pos="2484"/>
              </w:tabs>
              <w:jc w:val="both"/>
              <w:rPr>
                <w:b/>
                <w:bCs/>
              </w:rPr>
            </w:pPr>
            <w:r w:rsidRPr="00133F6B">
              <w:rPr>
                <w:b/>
                <w:bCs/>
              </w:rPr>
              <w:t>Examples / Description</w:t>
            </w:r>
          </w:p>
        </w:tc>
      </w:tr>
      <w:tr w:rsidR="00133F6B" w:rsidRPr="00133F6B" w14:paraId="41C46C99" w14:textId="77777777" w:rsidTr="0080067D">
        <w:trPr>
          <w:tblCellSpacing w:w="15" w:type="dxa"/>
        </w:trPr>
        <w:tc>
          <w:tcPr>
            <w:tcW w:w="0" w:type="auto"/>
            <w:vAlign w:val="center"/>
            <w:hideMark/>
          </w:tcPr>
          <w:p w14:paraId="745B3C56" w14:textId="77777777" w:rsidR="00133F6B" w:rsidRPr="00133F6B" w:rsidRDefault="00133F6B" w:rsidP="00133F6B">
            <w:pPr>
              <w:tabs>
                <w:tab w:val="left" w:pos="2484"/>
              </w:tabs>
              <w:jc w:val="both"/>
            </w:pPr>
            <w:r w:rsidRPr="00133F6B">
              <w:rPr>
                <w:b/>
                <w:bCs/>
              </w:rPr>
              <w:t>Policy &amp; Organizational</w:t>
            </w:r>
          </w:p>
        </w:tc>
        <w:tc>
          <w:tcPr>
            <w:tcW w:w="0" w:type="auto"/>
            <w:vAlign w:val="center"/>
            <w:hideMark/>
          </w:tcPr>
          <w:p w14:paraId="6B269238" w14:textId="77777777" w:rsidR="00133F6B" w:rsidRPr="00133F6B" w:rsidRDefault="00133F6B" w:rsidP="00133F6B">
            <w:pPr>
              <w:tabs>
                <w:tab w:val="left" w:pos="2484"/>
              </w:tabs>
              <w:jc w:val="both"/>
            </w:pPr>
            <w:r w:rsidRPr="00133F6B">
              <w:t>- Provider lock-in - Loss of governance - Compliance challenges - Provider exit</w:t>
            </w:r>
          </w:p>
        </w:tc>
      </w:tr>
      <w:tr w:rsidR="00133F6B" w:rsidRPr="00133F6B" w14:paraId="5B4B08F4" w14:textId="77777777" w:rsidTr="0080067D">
        <w:trPr>
          <w:tblCellSpacing w:w="15" w:type="dxa"/>
        </w:trPr>
        <w:tc>
          <w:tcPr>
            <w:tcW w:w="0" w:type="auto"/>
            <w:vAlign w:val="center"/>
            <w:hideMark/>
          </w:tcPr>
          <w:p w14:paraId="278705F8" w14:textId="77777777" w:rsidR="00133F6B" w:rsidRPr="00133F6B" w:rsidRDefault="00133F6B" w:rsidP="00133F6B">
            <w:pPr>
              <w:tabs>
                <w:tab w:val="left" w:pos="2484"/>
              </w:tabs>
              <w:jc w:val="both"/>
            </w:pPr>
            <w:r w:rsidRPr="00133F6B">
              <w:rPr>
                <w:b/>
                <w:bCs/>
              </w:rPr>
              <w:t>General Risks</w:t>
            </w:r>
          </w:p>
        </w:tc>
        <w:tc>
          <w:tcPr>
            <w:tcW w:w="0" w:type="auto"/>
            <w:vAlign w:val="center"/>
            <w:hideMark/>
          </w:tcPr>
          <w:p w14:paraId="01FCD383" w14:textId="77777777" w:rsidR="00133F6B" w:rsidRPr="00133F6B" w:rsidRDefault="00133F6B" w:rsidP="00133F6B">
            <w:pPr>
              <w:tabs>
                <w:tab w:val="left" w:pos="2484"/>
              </w:tabs>
              <w:jc w:val="both"/>
            </w:pPr>
            <w:r w:rsidRPr="00133F6B">
              <w:t>- Performance failure - Operability issues - Lack of integration/protection</w:t>
            </w:r>
          </w:p>
        </w:tc>
      </w:tr>
      <w:tr w:rsidR="00133F6B" w:rsidRPr="00133F6B" w14:paraId="7C4CCB1A" w14:textId="77777777" w:rsidTr="0080067D">
        <w:trPr>
          <w:tblCellSpacing w:w="15" w:type="dxa"/>
        </w:trPr>
        <w:tc>
          <w:tcPr>
            <w:tcW w:w="0" w:type="auto"/>
            <w:vAlign w:val="center"/>
            <w:hideMark/>
          </w:tcPr>
          <w:p w14:paraId="68A3539B" w14:textId="77777777" w:rsidR="00133F6B" w:rsidRPr="00133F6B" w:rsidRDefault="00133F6B" w:rsidP="00133F6B">
            <w:pPr>
              <w:tabs>
                <w:tab w:val="left" w:pos="2484"/>
              </w:tabs>
              <w:jc w:val="both"/>
            </w:pPr>
            <w:r w:rsidRPr="00133F6B">
              <w:rPr>
                <w:b/>
                <w:bCs/>
              </w:rPr>
              <w:t>Virtualization Risks</w:t>
            </w:r>
          </w:p>
        </w:tc>
        <w:tc>
          <w:tcPr>
            <w:tcW w:w="0" w:type="auto"/>
            <w:vAlign w:val="center"/>
            <w:hideMark/>
          </w:tcPr>
          <w:p w14:paraId="5CCB3F6B" w14:textId="77777777" w:rsidR="00133F6B" w:rsidRPr="00133F6B" w:rsidRDefault="00133F6B" w:rsidP="00133F6B">
            <w:pPr>
              <w:tabs>
                <w:tab w:val="left" w:pos="2484"/>
              </w:tabs>
              <w:jc w:val="both"/>
            </w:pPr>
            <w:r w:rsidRPr="00133F6B">
              <w:t>- Guest breakout - Insecure snapshots/images - VM sprawl</w:t>
            </w:r>
          </w:p>
        </w:tc>
      </w:tr>
      <w:tr w:rsidR="00133F6B" w:rsidRPr="00133F6B" w14:paraId="28A1967F" w14:textId="77777777" w:rsidTr="0080067D">
        <w:trPr>
          <w:tblCellSpacing w:w="15" w:type="dxa"/>
        </w:trPr>
        <w:tc>
          <w:tcPr>
            <w:tcW w:w="0" w:type="auto"/>
            <w:vAlign w:val="center"/>
            <w:hideMark/>
          </w:tcPr>
          <w:p w14:paraId="29189F7B" w14:textId="77777777" w:rsidR="00133F6B" w:rsidRPr="00133F6B" w:rsidRDefault="00133F6B" w:rsidP="00133F6B">
            <w:pPr>
              <w:tabs>
                <w:tab w:val="left" w:pos="2484"/>
              </w:tabs>
              <w:jc w:val="both"/>
            </w:pPr>
            <w:r w:rsidRPr="00133F6B">
              <w:rPr>
                <w:b/>
                <w:bCs/>
              </w:rPr>
              <w:t>Non-Cloud-Specific Risks</w:t>
            </w:r>
          </w:p>
        </w:tc>
        <w:tc>
          <w:tcPr>
            <w:tcW w:w="0" w:type="auto"/>
            <w:vAlign w:val="center"/>
            <w:hideMark/>
          </w:tcPr>
          <w:p w14:paraId="30AAEF0D" w14:textId="77777777" w:rsidR="00133F6B" w:rsidRPr="00133F6B" w:rsidRDefault="00133F6B" w:rsidP="00133F6B">
            <w:pPr>
              <w:tabs>
                <w:tab w:val="left" w:pos="2484"/>
              </w:tabs>
              <w:jc w:val="both"/>
            </w:pPr>
            <w:r w:rsidRPr="00133F6B">
              <w:t>- Default passwords - Social engineering - Network attacks</w:t>
            </w:r>
          </w:p>
        </w:tc>
      </w:tr>
      <w:tr w:rsidR="00133F6B" w:rsidRPr="00133F6B" w14:paraId="1A9BF0E1" w14:textId="77777777" w:rsidTr="0080067D">
        <w:trPr>
          <w:tblCellSpacing w:w="15" w:type="dxa"/>
        </w:trPr>
        <w:tc>
          <w:tcPr>
            <w:tcW w:w="0" w:type="auto"/>
            <w:vAlign w:val="center"/>
            <w:hideMark/>
          </w:tcPr>
          <w:p w14:paraId="5A1758A2" w14:textId="77777777" w:rsidR="00133F6B" w:rsidRPr="00133F6B" w:rsidRDefault="00133F6B" w:rsidP="00133F6B">
            <w:pPr>
              <w:tabs>
                <w:tab w:val="left" w:pos="2484"/>
              </w:tabs>
              <w:jc w:val="both"/>
            </w:pPr>
            <w:r w:rsidRPr="00133F6B">
              <w:rPr>
                <w:b/>
                <w:bCs/>
              </w:rPr>
              <w:t>Cloud-Specific Risks</w:t>
            </w:r>
          </w:p>
        </w:tc>
        <w:tc>
          <w:tcPr>
            <w:tcW w:w="0" w:type="auto"/>
            <w:vAlign w:val="center"/>
            <w:hideMark/>
          </w:tcPr>
          <w:p w14:paraId="4CB0182A" w14:textId="77777777" w:rsidR="00133F6B" w:rsidRPr="00133F6B" w:rsidRDefault="00133F6B" w:rsidP="00133F6B">
            <w:pPr>
              <w:tabs>
                <w:tab w:val="left" w:pos="2484"/>
              </w:tabs>
              <w:jc w:val="both"/>
            </w:pPr>
            <w:r w:rsidRPr="00133F6B">
              <w:t>- Management plane breaches - Resource exhaustion - Isolation failure - Insecure deletion</w:t>
            </w:r>
          </w:p>
        </w:tc>
      </w:tr>
      <w:tr w:rsidR="00133F6B" w:rsidRPr="00133F6B" w14:paraId="6E41CAB1" w14:textId="77777777" w:rsidTr="0080067D">
        <w:trPr>
          <w:tblCellSpacing w:w="15" w:type="dxa"/>
        </w:trPr>
        <w:tc>
          <w:tcPr>
            <w:tcW w:w="0" w:type="auto"/>
            <w:vAlign w:val="center"/>
            <w:hideMark/>
          </w:tcPr>
          <w:p w14:paraId="6B74B79C" w14:textId="77777777" w:rsidR="00133F6B" w:rsidRPr="00133F6B" w:rsidRDefault="00133F6B" w:rsidP="00133F6B">
            <w:pPr>
              <w:tabs>
                <w:tab w:val="left" w:pos="2484"/>
              </w:tabs>
              <w:jc w:val="both"/>
            </w:pPr>
            <w:r w:rsidRPr="00133F6B">
              <w:rPr>
                <w:b/>
                <w:bCs/>
              </w:rPr>
              <w:t>Legal Risks</w:t>
            </w:r>
          </w:p>
        </w:tc>
        <w:tc>
          <w:tcPr>
            <w:tcW w:w="0" w:type="auto"/>
            <w:vAlign w:val="center"/>
            <w:hideMark/>
          </w:tcPr>
          <w:p w14:paraId="77B4CDA2" w14:textId="77777777" w:rsidR="00133F6B" w:rsidRPr="00133F6B" w:rsidRDefault="00133F6B" w:rsidP="00133F6B">
            <w:pPr>
              <w:tabs>
                <w:tab w:val="left" w:pos="2484"/>
              </w:tabs>
              <w:jc w:val="both"/>
            </w:pPr>
            <w:r w:rsidRPr="00133F6B">
              <w:t>- Data protection laws - Jurisdictional issues - Licensing &amp; law enforcement</w:t>
            </w:r>
          </w:p>
        </w:tc>
      </w:tr>
    </w:tbl>
    <w:p w14:paraId="7596007B" w14:textId="77777777" w:rsidR="00F60E86" w:rsidRDefault="00F60E86" w:rsidP="00457465">
      <w:pPr>
        <w:tabs>
          <w:tab w:val="left" w:pos="2484"/>
        </w:tabs>
        <w:jc w:val="both"/>
      </w:pPr>
    </w:p>
    <w:p w14:paraId="37E2D808" w14:textId="0E7D5D55" w:rsidR="00133F6B" w:rsidRDefault="00902D99" w:rsidP="00457465">
      <w:pPr>
        <w:tabs>
          <w:tab w:val="left" w:pos="2484"/>
        </w:tabs>
        <w:jc w:val="both"/>
        <w:rPr>
          <w:b/>
          <w:bCs/>
          <w:u w:val="single"/>
        </w:rPr>
      </w:pPr>
      <w:r w:rsidRPr="00902D99">
        <w:rPr>
          <w:b/>
          <w:bCs/>
          <w:u w:val="single"/>
        </w:rPr>
        <w:t>Threats to Cloud Platform &amp; Infrastructure</w:t>
      </w:r>
    </w:p>
    <w:p w14:paraId="675C07CC" w14:textId="77777777" w:rsidR="00902D99" w:rsidRPr="00902D99" w:rsidRDefault="00902D99" w:rsidP="00902D99">
      <w:pPr>
        <w:numPr>
          <w:ilvl w:val="0"/>
          <w:numId w:val="6"/>
        </w:numPr>
        <w:tabs>
          <w:tab w:val="left" w:pos="2484"/>
        </w:tabs>
      </w:pPr>
      <w:r w:rsidRPr="00902D99">
        <w:t>Natural Disasters</w:t>
      </w:r>
      <w:r w:rsidRPr="00902D99">
        <w:br/>
        <w:t>Risk: Fire, floods, earthquakes can damage infrastructure.</w:t>
      </w:r>
      <w:r w:rsidRPr="00902D99">
        <w:br/>
        <w:t>→ Mitigate using risk assessment tools and disaster recovery planning.</w:t>
      </w:r>
    </w:p>
    <w:p w14:paraId="50A418BE" w14:textId="77777777" w:rsidR="00902D99" w:rsidRPr="00902D99" w:rsidRDefault="00902D99" w:rsidP="00902D99">
      <w:pPr>
        <w:numPr>
          <w:ilvl w:val="0"/>
          <w:numId w:val="6"/>
        </w:numPr>
        <w:tabs>
          <w:tab w:val="left" w:pos="2484"/>
        </w:tabs>
      </w:pPr>
      <w:r w:rsidRPr="00902D99">
        <w:t>Unauthorized Physical Access</w:t>
      </w:r>
      <w:r w:rsidRPr="00902D99">
        <w:br/>
        <w:t>Risk: Intruders can access and damage hardware.</w:t>
      </w:r>
      <w:r w:rsidRPr="00902D99">
        <w:br/>
        <w:t>→ Use physical security controls and risk mitigation strategies.</w:t>
      </w:r>
    </w:p>
    <w:p w14:paraId="4255FFA0" w14:textId="77777777" w:rsidR="00902D99" w:rsidRPr="00902D99" w:rsidRDefault="00902D99" w:rsidP="00902D99">
      <w:pPr>
        <w:numPr>
          <w:ilvl w:val="0"/>
          <w:numId w:val="6"/>
        </w:numPr>
        <w:tabs>
          <w:tab w:val="left" w:pos="2484"/>
        </w:tabs>
      </w:pPr>
      <w:r w:rsidRPr="00902D99">
        <w:t>Employee Negligence</w:t>
      </w:r>
      <w:r w:rsidRPr="00902D99">
        <w:br/>
        <w:t>Risk: Accidental deletion, mishandling logs.</w:t>
      </w:r>
      <w:r w:rsidRPr="00902D99">
        <w:br/>
        <w:t>→ Apply a strong security policy and training.</w:t>
      </w:r>
    </w:p>
    <w:p w14:paraId="783C655A" w14:textId="77777777" w:rsidR="00902D99" w:rsidRPr="00902D99" w:rsidRDefault="00902D99" w:rsidP="00902D99">
      <w:pPr>
        <w:numPr>
          <w:ilvl w:val="0"/>
          <w:numId w:val="6"/>
        </w:numPr>
        <w:tabs>
          <w:tab w:val="left" w:pos="2484"/>
        </w:tabs>
      </w:pPr>
      <w:r w:rsidRPr="00902D99">
        <w:t>Privilege Escalation</w:t>
      </w:r>
      <w:r w:rsidRPr="00902D99">
        <w:br/>
        <w:t>Risk: Attackers compromise VMs via hypervisor.</w:t>
      </w:r>
      <w:r w:rsidRPr="00902D99">
        <w:br/>
        <w:t>→ Use patched hypervisors and access control policies.</w:t>
      </w:r>
    </w:p>
    <w:p w14:paraId="400931CB" w14:textId="77777777" w:rsidR="00902D99" w:rsidRPr="00902D99" w:rsidRDefault="00902D99" w:rsidP="00902D99">
      <w:pPr>
        <w:numPr>
          <w:ilvl w:val="0"/>
          <w:numId w:val="6"/>
        </w:numPr>
        <w:tabs>
          <w:tab w:val="left" w:pos="2484"/>
        </w:tabs>
      </w:pPr>
      <w:r w:rsidRPr="00902D99">
        <w:t>Insecure Data Deletion</w:t>
      </w:r>
      <w:r w:rsidRPr="00902D99">
        <w:br/>
        <w:t>Risk: Residual data may persist after deletion.</w:t>
      </w:r>
      <w:r w:rsidRPr="00902D99">
        <w:br/>
        <w:t>→ Ensure secure wipe of storage and hardware reallocation.</w:t>
      </w:r>
    </w:p>
    <w:p w14:paraId="3BC81B94" w14:textId="77777777" w:rsidR="00902D99" w:rsidRPr="00902D99" w:rsidRDefault="00902D99" w:rsidP="00902D99">
      <w:pPr>
        <w:numPr>
          <w:ilvl w:val="0"/>
          <w:numId w:val="6"/>
        </w:numPr>
        <w:tabs>
          <w:tab w:val="left" w:pos="2484"/>
        </w:tabs>
      </w:pPr>
      <w:r w:rsidRPr="00902D99">
        <w:t>Obsolete Cryptography</w:t>
      </w:r>
      <w:r w:rsidRPr="00902D99">
        <w:br/>
        <w:t>Risk: Weak or outdated encryption protocols.</w:t>
      </w:r>
      <w:r w:rsidRPr="00902D99">
        <w:br/>
        <w:t>→ Enforce modern cryptographic standards.</w:t>
      </w:r>
    </w:p>
    <w:p w14:paraId="06D6C6A6" w14:textId="77777777" w:rsidR="00902D99" w:rsidRPr="00902D99" w:rsidRDefault="00902D99" w:rsidP="00902D99">
      <w:pPr>
        <w:numPr>
          <w:ilvl w:val="0"/>
          <w:numId w:val="6"/>
        </w:numPr>
        <w:tabs>
          <w:tab w:val="left" w:pos="2484"/>
        </w:tabs>
      </w:pPr>
      <w:r w:rsidRPr="00902D99">
        <w:t>Cloud Service Failure</w:t>
      </w:r>
      <w:r w:rsidRPr="00902D99">
        <w:br/>
        <w:t>Risk: Attackers disable services.</w:t>
      </w:r>
      <w:r w:rsidRPr="00902D99">
        <w:br/>
        <w:t>→ Use multiple IDS systems for intrusion prevention.</w:t>
      </w:r>
    </w:p>
    <w:p w14:paraId="788F8586" w14:textId="77777777" w:rsidR="00902D99" w:rsidRPr="00902D99" w:rsidRDefault="00902D99" w:rsidP="00902D99">
      <w:pPr>
        <w:numPr>
          <w:ilvl w:val="0"/>
          <w:numId w:val="6"/>
        </w:numPr>
        <w:tabs>
          <w:tab w:val="left" w:pos="2484"/>
        </w:tabs>
      </w:pPr>
      <w:r w:rsidRPr="00902D99">
        <w:lastRenderedPageBreak/>
        <w:t>Insufficient Monitoring &amp; Logging</w:t>
      </w:r>
      <w:r w:rsidRPr="00902D99">
        <w:br/>
        <w:t>Risk: Hard to trace incidents or user activity.</w:t>
      </w:r>
      <w:r w:rsidRPr="00902D99">
        <w:br/>
        <w:t>→ Use advanced logging tools and audit trails.</w:t>
      </w:r>
    </w:p>
    <w:p w14:paraId="350260DD" w14:textId="77777777" w:rsidR="00902D99" w:rsidRPr="00902D99" w:rsidRDefault="00902D99" w:rsidP="00902D99">
      <w:pPr>
        <w:numPr>
          <w:ilvl w:val="0"/>
          <w:numId w:val="6"/>
        </w:numPr>
        <w:tabs>
          <w:tab w:val="left" w:pos="2484"/>
        </w:tabs>
      </w:pPr>
      <w:r w:rsidRPr="00902D99">
        <w:t>Third-party Supplier Failure</w:t>
      </w:r>
      <w:r w:rsidRPr="00902D99">
        <w:br/>
        <w:t>Risk: Outsourced vendors may have weak security.</w:t>
      </w:r>
      <w:r w:rsidRPr="00902D99">
        <w:br/>
        <w:t>→ Vet suppliers carefully and maintain backup vendors.</w:t>
      </w:r>
    </w:p>
    <w:p w14:paraId="374AC970" w14:textId="77777777" w:rsidR="00902D99" w:rsidRPr="00902D99" w:rsidRDefault="00902D99" w:rsidP="00902D99">
      <w:pPr>
        <w:numPr>
          <w:ilvl w:val="0"/>
          <w:numId w:val="6"/>
        </w:numPr>
        <w:tabs>
          <w:tab w:val="left" w:pos="2484"/>
        </w:tabs>
      </w:pPr>
      <w:r w:rsidRPr="00902D99">
        <w:t>Vendor Lock-in</w:t>
      </w:r>
      <w:r w:rsidRPr="00902D99">
        <w:br/>
        <w:t>Risk: Difficult to switch cloud providers.</w:t>
      </w:r>
      <w:r w:rsidRPr="00902D99">
        <w:br/>
        <w:t>→ Evaluate CSPs beforehand and understand migration costs.</w:t>
      </w:r>
    </w:p>
    <w:p w14:paraId="4B1EAEA5" w14:textId="77777777" w:rsidR="00902D99" w:rsidRPr="00902D99" w:rsidRDefault="00902D99" w:rsidP="00902D99">
      <w:pPr>
        <w:numPr>
          <w:ilvl w:val="0"/>
          <w:numId w:val="6"/>
        </w:numPr>
        <w:tabs>
          <w:tab w:val="left" w:pos="2484"/>
        </w:tabs>
      </w:pPr>
      <w:r w:rsidRPr="00902D99">
        <w:t>Subpoena &amp; e-Discovery Risks</w:t>
      </w:r>
      <w:r w:rsidRPr="00902D99">
        <w:br/>
        <w:t>Risk: Varying data privacy laws across countries.</w:t>
      </w:r>
      <w:r w:rsidRPr="00902D99">
        <w:br/>
        <w:t>→ Be aware of the legal jurisdiction of your CSP.</w:t>
      </w:r>
    </w:p>
    <w:p w14:paraId="0AC74CF8" w14:textId="77777777" w:rsidR="00902D99" w:rsidRDefault="00902D99" w:rsidP="00457465">
      <w:pPr>
        <w:tabs>
          <w:tab w:val="left" w:pos="2484"/>
        </w:tabs>
        <w:jc w:val="both"/>
      </w:pPr>
    </w:p>
    <w:p w14:paraId="1FE85CBD" w14:textId="77777777" w:rsidR="00DF0756" w:rsidRDefault="00DF0756" w:rsidP="00457465">
      <w:pPr>
        <w:tabs>
          <w:tab w:val="left" w:pos="2484"/>
        </w:tabs>
        <w:jc w:val="both"/>
      </w:pPr>
    </w:p>
    <w:p w14:paraId="4FB4BDCE" w14:textId="09358716" w:rsidR="00DF0756" w:rsidRPr="00902D99" w:rsidRDefault="00DF0756" w:rsidP="00DF0756">
      <w:pPr>
        <w:tabs>
          <w:tab w:val="left" w:pos="2484"/>
        </w:tabs>
        <w:jc w:val="center"/>
      </w:pPr>
      <w:r>
        <w:t>--The End--</w:t>
      </w:r>
    </w:p>
    <w:sectPr w:rsidR="00DF0756" w:rsidRPr="00902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D0815"/>
    <w:multiLevelType w:val="hybridMultilevel"/>
    <w:tmpl w:val="578E3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7906DA"/>
    <w:multiLevelType w:val="hybridMultilevel"/>
    <w:tmpl w:val="F0AA3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F40E07"/>
    <w:multiLevelType w:val="hybridMultilevel"/>
    <w:tmpl w:val="B5C48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FC13E7"/>
    <w:multiLevelType w:val="multilevel"/>
    <w:tmpl w:val="6D40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81369"/>
    <w:multiLevelType w:val="multilevel"/>
    <w:tmpl w:val="A71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67A39"/>
    <w:multiLevelType w:val="multilevel"/>
    <w:tmpl w:val="7FB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082431">
    <w:abstractNumId w:val="5"/>
  </w:num>
  <w:num w:numId="2" w16cid:durableId="429786054">
    <w:abstractNumId w:val="4"/>
  </w:num>
  <w:num w:numId="3" w16cid:durableId="1831561413">
    <w:abstractNumId w:val="0"/>
  </w:num>
  <w:num w:numId="4" w16cid:durableId="650014434">
    <w:abstractNumId w:val="1"/>
  </w:num>
  <w:num w:numId="5" w16cid:durableId="1014303081">
    <w:abstractNumId w:val="2"/>
  </w:num>
  <w:num w:numId="6" w16cid:durableId="2139294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CE"/>
    <w:rsid w:val="00133F6B"/>
    <w:rsid w:val="00371FCE"/>
    <w:rsid w:val="00446697"/>
    <w:rsid w:val="00457465"/>
    <w:rsid w:val="00603C1C"/>
    <w:rsid w:val="007E1A8B"/>
    <w:rsid w:val="0080067D"/>
    <w:rsid w:val="0089267A"/>
    <w:rsid w:val="00902D99"/>
    <w:rsid w:val="00AB52F9"/>
    <w:rsid w:val="00B72615"/>
    <w:rsid w:val="00C51089"/>
    <w:rsid w:val="00C75401"/>
    <w:rsid w:val="00D839F5"/>
    <w:rsid w:val="00DC4587"/>
    <w:rsid w:val="00DF0756"/>
    <w:rsid w:val="00E213F8"/>
    <w:rsid w:val="00F6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63FC"/>
  <w15:chartTrackingRefBased/>
  <w15:docId w15:val="{D3B1612E-6190-4C2F-95BB-296EAE45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67A"/>
  </w:style>
  <w:style w:type="paragraph" w:styleId="Heading1">
    <w:name w:val="heading 1"/>
    <w:basedOn w:val="Normal"/>
    <w:next w:val="Normal"/>
    <w:link w:val="Heading1Char"/>
    <w:uiPriority w:val="9"/>
    <w:qFormat/>
    <w:rsid w:val="00371F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F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F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F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F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F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F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F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F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F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FCE"/>
    <w:rPr>
      <w:rFonts w:eastAsiaTheme="majorEastAsia" w:cstheme="majorBidi"/>
      <w:color w:val="272727" w:themeColor="text1" w:themeTint="D8"/>
    </w:rPr>
  </w:style>
  <w:style w:type="paragraph" w:styleId="Title">
    <w:name w:val="Title"/>
    <w:basedOn w:val="Normal"/>
    <w:next w:val="Normal"/>
    <w:link w:val="TitleChar"/>
    <w:uiPriority w:val="10"/>
    <w:qFormat/>
    <w:rsid w:val="00371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FCE"/>
    <w:pPr>
      <w:spacing w:before="160"/>
      <w:jc w:val="center"/>
    </w:pPr>
    <w:rPr>
      <w:i/>
      <w:iCs/>
      <w:color w:val="404040" w:themeColor="text1" w:themeTint="BF"/>
    </w:rPr>
  </w:style>
  <w:style w:type="character" w:customStyle="1" w:styleId="QuoteChar">
    <w:name w:val="Quote Char"/>
    <w:basedOn w:val="DefaultParagraphFont"/>
    <w:link w:val="Quote"/>
    <w:uiPriority w:val="29"/>
    <w:rsid w:val="00371FCE"/>
    <w:rPr>
      <w:i/>
      <w:iCs/>
      <w:color w:val="404040" w:themeColor="text1" w:themeTint="BF"/>
    </w:rPr>
  </w:style>
  <w:style w:type="paragraph" w:styleId="ListParagraph">
    <w:name w:val="List Paragraph"/>
    <w:basedOn w:val="Normal"/>
    <w:uiPriority w:val="34"/>
    <w:qFormat/>
    <w:rsid w:val="00371FCE"/>
    <w:pPr>
      <w:ind w:left="720"/>
      <w:contextualSpacing/>
    </w:pPr>
  </w:style>
  <w:style w:type="character" w:styleId="IntenseEmphasis">
    <w:name w:val="Intense Emphasis"/>
    <w:basedOn w:val="DefaultParagraphFont"/>
    <w:uiPriority w:val="21"/>
    <w:qFormat/>
    <w:rsid w:val="00371FCE"/>
    <w:rPr>
      <w:i/>
      <w:iCs/>
      <w:color w:val="2F5496" w:themeColor="accent1" w:themeShade="BF"/>
    </w:rPr>
  </w:style>
  <w:style w:type="paragraph" w:styleId="IntenseQuote">
    <w:name w:val="Intense Quote"/>
    <w:basedOn w:val="Normal"/>
    <w:next w:val="Normal"/>
    <w:link w:val="IntenseQuoteChar"/>
    <w:uiPriority w:val="30"/>
    <w:qFormat/>
    <w:rsid w:val="00371F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FCE"/>
    <w:rPr>
      <w:i/>
      <w:iCs/>
      <w:color w:val="2F5496" w:themeColor="accent1" w:themeShade="BF"/>
    </w:rPr>
  </w:style>
  <w:style w:type="character" w:styleId="IntenseReference">
    <w:name w:val="Intense Reference"/>
    <w:basedOn w:val="DefaultParagraphFont"/>
    <w:uiPriority w:val="32"/>
    <w:qFormat/>
    <w:rsid w:val="00371F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66064">
      <w:bodyDiv w:val="1"/>
      <w:marLeft w:val="0"/>
      <w:marRight w:val="0"/>
      <w:marTop w:val="0"/>
      <w:marBottom w:val="0"/>
      <w:divBdr>
        <w:top w:val="none" w:sz="0" w:space="0" w:color="auto"/>
        <w:left w:val="none" w:sz="0" w:space="0" w:color="auto"/>
        <w:bottom w:val="none" w:sz="0" w:space="0" w:color="auto"/>
        <w:right w:val="none" w:sz="0" w:space="0" w:color="auto"/>
      </w:divBdr>
    </w:div>
    <w:div w:id="528107006">
      <w:bodyDiv w:val="1"/>
      <w:marLeft w:val="0"/>
      <w:marRight w:val="0"/>
      <w:marTop w:val="0"/>
      <w:marBottom w:val="0"/>
      <w:divBdr>
        <w:top w:val="none" w:sz="0" w:space="0" w:color="auto"/>
        <w:left w:val="none" w:sz="0" w:space="0" w:color="auto"/>
        <w:bottom w:val="none" w:sz="0" w:space="0" w:color="auto"/>
        <w:right w:val="none" w:sz="0" w:space="0" w:color="auto"/>
      </w:divBdr>
    </w:div>
    <w:div w:id="569729746">
      <w:bodyDiv w:val="1"/>
      <w:marLeft w:val="0"/>
      <w:marRight w:val="0"/>
      <w:marTop w:val="0"/>
      <w:marBottom w:val="0"/>
      <w:divBdr>
        <w:top w:val="none" w:sz="0" w:space="0" w:color="auto"/>
        <w:left w:val="none" w:sz="0" w:space="0" w:color="auto"/>
        <w:bottom w:val="none" w:sz="0" w:space="0" w:color="auto"/>
        <w:right w:val="none" w:sz="0" w:space="0" w:color="auto"/>
      </w:divBdr>
    </w:div>
    <w:div w:id="1157762828">
      <w:bodyDiv w:val="1"/>
      <w:marLeft w:val="0"/>
      <w:marRight w:val="0"/>
      <w:marTop w:val="0"/>
      <w:marBottom w:val="0"/>
      <w:divBdr>
        <w:top w:val="none" w:sz="0" w:space="0" w:color="auto"/>
        <w:left w:val="none" w:sz="0" w:space="0" w:color="auto"/>
        <w:bottom w:val="none" w:sz="0" w:space="0" w:color="auto"/>
        <w:right w:val="none" w:sz="0" w:space="0" w:color="auto"/>
      </w:divBdr>
    </w:div>
    <w:div w:id="1172834402">
      <w:bodyDiv w:val="1"/>
      <w:marLeft w:val="0"/>
      <w:marRight w:val="0"/>
      <w:marTop w:val="0"/>
      <w:marBottom w:val="0"/>
      <w:divBdr>
        <w:top w:val="none" w:sz="0" w:space="0" w:color="auto"/>
        <w:left w:val="none" w:sz="0" w:space="0" w:color="auto"/>
        <w:bottom w:val="none" w:sz="0" w:space="0" w:color="auto"/>
        <w:right w:val="none" w:sz="0" w:space="0" w:color="auto"/>
      </w:divBdr>
    </w:div>
    <w:div w:id="1243296027">
      <w:bodyDiv w:val="1"/>
      <w:marLeft w:val="0"/>
      <w:marRight w:val="0"/>
      <w:marTop w:val="0"/>
      <w:marBottom w:val="0"/>
      <w:divBdr>
        <w:top w:val="none" w:sz="0" w:space="0" w:color="auto"/>
        <w:left w:val="none" w:sz="0" w:space="0" w:color="auto"/>
        <w:bottom w:val="none" w:sz="0" w:space="0" w:color="auto"/>
        <w:right w:val="none" w:sz="0" w:space="0" w:color="auto"/>
      </w:divBdr>
    </w:div>
    <w:div w:id="1907108365">
      <w:bodyDiv w:val="1"/>
      <w:marLeft w:val="0"/>
      <w:marRight w:val="0"/>
      <w:marTop w:val="0"/>
      <w:marBottom w:val="0"/>
      <w:divBdr>
        <w:top w:val="none" w:sz="0" w:space="0" w:color="auto"/>
        <w:left w:val="none" w:sz="0" w:space="0" w:color="auto"/>
        <w:bottom w:val="none" w:sz="0" w:space="0" w:color="auto"/>
        <w:right w:val="none" w:sz="0" w:space="0" w:color="auto"/>
      </w:divBdr>
    </w:div>
    <w:div w:id="2023047852">
      <w:bodyDiv w:val="1"/>
      <w:marLeft w:val="0"/>
      <w:marRight w:val="0"/>
      <w:marTop w:val="0"/>
      <w:marBottom w:val="0"/>
      <w:divBdr>
        <w:top w:val="none" w:sz="0" w:space="0" w:color="auto"/>
        <w:left w:val="none" w:sz="0" w:space="0" w:color="auto"/>
        <w:bottom w:val="none" w:sz="0" w:space="0" w:color="auto"/>
        <w:right w:val="none" w:sz="0" w:space="0" w:color="auto"/>
      </w:divBdr>
    </w:div>
    <w:div w:id="2112511962">
      <w:bodyDiv w:val="1"/>
      <w:marLeft w:val="0"/>
      <w:marRight w:val="0"/>
      <w:marTop w:val="0"/>
      <w:marBottom w:val="0"/>
      <w:divBdr>
        <w:top w:val="none" w:sz="0" w:space="0" w:color="auto"/>
        <w:left w:val="none" w:sz="0" w:space="0" w:color="auto"/>
        <w:bottom w:val="none" w:sz="0" w:space="0" w:color="auto"/>
        <w:right w:val="none" w:sz="0" w:space="0" w:color="auto"/>
      </w:divBdr>
    </w:div>
    <w:div w:id="213918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6</cp:revision>
  <cp:lastPrinted>2025-07-22T07:41:00Z</cp:lastPrinted>
  <dcterms:created xsi:type="dcterms:W3CDTF">2025-07-18T05:39:00Z</dcterms:created>
  <dcterms:modified xsi:type="dcterms:W3CDTF">2025-07-22T07:42:00Z</dcterms:modified>
</cp:coreProperties>
</file>