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Results included in this manuscript come from preprocessing</w:t>
      </w:r>
      <w:r>
        <w:t xml:space="preserve"> </w:t>
      </w:r>
      <w:r>
        <w:t xml:space="preserve">performed using</w:t>
      </w:r>
      <w:r>
        <w:t xml:space="preserve"> </w:t>
      </w:r>
      <w:r>
        <w:rPr>
          <w:i/>
        </w:rPr>
        <w:t xml:space="preserve">fMRIPrep</w:t>
      </w:r>
      <w:r>
        <w:t xml:space="preserve"> </w:t>
      </w:r>
      <w:r>
        <w:t xml:space="preserve">1.4.0</w:t>
      </w:r>
      <w:r>
        <w:t xml:space="preserve"> </w:t>
      </w:r>
      <w:r>
        <w:t xml:space="preserve">(</w:t>
      </w:r>
      <w:r>
        <w:t xml:space="preserve">@fmriprep1</w:t>
      </w:r>
      <w:r>
        <w:t xml:space="preserve">;</w:t>
      </w:r>
      <w:r>
        <w:t xml:space="preserve"> </w:t>
      </w:r>
      <w:r>
        <w:t xml:space="preserve">@fmriprep2</w:t>
      </w:r>
      <w:r>
        <w:t xml:space="preserve">; RRID:SCR_016216),</w:t>
      </w:r>
      <w:r>
        <w:t xml:space="preserve"> </w:t>
      </w:r>
      <w:r>
        <w:t xml:space="preserve">which is based on</w:t>
      </w:r>
      <w:r>
        <w:t xml:space="preserve"> </w:t>
      </w:r>
      <w:r>
        <w:rPr>
          <w:i/>
        </w:rPr>
        <w:t xml:space="preserve">Nipype</w:t>
      </w:r>
      <w:r>
        <w:t xml:space="preserve"> </w:t>
      </w:r>
      <w:r>
        <w:t xml:space="preserve">1.2.0</w:t>
      </w:r>
      <w:r>
        <w:t xml:space="preserve"> </w:t>
      </w:r>
      <w:r>
        <w:t xml:space="preserve">(</w:t>
      </w:r>
      <w:r>
        <w:t xml:space="preserve">@nipype1</w:t>
      </w:r>
      <w:r>
        <w:t xml:space="preserve">;</w:t>
      </w:r>
      <w:r>
        <w:t xml:space="preserve"> </w:t>
      </w:r>
      <w:r>
        <w:t xml:space="preserve">@nipype2</w:t>
      </w:r>
      <w:r>
        <w:t xml:space="preserve">; RRID:SCR_002502).</w:t>
      </w:r>
    </w:p>
    <w:p>
      <w:pPr>
        <w:pStyle w:val="DefinitionTerm"/>
      </w:pPr>
      <w:r>
        <w:t xml:space="preserve">Anatomical data preprocessing</w:t>
      </w:r>
    </w:p>
    <w:p>
      <w:pPr>
        <w:pStyle w:val="Definition"/>
      </w:pPr>
      <w:r>
        <w:t xml:space="preserve">The T1-weighted (T1w) image was corrected for intensity non-uniformity (INU)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N4BiasFieldCorrection</w:t>
      </w:r>
      <w:r>
        <w:t xml:space="preserve"> </w:t>
      </w:r>
      <w:r>
        <w:t xml:space="preserve">[@n4]</w:t>
      </w:r>
      <w:r>
        <w:t xml:space="preserve">, distributed with ANTs 2.2.0</w:t>
      </w:r>
      <w:r>
        <w:t xml:space="preserve"> </w:t>
      </w:r>
      <w:r>
        <w:t xml:space="preserve">[@ants, RRID:SCR_004757]</w:t>
      </w:r>
      <w:r>
        <w:t xml:space="preserve">, and used as T1w-reference throughout the workflow.</w:t>
      </w:r>
      <w:r>
        <w:t xml:space="preserve"> </w:t>
      </w:r>
      <w:r>
        <w:t xml:space="preserve">The T1w-reference was then skull-stripped with a</w:t>
      </w:r>
      <w:r>
        <w:t xml:space="preserve"> </w:t>
      </w:r>
      <w:r>
        <w:rPr>
          <w:i/>
        </w:rPr>
        <w:t xml:space="preserve">Nipype</w:t>
      </w:r>
      <w:r>
        <w:t xml:space="preserve"> </w:t>
      </w:r>
      <w:r>
        <w:t xml:space="preserve">implementation of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antsBrainExtraction.sh</w:t>
      </w:r>
      <w:r>
        <w:t xml:space="preserve"> </w:t>
      </w:r>
      <w:r>
        <w:t xml:space="preserve">workflow (from ANTs), using OASIS30ANTs</w:t>
      </w:r>
      <w:r>
        <w:t xml:space="preserve"> </w:t>
      </w:r>
      <w:r>
        <w:t xml:space="preserve">as target template.</w:t>
      </w:r>
      <w:r>
        <w:t xml:space="preserve"> </w:t>
      </w:r>
      <w:r>
        <w:t xml:space="preserve">Brain tissue segmentation of cerebrospinal fluid (CSF),</w:t>
      </w:r>
      <w:r>
        <w:t xml:space="preserve"> </w:t>
      </w:r>
      <w:r>
        <w:t xml:space="preserve">white-matter (WM) and gray-matter (GM) was performed on</w:t>
      </w:r>
      <w:r>
        <w:t xml:space="preserve"> </w:t>
      </w:r>
      <w:r>
        <w:t xml:space="preserve">the brain-extracted T1w using</w:t>
      </w:r>
      <w:r>
        <w:t xml:space="preserve"> </w:t>
      </w:r>
      <w:r>
        <w:rPr>
          <w:rStyle w:val="VerbatimChar"/>
        </w:rPr>
        <w:t xml:space="preserve">fast</w:t>
      </w:r>
      <w:r>
        <w:t xml:space="preserve"> </w:t>
      </w:r>
      <w:r>
        <w:t xml:space="preserve">[FSL 5.0.9, RRID:SCR_002823,</w:t>
      </w:r>
      <w:r>
        <w:t xml:space="preserve"> </w:t>
      </w:r>
      <w:r>
        <w:t xml:space="preserve">@fsl_fast]</w:t>
      </w:r>
      <w:r>
        <w:t xml:space="preserve">.</w:t>
      </w:r>
      <w:r>
        <w:t xml:space="preserve"> </w:t>
      </w:r>
      <w:r>
        <w:t xml:space="preserve">Brain surfaces were reconstructed using</w:t>
      </w:r>
      <w:r>
        <w:t xml:space="preserve"> </w:t>
      </w:r>
      <w:r>
        <w:rPr>
          <w:rStyle w:val="VerbatimChar"/>
        </w:rPr>
        <w:t xml:space="preserve">recon-all</w:t>
      </w:r>
      <w:r>
        <w:t xml:space="preserve"> </w:t>
      </w:r>
      <w:r>
        <w:t xml:space="preserve">[FreeSurfer 6.0.1,</w:t>
      </w:r>
      <w:r>
        <w:t xml:space="preserve"> </w:t>
      </w:r>
      <w:r>
        <w:t xml:space="preserve">RRID:SCR_001847, @fs_reconall]</w:t>
      </w:r>
      <w:r>
        <w:t xml:space="preserve">, and the brain mask estimated</w:t>
      </w:r>
      <w:r>
        <w:t xml:space="preserve"> </w:t>
      </w:r>
      <w:r>
        <w:t xml:space="preserve">previously was refined with a custom variation of the method to reconcile</w:t>
      </w:r>
      <w:r>
        <w:t xml:space="preserve"> </w:t>
      </w:r>
      <w:r>
        <w:t xml:space="preserve">ANTs-derived and FreeSurfer-derived segmentations of the cortical</w:t>
      </w:r>
      <w:r>
        <w:t xml:space="preserve"> </w:t>
      </w:r>
      <w:r>
        <w:t xml:space="preserve">gray-matter of Mindboggle</w:t>
      </w:r>
      <w:r>
        <w:t xml:space="preserve"> </w:t>
      </w:r>
      <w:r>
        <w:t xml:space="preserve">[RRID:SCR_002438, @mindboggle]</w:t>
      </w:r>
      <w:r>
        <w:t xml:space="preserve">.</w:t>
      </w:r>
      <w:r>
        <w:t xml:space="preserve"> </w:t>
      </w:r>
      <w:r>
        <w:t xml:space="preserve">Volume-based spatial normalization to two standard spaces (MNI152NLin2009cAsym, MNI152NLin6Asym) was performed through</w:t>
      </w:r>
      <w:r>
        <w:t xml:space="preserve"> </w:t>
      </w:r>
      <w:r>
        <w:t xml:space="preserve">nonlinear registration with</w:t>
      </w:r>
      <w:r>
        <w:t xml:space="preserve"> </w:t>
      </w:r>
      <w:r>
        <w:rPr>
          <w:rStyle w:val="VerbatimChar"/>
        </w:rPr>
        <w:t xml:space="preserve">antsRegistration</w:t>
      </w:r>
      <w:r>
        <w:t xml:space="preserve"> </w:t>
      </w:r>
      <w:r>
        <w:t xml:space="preserve">(ANTs 2.2.0),</w:t>
      </w:r>
      <w:r>
        <w:t xml:space="preserve"> </w:t>
      </w:r>
      <w:r>
        <w:t xml:space="preserve">using brain-extracted versions of both T1w reference and the T1w template.</w:t>
      </w:r>
      <w:r>
        <w:t xml:space="preserve"> </w:t>
      </w:r>
      <w:r>
        <w:t xml:space="preserve">The following templates were selected for spatial normalization:</w:t>
      </w:r>
      <w:r>
        <w:t xml:space="preserve"> </w:t>
      </w:r>
      <w:r>
        <w:rPr>
          <w:i/>
        </w:rPr>
        <w:t xml:space="preserve">ICBM 152 Nonlinear Asymmetrical template version 2009c</w:t>
      </w:r>
      <w:r>
        <w:t xml:space="preserve"> </w:t>
      </w:r>
      <w:r>
        <w:t xml:space="preserve">[</w:t>
      </w:r>
      <w:r>
        <w:t xml:space="preserve">@mni152nlin2009casym</w:t>
      </w:r>
      <w:r>
        <w:t xml:space="preserve">, RRID:SCR_008796; TemplateFlow ID: MNI152NLin2009cAsym],</w:t>
      </w:r>
      <w:r>
        <w:t xml:space="preserve"> </w:t>
      </w:r>
      <w:r>
        <w:rPr>
          <w:i/>
        </w:rPr>
        <w:t xml:space="preserve">FSL’s MNI ICBM 152 non-linear 6th Generation Asymmetric Average Brain Stereotaxic Registration Model</w:t>
      </w:r>
      <w:r>
        <w:t xml:space="preserve"> </w:t>
      </w:r>
      <w:r>
        <w:t xml:space="preserve">[</w:t>
      </w:r>
      <w:r>
        <w:t xml:space="preserve">@mni152nlin6asym</w:t>
      </w:r>
      <w:r>
        <w:t xml:space="preserve">, RRID:SCR_002823; TemplateFlow ID: MNI152NLin6Asym].</w:t>
      </w:r>
    </w:p>
    <w:p>
      <w:pPr>
        <w:pStyle w:val="DefinitionTerm"/>
      </w:pPr>
      <w:r>
        <w:t xml:space="preserve">Functional data preprocessing</w:t>
      </w:r>
    </w:p>
    <w:p>
      <w:pPr>
        <w:pStyle w:val="Definition"/>
      </w:pPr>
      <w:r>
        <w:t xml:space="preserve">For each of the 5 BOLD runs found per subject (across all</w:t>
      </w:r>
      <w:r>
        <w:t xml:space="preserve"> </w:t>
      </w:r>
      <w:r>
        <w:t xml:space="preserve">tasks and sessions), the following preprocessing was performed.</w:t>
      </w:r>
      <w:r>
        <w:t xml:space="preserve"> </w:t>
      </w:r>
      <w:r>
        <w:t xml:space="preserve">First, a reference volume and its skull-stripped version were generated</w:t>
      </w:r>
      <w:r>
        <w:t xml:space="preserve"> </w:t>
      </w:r>
      <w:r>
        <w:t xml:space="preserve">using a custom methodology of</w:t>
      </w:r>
      <w:r>
        <w:t xml:space="preserve"> </w:t>
      </w:r>
      <w:r>
        <w:rPr>
          <w:i/>
        </w:rPr>
        <w:t xml:space="preserve">fMRIPrep</w:t>
      </w:r>
      <w:r>
        <w:t xml:space="preserve">.</w:t>
      </w:r>
      <w:r>
        <w:t xml:space="preserve"> </w:t>
      </w:r>
      <w:r>
        <w:t xml:space="preserve">The BOLD reference was then co-registered to the T1w reference using</w:t>
      </w:r>
      <w:r>
        <w:t xml:space="preserve"> </w:t>
      </w:r>
      <w:r>
        <w:rPr>
          <w:rStyle w:val="VerbatimChar"/>
        </w:rPr>
        <w:t xml:space="preserve">bbregister</w:t>
      </w:r>
      <w:r>
        <w:t xml:space="preserve"> </w:t>
      </w:r>
      <w:r>
        <w:t xml:space="preserve">(FreeSurfer) which implements boundary-based registration</w:t>
      </w:r>
      <w:r>
        <w:t xml:space="preserve"> </w:t>
      </w:r>
      <w:r>
        <w:t xml:space="preserve">[@bbr]</w:t>
      </w:r>
      <w:r>
        <w:t xml:space="preserve">.</w:t>
      </w:r>
      <w:r>
        <w:t xml:space="preserve"> </w:t>
      </w:r>
      <w:r>
        <w:t xml:space="preserve">Co-registration was configured with nine degrees of freedom to account</w:t>
      </w:r>
      <w:r>
        <w:t xml:space="preserve"> </w:t>
      </w:r>
      <w:r>
        <w:t xml:space="preserve">for distortions remaining in the BOLD reference.</w:t>
      </w:r>
      <w:r>
        <w:t xml:space="preserve"> </w:t>
      </w:r>
      <w:r>
        <w:t xml:space="preserve">Head-motion parameters with respect to the BOLD reference</w:t>
      </w:r>
      <w:r>
        <w:t xml:space="preserve"> </w:t>
      </w:r>
      <w:r>
        <w:t xml:space="preserve">(transformation matrices, and six corresponding rotation and translation</w:t>
      </w:r>
      <w:r>
        <w:t xml:space="preserve"> </w:t>
      </w:r>
      <w:r>
        <w:t xml:space="preserve">parameters) are estimated before any spatiotemporal filtering using</w:t>
      </w:r>
      <w:r>
        <w:t xml:space="preserve"> </w:t>
      </w:r>
      <w:r>
        <w:rPr>
          <w:rStyle w:val="VerbatimChar"/>
        </w:rPr>
        <w:t xml:space="preserve">mcflirt</w:t>
      </w:r>
      <w:r>
        <w:t xml:space="preserve"> </w:t>
      </w:r>
      <w:r>
        <w:t xml:space="preserve">[FSL 5.0.9, @mcflirt]</w:t>
      </w:r>
      <w:r>
        <w:t xml:space="preserve">.</w:t>
      </w:r>
      <w:r>
        <w:t xml:space="preserve"> </w:t>
      </w:r>
      <w:r>
        <w:t xml:space="preserve">BOLD runs were slice-time corrected using</w:t>
      </w:r>
      <w:r>
        <w:t xml:space="preserve"> </w:t>
      </w:r>
      <w:r>
        <w:rPr>
          <w:rStyle w:val="VerbatimChar"/>
        </w:rPr>
        <w:t xml:space="preserve">3dTshift</w:t>
      </w:r>
      <w:r>
        <w:t xml:space="preserve"> </w:t>
      </w:r>
      <w:r>
        <w:t xml:space="preserve">from</w:t>
      </w:r>
      <w:r>
        <w:t xml:space="preserve"> </w:t>
      </w:r>
      <w:r>
        <w:t xml:space="preserve">AFNI 20160207</w:t>
      </w:r>
      <w:r>
        <w:t xml:space="preserve"> </w:t>
      </w:r>
      <w:r>
        <w:t xml:space="preserve">[@afni, RRID:SCR_005927]</w:t>
      </w:r>
      <w:r>
        <w:t xml:space="preserve">.</w:t>
      </w:r>
      <w:r>
        <w:t xml:space="preserve"> </w:t>
      </w:r>
      <w:r>
        <w:t xml:space="preserve">The BOLD time-series, were resampled to surfaces on the following</w:t>
      </w:r>
      <w:r>
        <w:t xml:space="preserve"> </w:t>
      </w:r>
      <w:r>
        <w:t xml:space="preserve">spaces:</w:t>
      </w:r>
      <w:r>
        <w:t xml:space="preserve"> </w:t>
      </w:r>
      <w:r>
        <w:rPr>
          <w:i/>
        </w:rPr>
        <w:t xml:space="preserve">fsaverage5</w:t>
      </w:r>
      <w:r>
        <w:t xml:space="preserve">.</w:t>
      </w:r>
      <w:r>
        <w:t xml:space="preserve"> </w:t>
      </w:r>
      <w:r>
        <w:t xml:space="preserve">The BOLD time-series (including slice-timing correction when applied)</w:t>
      </w:r>
      <w:r>
        <w:t xml:space="preserve"> </w:t>
      </w:r>
      <w:r>
        <w:t xml:space="preserve">were resampled onto their original, native space by applying</w:t>
      </w:r>
      <w:r>
        <w:t xml:space="preserve"> </w:t>
      </w:r>
      <w:r>
        <w:t xml:space="preserve">a single, composite transform to correct for head-motion and</w:t>
      </w:r>
      <w:r>
        <w:t xml:space="preserve"> </w:t>
      </w:r>
      <w:r>
        <w:t xml:space="preserve">susceptibility distortions.</w:t>
      </w:r>
      <w:r>
        <w:t xml:space="preserve"> </w:t>
      </w:r>
      <w:r>
        <w:t xml:space="preserve">These resampled BOLD time-series will be referred to as</w:t>
      </w:r>
      <w:r>
        <w:t xml:space="preserve"> </w:t>
      </w:r>
      <w:r>
        <w:rPr>
          <w:i/>
        </w:rPr>
        <w:t xml:space="preserve">preprocessed</w:t>
      </w:r>
      <w:r>
        <w:rPr>
          <w:i/>
        </w:rPr>
        <w:t xml:space="preserve"> </w:t>
      </w:r>
      <w:r>
        <w:rPr>
          <w:i/>
        </w:rPr>
        <w:t xml:space="preserve">BOLD in original space</w:t>
      </w:r>
      <w:r>
        <w:t xml:space="preserve">, or just</w:t>
      </w:r>
      <w:r>
        <w:t xml:space="preserve"> </w:t>
      </w:r>
      <w:r>
        <w:rPr>
          <w:i/>
        </w:rPr>
        <w:t xml:space="preserve">preprocessed BOLD</w:t>
      </w:r>
      <w:r>
        <w:t xml:space="preserve">.</w:t>
      </w:r>
      <w:r>
        <w:t xml:space="preserve"> </w:t>
      </w:r>
      <w:r>
        <w:t xml:space="preserve">The BOLD time-series were resampled into several standard spaces,</w:t>
      </w:r>
      <w:r>
        <w:t xml:space="preserve"> </w:t>
      </w:r>
      <w:r>
        <w:t xml:space="preserve">correspondingly generating the following</w:t>
      </w:r>
      <w:r>
        <w:t xml:space="preserve"> </w:t>
      </w:r>
      <w:r>
        <w:rPr>
          <w:i/>
        </w:rPr>
        <w:t xml:space="preserve">spatially-normalized,</w:t>
      </w:r>
      <w:r>
        <w:rPr>
          <w:i/>
        </w:rPr>
        <w:t xml:space="preserve"> </w:t>
      </w:r>
      <w:r>
        <w:rPr>
          <w:i/>
        </w:rPr>
        <w:t xml:space="preserve">preprocessed BOLD runs</w:t>
      </w:r>
      <w:r>
        <w:t xml:space="preserve">: MNI152NLin2009cAsym, MNI152NLin6Asym.</w:t>
      </w:r>
      <w:r>
        <w:t xml:space="preserve"> </w:t>
      </w:r>
      <w:r>
        <w:t xml:space="preserve">First, a reference volume and its skull-stripped version were generated</w:t>
      </w:r>
      <w:r>
        <w:t xml:space="preserve"> </w:t>
      </w:r>
      <w:r>
        <w:t xml:space="preserve">using a custom methodology of</w:t>
      </w:r>
      <w:r>
        <w:t xml:space="preserve"> </w:t>
      </w:r>
      <w:r>
        <w:rPr>
          <w:i/>
        </w:rPr>
        <w:t xml:space="preserve">fMRIPrep</w:t>
      </w:r>
      <w:r>
        <w:t xml:space="preserve">.</w:t>
      </w:r>
      <w:r>
        <w:t xml:space="preserve"> </w:t>
      </w:r>
      <w:r>
        <w:t xml:space="preserve">Automatic removal of motion artifacts using independent component analysis</w:t>
      </w:r>
      <w:r>
        <w:t xml:space="preserve"> </w:t>
      </w:r>
      <w:r>
        <w:t xml:space="preserve">[ICA-AROMA, @aroma]</w:t>
      </w:r>
      <w:r>
        <w:t xml:space="preserve"> </w:t>
      </w:r>
      <w:r>
        <w:t xml:space="preserve">was performed on the</w:t>
      </w:r>
      <w:r>
        <w:t xml:space="preserve"> </w:t>
      </w:r>
      <w:r>
        <w:rPr>
          <w:i/>
        </w:rPr>
        <w:t xml:space="preserve">preprocessed BOLD on MNI space</w:t>
      </w:r>
      <w:r>
        <w:t xml:space="preserve"> </w:t>
      </w:r>
      <w:r>
        <w:t xml:space="preserve">time-series after removal of non-steady state volumes and spatial smoothing</w:t>
      </w:r>
      <w:r>
        <w:t xml:space="preserve"> </w:t>
      </w:r>
      <w:r>
        <w:t xml:space="preserve">with an isotropic, Gaussian kernel of 6mm FWHM (full-width half-maximum).</w:t>
      </w:r>
      <w:r>
        <w:t xml:space="preserve"> </w:t>
      </w:r>
      <w:r>
        <w:t xml:space="preserve">Corresponding</w:t>
      </w:r>
      <w:r>
        <w:t xml:space="preserve"> </w:t>
      </w:r>
      <w:r>
        <w:t xml:space="preserve">“</w:t>
      </w:r>
      <w:r>
        <w:t xml:space="preserve">non-aggresively</w:t>
      </w:r>
      <w:r>
        <w:t xml:space="preserve">”</w:t>
      </w:r>
      <w:r>
        <w:t xml:space="preserve"> </w:t>
      </w:r>
      <w:r>
        <w:t xml:space="preserve">denoised runs were produced after such</w:t>
      </w:r>
      <w:r>
        <w:t xml:space="preserve"> </w:t>
      </w:r>
      <w:r>
        <w:t xml:space="preserve">smoothing.</w:t>
      </w:r>
      <w:r>
        <w:t xml:space="preserve"> </w:t>
      </w:r>
      <w:r>
        <w:t xml:space="preserve">Additionally, the</w:t>
      </w:r>
      <w:r>
        <w:t xml:space="preserve"> </w:t>
      </w:r>
      <w:r>
        <w:t xml:space="preserve">“</w:t>
      </w:r>
      <w:r>
        <w:t xml:space="preserve">aggressive</w:t>
      </w:r>
      <w:r>
        <w:t xml:space="preserve">”</w:t>
      </w:r>
      <w:r>
        <w:t xml:space="preserve"> </w:t>
      </w:r>
      <w:r>
        <w:t xml:space="preserve">noise-regressors were collected and placed</w:t>
      </w:r>
      <w:r>
        <w:t xml:space="preserve"> </w:t>
      </w:r>
      <w:r>
        <w:t xml:space="preserve">in the corresponding confounds file.</w:t>
      </w:r>
      <w:r>
        <w:t xml:space="preserve"> </w:t>
      </w:r>
      <w:r>
        <w:t xml:space="preserve">Several confounding time-series were calculated based on the</w:t>
      </w:r>
      <w:r>
        <w:t xml:space="preserve"> </w:t>
      </w:r>
      <w:r>
        <w:rPr>
          <w:i/>
        </w:rPr>
        <w:t xml:space="preserve">preprocessed BOLD</w:t>
      </w:r>
      <w:r>
        <w:t xml:space="preserve">: framewise displacement (FD), DVARS and</w:t>
      </w:r>
      <w:r>
        <w:t xml:space="preserve"> </w:t>
      </w:r>
      <w:r>
        <w:t xml:space="preserve">three region-wise global signals.</w:t>
      </w:r>
      <w:r>
        <w:t xml:space="preserve"> </w:t>
      </w:r>
      <w:r>
        <w:t xml:space="preserve">FD and DVARS are calculated for each functional run, both using their</w:t>
      </w:r>
      <w:r>
        <w:t xml:space="preserve"> </w:t>
      </w:r>
      <w:r>
        <w:t xml:space="preserve">implementations in</w:t>
      </w:r>
      <w:r>
        <w:t xml:space="preserve"> </w:t>
      </w:r>
      <w:r>
        <w:rPr>
          <w:i/>
        </w:rPr>
        <w:t xml:space="preserve">Nipype</w:t>
      </w:r>
      <w:r>
        <w:t xml:space="preserve"> </w:t>
      </w:r>
      <w:r>
        <w:t xml:space="preserve">[following the definitions by @power_fd_dvars]</w:t>
      </w:r>
      <w:r>
        <w:t xml:space="preserve">.</w:t>
      </w:r>
      <w:r>
        <w:t xml:space="preserve"> </w:t>
      </w:r>
      <w:r>
        <w:t xml:space="preserve">The three global signals are extracted within the CSF, the WM, and</w:t>
      </w:r>
      <w:r>
        <w:t xml:space="preserve"> </w:t>
      </w:r>
      <w:r>
        <w:t xml:space="preserve">the whole-brain masks.</w:t>
      </w:r>
      <w:r>
        <w:t xml:space="preserve"> </w:t>
      </w:r>
      <w:r>
        <w:t xml:space="preserve">Additionally, a set of physiological regressors were extracted to</w:t>
      </w:r>
      <w:r>
        <w:t xml:space="preserve"> </w:t>
      </w:r>
      <w:r>
        <w:t xml:space="preserve">allow for component-based noise correction</w:t>
      </w:r>
      <w:r>
        <w:t xml:space="preserve"> </w:t>
      </w:r>
      <w:r>
        <w:t xml:space="preserve">[*CompCor*, @compcor]</w:t>
      </w:r>
      <w:r>
        <w:t xml:space="preserve">.</w:t>
      </w:r>
      <w:r>
        <w:t xml:space="preserve"> </w:t>
      </w:r>
      <w:r>
        <w:t xml:space="preserve">Principal components are estimated after high-pass filtering the</w:t>
      </w:r>
      <w:r>
        <w:t xml:space="preserve"> </w:t>
      </w:r>
      <w:r>
        <w:rPr>
          <w:i/>
        </w:rPr>
        <w:t xml:space="preserve">preprocessed BOLD</w:t>
      </w:r>
      <w:r>
        <w:t xml:space="preserve"> </w:t>
      </w:r>
      <w:r>
        <w:t xml:space="preserve">time-series (using a discrete cosine filter with</w:t>
      </w:r>
      <w:r>
        <w:t xml:space="preserve"> </w:t>
      </w:r>
      <w:r>
        <w:t xml:space="preserve">128s cut-off) for the two</w:t>
      </w:r>
      <w:r>
        <w:t xml:space="preserve"> </w:t>
      </w:r>
      <w:r>
        <w:rPr>
          <w:i/>
        </w:rPr>
        <w:t xml:space="preserve">CompCor</w:t>
      </w:r>
      <w:r>
        <w:t xml:space="preserve"> </w:t>
      </w:r>
      <w:r>
        <w:t xml:space="preserve">variants: temporal (tCompCor)</w:t>
      </w:r>
      <w:r>
        <w:t xml:space="preserve"> </w:t>
      </w:r>
      <w:r>
        <w:t xml:space="preserve">and anatomical (aCompCor).</w:t>
      </w:r>
      <w:r>
        <w:t xml:space="preserve"> </w:t>
      </w:r>
      <w:r>
        <w:t xml:space="preserve">tCompCor components are then calculated from the top 5% variable</w:t>
      </w:r>
      <w:r>
        <w:t xml:space="preserve"> </w:t>
      </w:r>
      <w:r>
        <w:t xml:space="preserve">voxels within a mask covering the subcortical regions.</w:t>
      </w:r>
      <w:r>
        <w:t xml:space="preserve"> </w:t>
      </w:r>
      <w:r>
        <w:t xml:space="preserve">This subcortical mask is obtained by heavily eroding the brain mask,</w:t>
      </w:r>
      <w:r>
        <w:t xml:space="preserve"> </w:t>
      </w:r>
      <w:r>
        <w:t xml:space="preserve">which ensures it does not include cortical GM regions.</w:t>
      </w:r>
      <w:r>
        <w:t xml:space="preserve"> </w:t>
      </w:r>
      <w:r>
        <w:t xml:space="preserve">For aCompCor, components are calculated within the intersection of</w:t>
      </w:r>
      <w:r>
        <w:t xml:space="preserve"> </w:t>
      </w:r>
      <w:r>
        <w:t xml:space="preserve">the aforementioned mask and the union of CSF and WM masks calculated</w:t>
      </w:r>
      <w:r>
        <w:t xml:space="preserve"> </w:t>
      </w:r>
      <w:r>
        <w:t xml:space="preserve">in T1w space, after their projection to the native space of each</w:t>
      </w:r>
      <w:r>
        <w:t xml:space="preserve"> </w:t>
      </w:r>
      <w:r>
        <w:t xml:space="preserve">functional run (using the inverse BOLD-to-T1w transformation). Components</w:t>
      </w:r>
      <w:r>
        <w:t xml:space="preserve"> </w:t>
      </w:r>
      <w:r>
        <w:t xml:space="preserve">are also calculated separately within the WM and CSF masks.</w:t>
      </w:r>
      <w:r>
        <w:t xml:space="preserve"> </w:t>
      </w:r>
      <w:r>
        <w:t xml:space="preserve">For each CompCor decomposition, the</w:t>
      </w:r>
      <w:r>
        <w:t xml:space="preserve"> </w:t>
      </w:r>
      <w:r>
        <w:rPr>
          <w:i/>
        </w:rPr>
        <w:t xml:space="preserve">k</w:t>
      </w:r>
      <w:r>
        <w:t xml:space="preserve"> </w:t>
      </w:r>
      <w:r>
        <w:t xml:space="preserve">components with the largest singular</w:t>
      </w:r>
      <w:r>
        <w:t xml:space="preserve"> </w:t>
      </w:r>
      <w:r>
        <w:t xml:space="preserve">values are retained, such that the retained components’ time series are</w:t>
      </w:r>
      <w:r>
        <w:t xml:space="preserve"> </w:t>
      </w:r>
      <w:r>
        <w:t xml:space="preserve">sufficient to explain 50 percent of variance across the nuisance mask (CSF,</w:t>
      </w:r>
      <w:r>
        <w:t xml:space="preserve"> </w:t>
      </w:r>
      <w:r>
        <w:t xml:space="preserve">WM, combined, or temporal). The remaining components are dropped from</w:t>
      </w:r>
      <w:r>
        <w:t xml:space="preserve"> </w:t>
      </w:r>
      <w:r>
        <w:t xml:space="preserve">consideration.</w:t>
      </w:r>
      <w:r>
        <w:t xml:space="preserve"> </w:t>
      </w:r>
      <w:r>
        <w:t xml:space="preserve">The head-motion estimates calculated in the correction step were also</w:t>
      </w:r>
      <w:r>
        <w:t xml:space="preserve"> </w:t>
      </w:r>
      <w:r>
        <w:t xml:space="preserve">placed within the corresponding confounds file.</w:t>
      </w:r>
      <w:r>
        <w:t xml:space="preserve"> </w:t>
      </w:r>
      <w:r>
        <w:t xml:space="preserve">The confound time series derived from head motion estimates and global</w:t>
      </w:r>
      <w:r>
        <w:t xml:space="preserve"> </w:t>
      </w:r>
      <w:r>
        <w:t xml:space="preserve">signals were expanded with the inclusion of temporal derivatives and</w:t>
      </w:r>
      <w:r>
        <w:t xml:space="preserve"> </w:t>
      </w:r>
      <w:r>
        <w:t xml:space="preserve">quadratic terms for each</w:t>
      </w:r>
      <w:r>
        <w:t xml:space="preserve"> </w:t>
      </w:r>
      <w:r>
        <w:t xml:space="preserve">[@confounds_satterthwaite_2013]</w:t>
      </w:r>
      <w:r>
        <w:t xml:space="preserve">.</w:t>
      </w:r>
      <w:r>
        <w:t xml:space="preserve"> </w:t>
      </w:r>
      <w:r>
        <w:t xml:space="preserve">Frames that exceeded a threshold of 0.5 mm FD or 1.5 standardised DVARS</w:t>
      </w:r>
      <w:r>
        <w:t xml:space="preserve"> </w:t>
      </w:r>
      <w:r>
        <w:t xml:space="preserve">were annotated as motion outliers.</w:t>
      </w:r>
      <w:r>
        <w:t xml:space="preserve"> </w:t>
      </w:r>
      <w:r>
        <w:t xml:space="preserve">All resamplings can be performed with</w:t>
      </w:r>
      <w:r>
        <w:t xml:space="preserve"> </w:t>
      </w:r>
      <w:r>
        <w:rPr>
          <w:i/>
        </w:rPr>
        <w:t xml:space="preserve">a single interpolation</w:t>
      </w:r>
      <w:r>
        <w:rPr>
          <w:i/>
        </w:rPr>
        <w:t xml:space="preserve"> </w:t>
      </w:r>
      <w:r>
        <w:rPr>
          <w:i/>
        </w:rPr>
        <w:t xml:space="preserve">step</w:t>
      </w:r>
      <w:r>
        <w:t xml:space="preserve"> </w:t>
      </w:r>
      <w:r>
        <w:t xml:space="preserve">by composing all the pertinent transformations (i.e. head-motion</w:t>
      </w:r>
      <w:r>
        <w:t xml:space="preserve"> </w:t>
      </w:r>
      <w:r>
        <w:t xml:space="preserve">transform matrices, susceptibility distortion correction when available,</w:t>
      </w:r>
      <w:r>
        <w:t xml:space="preserve"> </w:t>
      </w:r>
      <w:r>
        <w:t xml:space="preserve">and co-registrations to anatomical and output spaces).</w:t>
      </w:r>
      <w:r>
        <w:t xml:space="preserve"> </w:t>
      </w:r>
      <w:r>
        <w:t xml:space="preserve">Gridded (volumetric) resamplings were performed using</w:t>
      </w:r>
      <w:r>
        <w:t xml:space="preserve"> </w:t>
      </w:r>
      <w:r>
        <w:rPr>
          <w:rStyle w:val="VerbatimChar"/>
        </w:rPr>
        <w:t xml:space="preserve">antsApplyTransforms</w:t>
      </w:r>
      <w:r>
        <w:t xml:space="preserve"> </w:t>
      </w:r>
      <w:r>
        <w:t xml:space="preserve">(ANTs),</w:t>
      </w:r>
      <w:r>
        <w:t xml:space="preserve"> </w:t>
      </w:r>
      <w:r>
        <w:t xml:space="preserve">configured with Lanczos interpolation to minimize the smoothing</w:t>
      </w:r>
      <w:r>
        <w:t xml:space="preserve"> </w:t>
      </w:r>
      <w:r>
        <w:t xml:space="preserve">effects of other kernels</w:t>
      </w:r>
      <w:r>
        <w:t xml:space="preserve"> </w:t>
      </w:r>
      <w:r>
        <w:t xml:space="preserve">[@lanczos]</w:t>
      </w:r>
      <w:r>
        <w:t xml:space="preserve">.</w:t>
      </w:r>
      <w:r>
        <w:t xml:space="preserve"> </w:t>
      </w:r>
      <w:r>
        <w:t xml:space="preserve">Non-gridded (surface) resamplings were performed using</w:t>
      </w:r>
      <w:r>
        <w:t xml:space="preserve"> </w:t>
      </w:r>
      <w:r>
        <w:rPr>
          <w:rStyle w:val="VerbatimChar"/>
        </w:rPr>
        <w:t xml:space="preserve">mri_vol2surf</w:t>
      </w:r>
      <w:r>
        <w:t xml:space="preserve"> </w:t>
      </w:r>
      <w:r>
        <w:t xml:space="preserve">(FreeSurfer).</w:t>
      </w:r>
    </w:p>
    <w:p>
      <w:pPr>
        <w:pStyle w:val="FirstParagraph"/>
      </w:pPr>
      <w:r>
        <w:t xml:space="preserve">Many internal operations of</w:t>
      </w:r>
      <w:r>
        <w:t xml:space="preserve"> </w:t>
      </w:r>
      <w:r>
        <w:rPr>
          <w:i/>
        </w:rPr>
        <w:t xml:space="preserve">fMRIPrep</w:t>
      </w:r>
      <w:r>
        <w:t xml:space="preserve"> </w:t>
      </w:r>
      <w:r>
        <w:t xml:space="preserve">use</w:t>
      </w:r>
      <w:r>
        <w:t xml:space="preserve"> </w:t>
      </w:r>
      <w:r>
        <w:rPr>
          <w:i/>
        </w:rPr>
        <w:t xml:space="preserve">Nilearn</w:t>
      </w:r>
      <w:r>
        <w:t xml:space="preserve"> </w:t>
      </w:r>
      <w:r>
        <w:t xml:space="preserve">0.5.2</w:t>
      </w:r>
      <w:r>
        <w:t xml:space="preserve"> </w:t>
      </w:r>
      <w:r>
        <w:t xml:space="preserve">[@nilearn, RRID:SCR_001362]</w:t>
      </w:r>
      <w:r>
        <w:t xml:space="preserve">,</w:t>
      </w:r>
      <w:r>
        <w:t xml:space="preserve"> </w:t>
      </w:r>
      <w:r>
        <w:t xml:space="preserve">mostly within the functional processing workflow.</w:t>
      </w:r>
      <w:r>
        <w:t xml:space="preserve"> </w:t>
      </w:r>
      <w:r>
        <w:t xml:space="preserve">For more details of the pipeline, see</w:t>
      </w:r>
      <w:r>
        <w:t xml:space="preserve"> </w:t>
      </w:r>
      <w:hyperlink r:id="rId20">
        <w:r>
          <w:rPr>
            <w:rStyle w:val="Hyperlink"/>
          </w:rPr>
          <w:t xml:space="preserve">the section corresponding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to workflows in</w:t>
        </w:r>
        <w:r>
          <w:rPr>
            <w:rStyle w:val="Hyperlink"/>
          </w:rPr>
          <w:t xml:space="preserve"> </w:t>
        </w:r>
        <w:r>
          <w:rPr>
            <w:i/>
            <w:rStyle w:val="Hyperlink"/>
          </w:rPr>
          <w:t xml:space="preserve">fMRIPrep</w:t>
        </w:r>
        <w:r>
          <w:rPr>
            <w:rStyle w:val="Hyperlink"/>
          </w:rPr>
          <w:t xml:space="preserve">’s documentation</w:t>
        </w:r>
      </w:hyperlink>
      <w:r>
        <w:t xml:space="preserve">.</w:t>
      </w:r>
    </w:p>
    <w:p>
      <w:pPr>
        <w:pStyle w:val="Heading3"/>
      </w:pPr>
      <w:bookmarkStart w:id="21" w:name="references"/>
      <w:r>
        <w:t xml:space="preserve">References</w:t>
      </w:r>
      <w:bookmarkEnd w:id="21"/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/>
    </w:pPr>
    <w:rPr>
      <w:rFonts w:asciiTheme="majorHAnsi" w:eastAsiaTheme="majorEastAsia" w:hAnsiTheme="majorHAnsi" w:cstheme="majorBidi"/>
      <w:bCs/>
      <w:sz w:val="20"/>
      <w:szCs w:val="20"/>
    </w:r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0" Target="https://fmriprep.readthedocs.io/en/latest/workflows.html" TargetMode="External" /></Relationships>
</file>

<file path=word/_rels/footnotes.xml.rels><?xml version="1.0" encoding="UTF-8"?>
<Relationships xmlns="http://schemas.openxmlformats.org/package/2006/relationships"><Relationship Type="http://schemas.openxmlformats.org/officeDocument/2006/relationships/hyperlink" Id="rId20" Target="https://fmriprep.readthedocs.io/en/latest/workflows.htm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2022-05-29T21:15:48Z</dcterms:created>
  <dcterms:modified xsi:type="dcterms:W3CDTF">2022-05-29T21:15:48Z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