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cs="Times New Roman" w:eastAsia="Times New Roman"/>
          <w:b w:val="0"/>
          <w:i w:val="0"/>
          <w:sz w:val="21"/>
        </w:rPr>
      </w:r>
    </w:p>
    <w:p>
      <w:pPr>
        <w:spacing w:after="0"/>
      </w:pPr>
      <w:r>
        <w:rPr>
          <w:rFonts w:ascii="Times New Roman" w:hAnsi="Times New Roman" w:cs="Times New Roman" w:eastAsia="Times New Roman"/>
          <w:b w:val="0"/>
          <w:i w:val="0"/>
          <w:sz w:val="21"/>
        </w:rPr>
      </w:r>
    </w:p>
    <w:p>
      <w:pPr>
        <w:spacing w:after="80"/>
        <w:jc w:val="center"/>
      </w:pPr>
      <w:r>
        <w:rPr>
          <w:rFonts w:ascii="Times New Roman" w:hAnsi="Times New Roman" w:cs="Times New Roman" w:eastAsia="Times New Roman"/>
          <w:b/>
          <w:i w:val="0"/>
          <w:sz w:val="60"/>
        </w:rPr>
        <w:t>PROJET SOLARIS</w:t>
      </w:r>
    </w:p>
    <w:p>
      <w:pPr>
        <w:spacing w:after="40"/>
        <w:jc w:val="center"/>
      </w:pPr>
      <w:r>
        <w:rPr>
          <w:rFonts w:ascii="Times New Roman" w:hAnsi="Times New Roman" w:cs="Times New Roman" w:eastAsia="Times New Roman"/>
          <w:b w:val="0"/>
          <w:i w:val="0"/>
          <w:color w:val="2E75B6"/>
          <w:sz w:val="32"/>
        </w:rPr>
        <w:t>Analyse du marché immobilier français</w:t>
      </w:r>
    </w:p>
    <w:p>
      <w:pPr>
        <w:spacing w:after="40"/>
        <w:jc w:val="center"/>
      </w:pPr>
      <w:r>
        <w:rPr>
          <w:rFonts w:ascii="Times New Roman" w:hAnsi="Times New Roman" w:cs="Times New Roman" w:eastAsia="Times New Roman"/>
          <w:b w:val="0"/>
          <w:i w:val="0"/>
          <w:color w:val="2E75B6"/>
          <w:sz w:val="32"/>
        </w:rPr>
        <w:t>à partir des Données de valeurs foncières (DVF) 2024-2025</w:t>
      </w:r>
    </w:p>
    <w:p>
      <w:pPr>
        <w:spacing w:after="360"/>
      </w:pPr>
      <w:r>
        <w:rPr>
          <w:rFonts w:ascii="Times New Roman" w:hAnsi="Times New Roman" w:cs="Times New Roman" w:eastAsia="Times New Roman"/>
          <w:b w:val="0"/>
          <w:i w:val="0"/>
          <w:sz w:val="21"/>
        </w:rPr>
      </w:r>
    </w:p>
    <w:p>
      <w:pPr>
        <w:spacing w:after="600"/>
        <w:jc w:val="center"/>
      </w:pPr>
      <w:r>
        <w:rPr>
          <w:rFonts w:ascii="Times New Roman" w:hAnsi="Times New Roman" w:cs="Times New Roman" w:eastAsia="Times New Roman"/>
          <w:b/>
          <w:i w:val="0"/>
          <w:sz w:val="26"/>
        </w:rPr>
        <w:t>Rapport de projet - Business Intelligence avec Power BI Desktop</w:t>
      </w:r>
    </w:p>
    <w:tbl>
      <w:tblPr>
        <w:tblStyle w:val="TableGrid"/>
        <w:tblW w:type="auto" w:w="0"/>
        <w:jc w:val="center"/>
        <w:tblLook w:firstColumn="1" w:firstRow="1" w:lastColumn="0" w:lastRow="0" w:noHBand="0" w:noVBand="1" w:val="04A0"/>
      </w:tblPr>
      <w:tblGrid>
        <w:gridCol w:w="4929"/>
        <w:gridCol w:w="4929"/>
      </w:tblGrid>
      <w:tr>
        <w:tc>
          <w:tcPr>
            <w:tcW w:type="dxa" w:w="2551"/>
            <w:shd w:val="clear" w:color="auto" w:fill="DCE6F1"/>
          </w:tcPr>
          <w:p>
            <w:pPr>
              <w:spacing w:after="40"/>
            </w:pPr>
            <w:r/>
            <w:r>
              <w:rPr>
                <w:rFonts w:ascii="Times New Roman" w:hAnsi="Times New Roman" w:cs="Times New Roman" w:eastAsia="Times New Roman"/>
                <w:b/>
                <w:color w:val="1F4E79"/>
                <w:sz w:val="19"/>
              </w:rPr>
              <w:t>Élément</w:t>
            </w:r>
          </w:p>
        </w:tc>
        <w:tc>
          <w:tcPr>
            <w:tcW w:type="dxa" w:w="6803"/>
            <w:shd w:val="clear" w:color="auto" w:fill="DCE6F1"/>
          </w:tcPr>
          <w:p>
            <w:pPr>
              <w:spacing w:after="40"/>
            </w:pPr>
            <w:r/>
            <w:r>
              <w:rPr>
                <w:rFonts w:ascii="Times New Roman" w:hAnsi="Times New Roman" w:cs="Times New Roman" w:eastAsia="Times New Roman"/>
                <w:b/>
                <w:color w:val="1F4E79"/>
                <w:sz w:val="19"/>
              </w:rPr>
              <w:t>Valeur</w:t>
            </w:r>
          </w:p>
        </w:tc>
      </w:tr>
      <w:tr>
        <w:tc>
          <w:tcPr>
            <w:tcW w:type="dxa" w:w="2551"/>
          </w:tcPr>
          <w:p>
            <w:pPr>
              <w:spacing w:after="40"/>
            </w:pPr>
            <w:r/>
            <w:r>
              <w:rPr>
                <w:rFonts w:ascii="Times New Roman" w:hAnsi="Times New Roman" w:cs="Times New Roman" w:eastAsia="Times New Roman"/>
                <w:b w:val="0"/>
                <w:sz w:val="19"/>
              </w:rPr>
              <w:t>Livrable</w:t>
            </w:r>
          </w:p>
        </w:tc>
        <w:tc>
          <w:tcPr>
            <w:tcW w:type="dxa" w:w="6803"/>
          </w:tcPr>
          <w:p>
            <w:pPr>
              <w:spacing w:after="40"/>
            </w:pPr>
            <w:r/>
            <w:r>
              <w:rPr>
                <w:rFonts w:ascii="Times New Roman" w:hAnsi="Times New Roman" w:cs="Times New Roman" w:eastAsia="Times New Roman"/>
                <w:sz w:val="19"/>
              </w:rPr>
              <w:t>Modèle décisionnel + rapport interactif Power BI</w:t>
            </w:r>
          </w:p>
        </w:tc>
      </w:tr>
      <w:tr>
        <w:tc>
          <w:tcPr>
            <w:tcW w:type="dxa" w:w="2551"/>
          </w:tcPr>
          <w:p>
            <w:pPr>
              <w:spacing w:after="40"/>
            </w:pPr>
            <w:r/>
            <w:r>
              <w:rPr>
                <w:rFonts w:ascii="Times New Roman" w:hAnsi="Times New Roman" w:cs="Times New Roman" w:eastAsia="Times New Roman"/>
                <w:b w:val="0"/>
                <w:sz w:val="19"/>
              </w:rPr>
              <w:t>Projet Power BI</w:t>
            </w:r>
          </w:p>
        </w:tc>
        <w:tc>
          <w:tcPr>
            <w:tcW w:type="dxa" w:w="6803"/>
          </w:tcPr>
          <w:p>
            <w:pPr>
              <w:spacing w:after="40"/>
            </w:pPr>
            <w:r/>
            <w:r>
              <w:rPr>
                <w:rFonts w:ascii="Times New Roman" w:hAnsi="Times New Roman" w:cs="Times New Roman" w:eastAsia="Times New Roman"/>
                <w:sz w:val="19"/>
              </w:rPr>
              <w:t>Projet_Solaris.pbip (Power BI Desktop, mode Import)</w:t>
            </w:r>
          </w:p>
        </w:tc>
      </w:tr>
      <w:tr>
        <w:tc>
          <w:tcPr>
            <w:tcW w:type="dxa" w:w="2551"/>
          </w:tcPr>
          <w:p>
            <w:pPr>
              <w:spacing w:after="40"/>
            </w:pPr>
            <w:r/>
            <w:r>
              <w:rPr>
                <w:rFonts w:ascii="Times New Roman" w:hAnsi="Times New Roman" w:cs="Times New Roman" w:eastAsia="Times New Roman"/>
                <w:b w:val="0"/>
                <w:sz w:val="19"/>
              </w:rPr>
              <w:t>Source de données</w:t>
            </w:r>
          </w:p>
        </w:tc>
        <w:tc>
          <w:tcPr>
            <w:tcW w:type="dxa" w:w="6803"/>
          </w:tcPr>
          <w:p>
            <w:pPr>
              <w:spacing w:after="40"/>
            </w:pPr>
            <w:r/>
            <w:r>
              <w:rPr>
                <w:rFonts w:ascii="Times New Roman" w:hAnsi="Times New Roman" w:cs="Times New Roman" w:eastAsia="Times New Roman"/>
                <w:sz w:val="19"/>
              </w:rPr>
              <w:t>DVF - Demandes de valeurs foncières (data.gouv.fr)</w:t>
            </w:r>
          </w:p>
        </w:tc>
      </w:tr>
      <w:tr>
        <w:tc>
          <w:tcPr>
            <w:tcW w:type="dxa" w:w="2551"/>
          </w:tcPr>
          <w:p>
            <w:pPr>
              <w:spacing w:after="40"/>
            </w:pPr>
            <w:r/>
            <w:r>
              <w:rPr>
                <w:rFonts w:ascii="Times New Roman" w:hAnsi="Times New Roman" w:cs="Times New Roman" w:eastAsia="Times New Roman"/>
                <w:b w:val="0"/>
                <w:sz w:val="19"/>
              </w:rPr>
              <w:t>Période couverte</w:t>
            </w:r>
          </w:p>
        </w:tc>
        <w:tc>
          <w:tcPr>
            <w:tcW w:type="dxa" w:w="6803"/>
          </w:tcPr>
          <w:p>
            <w:pPr>
              <w:spacing w:after="40"/>
            </w:pPr>
            <w:r/>
            <w:r>
              <w:rPr>
                <w:rFonts w:ascii="Times New Roman" w:hAnsi="Times New Roman" w:cs="Times New Roman" w:eastAsia="Times New Roman"/>
                <w:sz w:val="19"/>
              </w:rPr>
              <w:t>2024 et 2025</w:t>
            </w:r>
          </w:p>
        </w:tc>
      </w:tr>
      <w:tr>
        <w:tc>
          <w:tcPr>
            <w:tcW w:type="dxa" w:w="2551"/>
          </w:tcPr>
          <w:p>
            <w:pPr>
              <w:spacing w:after="40"/>
            </w:pPr>
            <w:r/>
            <w:r>
              <w:rPr>
                <w:rFonts w:ascii="Times New Roman" w:hAnsi="Times New Roman" w:cs="Times New Roman" w:eastAsia="Times New Roman"/>
                <w:b w:val="0"/>
                <w:sz w:val="19"/>
              </w:rPr>
              <w:t>Volumétrie</w:t>
            </w:r>
          </w:p>
        </w:tc>
        <w:tc>
          <w:tcPr>
            <w:tcW w:type="dxa" w:w="6803"/>
          </w:tcPr>
          <w:p>
            <w:pPr>
              <w:spacing w:after="40"/>
            </w:pPr>
            <w:r/>
            <w:r>
              <w:rPr>
                <w:rFonts w:ascii="Times New Roman" w:hAnsi="Times New Roman" w:cs="Times New Roman" w:eastAsia="Times New Roman"/>
                <w:sz w:val="19"/>
              </w:rPr>
              <w:t>7 214 760 lignes de faits détaillées, 2  tables de faits, 8 dimensions, 15 mesures</w:t>
            </w:r>
          </w:p>
        </w:tc>
      </w:tr>
      <w:tr>
        <w:tc>
          <w:tcPr>
            <w:tcW w:type="dxa" w:w="2551"/>
          </w:tcPr>
          <w:p>
            <w:pPr>
              <w:spacing w:after="40"/>
            </w:pPr>
            <w:r/>
            <w:r>
              <w:rPr>
                <w:rFonts w:ascii="Times New Roman" w:hAnsi="Times New Roman" w:cs="Times New Roman" w:eastAsia="Times New Roman"/>
                <w:b w:val="0"/>
                <w:sz w:val="19"/>
              </w:rPr>
              <w:t>Groupe</w:t>
            </w:r>
          </w:p>
        </w:tc>
        <w:tc>
          <w:tcPr>
            <w:tcW w:type="dxa" w:w="6803"/>
          </w:tcPr>
          <w:p>
            <w:pPr>
              <w:spacing w:after="40"/>
            </w:pPr>
            <w:r/>
            <w:r>
              <w:rPr>
                <w:rFonts w:ascii="Times New Roman" w:hAnsi="Times New Roman" w:cs="Times New Roman" w:eastAsia="Times New Roman"/>
                <w:sz w:val="19"/>
              </w:rPr>
              <w:t>G1 - EFREI</w:t>
            </w:r>
          </w:p>
        </w:tc>
      </w:tr>
      <w:tr>
        <w:tc>
          <w:tcPr>
            <w:tcW w:type="dxa" w:w="2551"/>
          </w:tcPr>
          <w:p>
            <w:pPr>
              <w:spacing w:after="40"/>
            </w:pPr>
            <w:r/>
            <w:r>
              <w:rPr>
                <w:rFonts w:ascii="Times New Roman" w:hAnsi="Times New Roman" w:cs="Times New Roman" w:eastAsia="Times New Roman"/>
                <w:b w:val="0"/>
                <w:sz w:val="19"/>
              </w:rPr>
              <w:t>Équipe</w:t>
            </w:r>
          </w:p>
        </w:tc>
        <w:tc>
          <w:tcPr>
            <w:tcW w:type="dxa" w:w="6803"/>
          </w:tcPr>
          <w:p>
            <w:pPr>
              <w:spacing w:after="40"/>
            </w:pPr>
            <w:r/>
            <w:r>
              <w:rPr>
                <w:rFonts w:ascii="Times New Roman" w:hAnsi="Times New Roman" w:cs="Times New Roman" w:eastAsia="Times New Roman"/>
                <w:sz w:val="19"/>
              </w:rPr>
              <w:t>Thibeau BENET, Adrien DE TRAZEGNIES D'ITTRE, Maxime DORMIGNIES, Timothé HEGE, Rémi PETIT</w:t>
            </w:r>
          </w:p>
        </w:tc>
      </w:tr>
      <w:tr>
        <w:tc>
          <w:tcPr>
            <w:tcW w:type="dxa" w:w="2551"/>
          </w:tcPr>
          <w:p>
            <w:pPr>
              <w:spacing w:after="40"/>
            </w:pPr>
            <w:r/>
            <w:r>
              <w:rPr>
                <w:rFonts w:ascii="Times New Roman" w:hAnsi="Times New Roman" w:cs="Times New Roman" w:eastAsia="Times New Roman"/>
                <w:b w:val="0"/>
                <w:sz w:val="19"/>
              </w:rPr>
              <w:t>Date</w:t>
            </w:r>
          </w:p>
        </w:tc>
        <w:tc>
          <w:tcPr>
            <w:tcW w:type="dxa" w:w="6803"/>
          </w:tcPr>
          <w:p>
            <w:pPr>
              <w:spacing w:after="40"/>
            </w:pPr>
            <w:r/>
            <w:r>
              <w:rPr>
                <w:rFonts w:ascii="Times New Roman" w:hAnsi="Times New Roman" w:cs="Times New Roman" w:eastAsia="Times New Roman"/>
                <w:sz w:val="19"/>
              </w:rPr>
              <w:t>16 octobre 2026</w:t>
            </w:r>
          </w:p>
        </w:tc>
      </w:tr>
    </w:tbl>
    <w:p>
      <w:pPr>
        <w:spacing w:after="40"/>
      </w:pPr>
    </w:p>
    <w:p>
      <w:r>
        <w:br w:type="page"/>
      </w:r>
    </w:p>
    <w:p>
      <w:pPr>
        <w:pStyle w:val="Heading1"/>
      </w:pPr>
      <w:r>
        <w:t>Sommaire</w:t>
      </w:r>
    </w:p>
    <w:p>
      <w:pPr>
        <w:tabs>
          <w:tab w:pos="9184" w:val="right" w:leader="dot"/>
        </w:tabs>
        <w:spacing w:after="20" w:line="240" w:lineRule="auto"/>
      </w:pPr>
      <w:r>
        <w:rPr>
          <w:rFonts w:ascii="Times New Roman" w:hAnsi="Times New Roman" w:cs="Times New Roman" w:eastAsia="Times New Roman"/>
          <w:b/>
          <w:sz w:val="20"/>
        </w:rPr>
        <w:t>1. Présentation du projet</w:t>
        <w:tab/>
        <w:t>3</w:t>
      </w:r>
    </w:p>
    <w:p>
      <w:pPr>
        <w:tabs>
          <w:tab w:pos="9184" w:val="right" w:leader="dot"/>
        </w:tabs>
        <w:spacing w:after="20" w:line="240" w:lineRule="auto"/>
        <w:ind w:left="283"/>
      </w:pPr>
      <w:r>
        <w:rPr>
          <w:rFonts w:ascii="Times New Roman" w:hAnsi="Times New Roman" w:cs="Times New Roman" w:eastAsia="Times New Roman"/>
          <w:b w:val="0"/>
          <w:sz w:val="20"/>
        </w:rPr>
        <w:t>1.1 Contexte</w:t>
        <w:tab/>
        <w:t>3</w:t>
      </w:r>
    </w:p>
    <w:p>
      <w:pPr>
        <w:tabs>
          <w:tab w:pos="9184" w:val="right" w:leader="dot"/>
        </w:tabs>
        <w:spacing w:after="20" w:line="240" w:lineRule="auto"/>
        <w:ind w:left="283"/>
      </w:pPr>
      <w:r>
        <w:rPr>
          <w:rFonts w:ascii="Times New Roman" w:hAnsi="Times New Roman" w:cs="Times New Roman" w:eastAsia="Times New Roman"/>
          <w:b w:val="0"/>
          <w:sz w:val="20"/>
        </w:rPr>
        <w:t>1.2 Cas métier</w:t>
        <w:tab/>
        <w:t>3</w:t>
      </w:r>
    </w:p>
    <w:p>
      <w:pPr>
        <w:tabs>
          <w:tab w:pos="9184" w:val="right" w:leader="dot"/>
        </w:tabs>
        <w:spacing w:after="20" w:line="240" w:lineRule="auto"/>
        <w:ind w:left="283"/>
      </w:pPr>
      <w:r>
        <w:rPr>
          <w:rFonts w:ascii="Times New Roman" w:hAnsi="Times New Roman" w:cs="Times New Roman" w:eastAsia="Times New Roman"/>
          <w:b w:val="0"/>
          <w:sz w:val="20"/>
        </w:rPr>
        <w:t>1.3 Besoin analytique</w:t>
        <w:tab/>
        <w:t>3</w:t>
      </w:r>
    </w:p>
    <w:p>
      <w:pPr>
        <w:tabs>
          <w:tab w:pos="9184" w:val="right" w:leader="dot"/>
        </w:tabs>
        <w:spacing w:after="20" w:line="240" w:lineRule="auto"/>
      </w:pPr>
      <w:r>
        <w:rPr>
          <w:rFonts w:ascii="Times New Roman" w:hAnsi="Times New Roman" w:cs="Times New Roman" w:eastAsia="Times New Roman"/>
          <w:b/>
          <w:sz w:val="20"/>
        </w:rPr>
        <w:t>2. Données sources</w:t>
        <w:tab/>
        <w:t>3</w:t>
      </w:r>
    </w:p>
    <w:p>
      <w:pPr>
        <w:tabs>
          <w:tab w:pos="9184" w:val="right" w:leader="dot"/>
        </w:tabs>
        <w:spacing w:after="20" w:line="240" w:lineRule="auto"/>
        <w:ind w:left="283"/>
      </w:pPr>
      <w:r>
        <w:rPr>
          <w:rFonts w:ascii="Times New Roman" w:hAnsi="Times New Roman" w:cs="Times New Roman" w:eastAsia="Times New Roman"/>
          <w:b w:val="0"/>
          <w:sz w:val="20"/>
        </w:rPr>
        <w:t>2.1 Le jeu de données DVF</w:t>
        <w:tab/>
        <w:t>3</w:t>
      </w:r>
    </w:p>
    <w:p>
      <w:pPr>
        <w:tabs>
          <w:tab w:pos="9184" w:val="right" w:leader="dot"/>
        </w:tabs>
        <w:spacing w:after="20" w:line="240" w:lineRule="auto"/>
        <w:ind w:left="283"/>
      </w:pPr>
      <w:r>
        <w:rPr>
          <w:rFonts w:ascii="Times New Roman" w:hAnsi="Times New Roman" w:cs="Times New Roman" w:eastAsia="Times New Roman"/>
          <w:b w:val="0"/>
          <w:sz w:val="20"/>
        </w:rPr>
        <w:t>2.2 Périmètre retenu : 2024 et 2025</w:t>
        <w:tab/>
        <w:t>3</w:t>
      </w:r>
    </w:p>
    <w:p>
      <w:pPr>
        <w:tabs>
          <w:tab w:pos="9184" w:val="right" w:leader="dot"/>
        </w:tabs>
        <w:spacing w:after="20" w:line="240" w:lineRule="auto"/>
        <w:ind w:left="283"/>
      </w:pPr>
      <w:r>
        <w:rPr>
          <w:rFonts w:ascii="Times New Roman" w:hAnsi="Times New Roman" w:cs="Times New Roman" w:eastAsia="Times New Roman"/>
          <w:b w:val="0"/>
          <w:sz w:val="20"/>
        </w:rPr>
        <w:t>2.3 Volumétrie et chiffres de contrôle</w:t>
        <w:tab/>
        <w:t>4</w:t>
      </w:r>
    </w:p>
    <w:p>
      <w:pPr>
        <w:tabs>
          <w:tab w:pos="9184" w:val="right" w:leader="dot"/>
        </w:tabs>
        <w:spacing w:after="20" w:line="240" w:lineRule="auto"/>
      </w:pPr>
      <w:r>
        <w:rPr>
          <w:rFonts w:ascii="Times New Roman" w:hAnsi="Times New Roman" w:cs="Times New Roman" w:eastAsia="Times New Roman"/>
          <w:b/>
          <w:sz w:val="20"/>
        </w:rPr>
        <w:t>3. Architecture du modèle décisionnel</w:t>
        <w:tab/>
        <w:t>4</w:t>
      </w:r>
    </w:p>
    <w:p>
      <w:pPr>
        <w:tabs>
          <w:tab w:pos="9184" w:val="right" w:leader="dot"/>
        </w:tabs>
        <w:spacing w:after="20" w:line="240" w:lineRule="auto"/>
        <w:ind w:left="283"/>
      </w:pPr>
      <w:r>
        <w:rPr>
          <w:rFonts w:ascii="Times New Roman" w:hAnsi="Times New Roman" w:cs="Times New Roman" w:eastAsia="Times New Roman"/>
          <w:b w:val="0"/>
          <w:sz w:val="20"/>
        </w:rPr>
        <w:t>3.1 Schéma en flocon</w:t>
        <w:tab/>
        <w:t>4</w:t>
      </w:r>
    </w:p>
    <w:p>
      <w:pPr>
        <w:tabs>
          <w:tab w:pos="9184" w:val="right" w:leader="dot"/>
        </w:tabs>
        <w:spacing w:after="20" w:line="240" w:lineRule="auto"/>
        <w:ind w:left="283"/>
      </w:pPr>
      <w:r>
        <w:rPr>
          <w:rFonts w:ascii="Times New Roman" w:hAnsi="Times New Roman" w:cs="Times New Roman" w:eastAsia="Times New Roman"/>
          <w:b w:val="0"/>
          <w:sz w:val="20"/>
        </w:rPr>
        <w:t>3.2 Les deux tables de faits</w:t>
        <w:tab/>
        <w:t>4</w:t>
      </w:r>
    </w:p>
    <w:p>
      <w:pPr>
        <w:tabs>
          <w:tab w:pos="9184" w:val="right" w:leader="dot"/>
        </w:tabs>
        <w:spacing w:after="20" w:line="240" w:lineRule="auto"/>
        <w:ind w:left="283"/>
      </w:pPr>
      <w:r>
        <w:rPr>
          <w:rFonts w:ascii="Times New Roman" w:hAnsi="Times New Roman" w:cs="Times New Roman" w:eastAsia="Times New Roman"/>
          <w:b w:val="0"/>
          <w:sz w:val="20"/>
        </w:rPr>
        <w:t>3.3 Les dimensions</w:t>
        <w:tab/>
        <w:t>5</w:t>
      </w:r>
    </w:p>
    <w:p>
      <w:pPr>
        <w:tabs>
          <w:tab w:pos="9184" w:val="right" w:leader="dot"/>
        </w:tabs>
        <w:spacing w:after="20" w:line="240" w:lineRule="auto"/>
        <w:ind w:left="283"/>
      </w:pPr>
      <w:r>
        <w:rPr>
          <w:rFonts w:ascii="Times New Roman" w:hAnsi="Times New Roman" w:cs="Times New Roman" w:eastAsia="Times New Roman"/>
          <w:b w:val="0"/>
          <w:sz w:val="20"/>
        </w:rPr>
        <w:t>3.4 Les relations</w:t>
        <w:tab/>
        <w:t>5</w:t>
      </w:r>
    </w:p>
    <w:p>
      <w:pPr>
        <w:tabs>
          <w:tab w:pos="9184" w:val="right" w:leader="dot"/>
        </w:tabs>
        <w:spacing w:after="20" w:line="240" w:lineRule="auto"/>
      </w:pPr>
      <w:r>
        <w:rPr>
          <w:rFonts w:ascii="Times New Roman" w:hAnsi="Times New Roman" w:cs="Times New Roman" w:eastAsia="Times New Roman"/>
          <w:b/>
          <w:sz w:val="20"/>
        </w:rPr>
        <w:t>4. Préparation des données dans Power Query</w:t>
        <w:tab/>
        <w:t>6</w:t>
      </w:r>
    </w:p>
    <w:p>
      <w:pPr>
        <w:tabs>
          <w:tab w:pos="9184" w:val="right" w:leader="dot"/>
        </w:tabs>
        <w:spacing w:after="20" w:line="240" w:lineRule="auto"/>
        <w:ind w:left="283"/>
      </w:pPr>
      <w:r>
        <w:rPr>
          <w:rFonts w:ascii="Times New Roman" w:hAnsi="Times New Roman" w:cs="Times New Roman" w:eastAsia="Times New Roman"/>
          <w:b w:val="0"/>
          <w:sz w:val="20"/>
        </w:rPr>
        <w:t>4.1 Une requête source unique</w:t>
        <w:tab/>
        <w:t>6</w:t>
      </w:r>
    </w:p>
    <w:p>
      <w:pPr>
        <w:tabs>
          <w:tab w:pos="9184" w:val="right" w:leader="dot"/>
        </w:tabs>
        <w:spacing w:after="20" w:line="240" w:lineRule="auto"/>
        <w:ind w:left="283"/>
      </w:pPr>
      <w:r>
        <w:rPr>
          <w:rFonts w:ascii="Times New Roman" w:hAnsi="Times New Roman" w:cs="Times New Roman" w:eastAsia="Times New Roman"/>
          <w:b w:val="0"/>
          <w:sz w:val="20"/>
        </w:rPr>
        <w:t>4.2 Les six transformations mises en œuvre</w:t>
        <w:tab/>
        <w:t>6</w:t>
      </w:r>
    </w:p>
    <w:p>
      <w:pPr>
        <w:tabs>
          <w:tab w:pos="9184" w:val="right" w:leader="dot"/>
        </w:tabs>
        <w:spacing w:after="20" w:line="240" w:lineRule="auto"/>
        <w:ind w:left="283"/>
      </w:pPr>
      <w:r>
        <w:rPr>
          <w:rFonts w:ascii="Times New Roman" w:hAnsi="Times New Roman" w:cs="Times New Roman" w:eastAsia="Times New Roman"/>
          <w:b w:val="0"/>
          <w:sz w:val="20"/>
        </w:rPr>
        <w:t>4.3 Inventaire des requêtes Power Query</w:t>
        <w:tab/>
        <w:t>6</w:t>
      </w:r>
    </w:p>
    <w:p>
      <w:pPr>
        <w:tabs>
          <w:tab w:pos="9184" w:val="right" w:leader="dot"/>
        </w:tabs>
        <w:spacing w:after="20" w:line="240" w:lineRule="auto"/>
      </w:pPr>
      <w:r>
        <w:rPr>
          <w:rFonts w:ascii="Times New Roman" w:hAnsi="Times New Roman" w:cs="Times New Roman" w:eastAsia="Times New Roman"/>
          <w:b/>
          <w:sz w:val="20"/>
        </w:rPr>
        <w:t>5. Le piège de la valeur foncière répétée</w:t>
        <w:tab/>
        <w:t>7</w:t>
      </w:r>
    </w:p>
    <w:p>
      <w:pPr>
        <w:tabs>
          <w:tab w:pos="9184" w:val="right" w:leader="dot"/>
        </w:tabs>
        <w:spacing w:after="20" w:line="240" w:lineRule="auto"/>
      </w:pPr>
      <w:r>
        <w:rPr>
          <w:rFonts w:ascii="Times New Roman" w:hAnsi="Times New Roman" w:cs="Times New Roman" w:eastAsia="Times New Roman"/>
          <w:b/>
          <w:sz w:val="20"/>
        </w:rPr>
        <w:t>6. Les mesures DAX du modèle</w:t>
        <w:tab/>
        <w:t>7</w:t>
      </w:r>
    </w:p>
    <w:p>
      <w:pPr>
        <w:tabs>
          <w:tab w:pos="9184" w:val="right" w:leader="dot"/>
        </w:tabs>
        <w:spacing w:after="20" w:line="240" w:lineRule="auto"/>
      </w:pPr>
      <w:r>
        <w:rPr>
          <w:rFonts w:ascii="Times New Roman" w:hAnsi="Times New Roman" w:cs="Times New Roman" w:eastAsia="Times New Roman"/>
          <w:b/>
          <w:sz w:val="20"/>
        </w:rPr>
        <w:t>7. Le rapport Power BI</w:t>
        <w:tab/>
        <w:t>8</w:t>
      </w:r>
    </w:p>
    <w:p>
      <w:pPr>
        <w:tabs>
          <w:tab w:pos="9184" w:val="right" w:leader="dot"/>
        </w:tabs>
        <w:spacing w:after="20" w:line="240" w:lineRule="auto"/>
        <w:ind w:left="283"/>
      </w:pPr>
      <w:r>
        <w:rPr>
          <w:rFonts w:ascii="Times New Roman" w:hAnsi="Times New Roman" w:cs="Times New Roman" w:eastAsia="Times New Roman"/>
          <w:b w:val="0"/>
          <w:sz w:val="20"/>
        </w:rPr>
        <w:t>7.1 Quatre pages, une par année</w:t>
        <w:tab/>
        <w:t>8</w:t>
      </w:r>
    </w:p>
    <w:p>
      <w:pPr>
        <w:tabs>
          <w:tab w:pos="9184" w:val="right" w:leader="dot"/>
        </w:tabs>
        <w:spacing w:after="20" w:line="240" w:lineRule="auto"/>
        <w:ind w:left="283"/>
      </w:pPr>
      <w:r>
        <w:rPr>
          <w:rFonts w:ascii="Times New Roman" w:hAnsi="Times New Roman" w:cs="Times New Roman" w:eastAsia="Times New Roman"/>
          <w:b w:val="0"/>
          <w:sz w:val="20"/>
        </w:rPr>
        <w:t>7.2 Page « Marché immobilier 2025 » (table de faits détaillée)</w:t>
        <w:tab/>
        <w:t>9</w:t>
      </w:r>
    </w:p>
    <w:p>
      <w:pPr>
        <w:tabs>
          <w:tab w:pos="9184" w:val="right" w:leader="dot"/>
        </w:tabs>
        <w:spacing w:after="20" w:line="240" w:lineRule="auto"/>
        <w:ind w:left="283"/>
      </w:pPr>
      <w:r>
        <w:rPr>
          <w:rFonts w:ascii="Times New Roman" w:hAnsi="Times New Roman" w:cs="Times New Roman" w:eastAsia="Times New Roman"/>
          <w:b w:val="0"/>
          <w:sz w:val="20"/>
        </w:rPr>
        <w:t>7.3 Page « Marché par région et département 2025 » (table de faits agrégée)</w:t>
        <w:tab/>
        <w:t>9</w:t>
      </w:r>
    </w:p>
    <w:p>
      <w:pPr>
        <w:tabs>
          <w:tab w:pos="9184" w:val="right" w:leader="dot"/>
        </w:tabs>
        <w:spacing w:after="20" w:line="240" w:lineRule="auto"/>
        <w:ind w:left="283"/>
      </w:pPr>
      <w:r>
        <w:rPr>
          <w:rFonts w:ascii="Times New Roman" w:hAnsi="Times New Roman" w:cs="Times New Roman" w:eastAsia="Times New Roman"/>
          <w:b w:val="0"/>
          <w:sz w:val="20"/>
        </w:rPr>
        <w:t>7.4 Les pages 2024</w:t>
        <w:tab/>
        <w:t>10</w:t>
      </w:r>
    </w:p>
    <w:p>
      <w:pPr>
        <w:tabs>
          <w:tab w:pos="9184" w:val="right" w:leader="dot"/>
        </w:tabs>
        <w:spacing w:after="20" w:line="240" w:lineRule="auto"/>
      </w:pPr>
      <w:r>
        <w:rPr>
          <w:rFonts w:ascii="Times New Roman" w:hAnsi="Times New Roman" w:cs="Times New Roman" w:eastAsia="Times New Roman"/>
          <w:b/>
          <w:sz w:val="20"/>
        </w:rPr>
        <w:t>8. Résultats et chiffres de contrôle</w:t>
        <w:tab/>
        <w:t>10</w:t>
      </w:r>
    </w:p>
    <w:p>
      <w:pPr>
        <w:tabs>
          <w:tab w:pos="9184" w:val="right" w:leader="dot"/>
        </w:tabs>
        <w:spacing w:after="20" w:line="240" w:lineRule="auto"/>
        <w:ind w:left="283"/>
      </w:pPr>
      <w:r>
        <w:rPr>
          <w:rFonts w:ascii="Times New Roman" w:hAnsi="Times New Roman" w:cs="Times New Roman" w:eastAsia="Times New Roman"/>
          <w:b w:val="0"/>
          <w:sz w:val="20"/>
        </w:rPr>
        <w:t>8.1 Vue globale 2024-2025</w:t>
        <w:tab/>
        <w:t>10</w:t>
      </w:r>
    </w:p>
    <w:p>
      <w:pPr>
        <w:tabs>
          <w:tab w:pos="9184" w:val="right" w:leader="dot"/>
        </w:tabs>
        <w:spacing w:after="20" w:line="240" w:lineRule="auto"/>
        <w:ind w:left="283"/>
      </w:pPr>
      <w:r>
        <w:rPr>
          <w:rFonts w:ascii="Times New Roman" w:hAnsi="Times New Roman" w:cs="Times New Roman" w:eastAsia="Times New Roman"/>
          <w:b w:val="0"/>
          <w:sz w:val="20"/>
        </w:rPr>
        <w:t>8.2 Évolution annuelle</w:t>
        <w:tab/>
        <w:t>10</w:t>
      </w:r>
    </w:p>
    <w:p>
      <w:pPr>
        <w:tabs>
          <w:tab w:pos="9184" w:val="right" w:leader="dot"/>
        </w:tabs>
        <w:spacing w:after="20" w:line="240" w:lineRule="auto"/>
        <w:ind w:left="283"/>
      </w:pPr>
      <w:r>
        <w:rPr>
          <w:rFonts w:ascii="Times New Roman" w:hAnsi="Times New Roman" w:cs="Times New Roman" w:eastAsia="Times New Roman"/>
          <w:b w:val="0"/>
          <w:sz w:val="20"/>
        </w:rPr>
        <w:t>8.3 Résultats par région (2024-2025, extrait)</w:t>
        <w:tab/>
        <w:t>10</w:t>
      </w:r>
    </w:p>
    <w:p>
      <w:pPr>
        <w:tabs>
          <w:tab w:pos="9184" w:val="right" w:leader="dot"/>
        </w:tabs>
        <w:spacing w:after="20" w:line="240" w:lineRule="auto"/>
        <w:ind w:left="283"/>
      </w:pPr>
      <w:r>
        <w:rPr>
          <w:rFonts w:ascii="Times New Roman" w:hAnsi="Times New Roman" w:cs="Times New Roman" w:eastAsia="Times New Roman"/>
          <w:b w:val="0"/>
          <w:sz w:val="20"/>
        </w:rPr>
        <w:t>8.4 Résultats par département (2024-2025, extrait)</w:t>
        <w:tab/>
        <w:t>10</w:t>
      </w:r>
    </w:p>
    <w:p>
      <w:pPr>
        <w:tabs>
          <w:tab w:pos="9184" w:val="right" w:leader="dot"/>
        </w:tabs>
        <w:spacing w:after="20" w:line="240" w:lineRule="auto"/>
        <w:ind w:left="283"/>
      </w:pPr>
      <w:r>
        <w:rPr>
          <w:rFonts w:ascii="Times New Roman" w:hAnsi="Times New Roman" w:cs="Times New Roman" w:eastAsia="Times New Roman"/>
          <w:b w:val="0"/>
          <w:sz w:val="20"/>
        </w:rPr>
        <w:t>8.5 Prix au m² selon le type de bien</w:t>
        <w:tab/>
        <w:t>11</w:t>
      </w:r>
    </w:p>
    <w:p>
      <w:pPr>
        <w:tabs>
          <w:tab w:pos="9184" w:val="right" w:leader="dot"/>
        </w:tabs>
        <w:spacing w:after="20" w:line="240" w:lineRule="auto"/>
        <w:ind w:left="283"/>
      </w:pPr>
      <w:r>
        <w:rPr>
          <w:rFonts w:ascii="Times New Roman" w:hAnsi="Times New Roman" w:cs="Times New Roman" w:eastAsia="Times New Roman"/>
          <w:b w:val="0"/>
          <w:sz w:val="20"/>
        </w:rPr>
        <w:t>8.6 Cohérence des deux tables de faits</w:t>
        <w:tab/>
        <w:t>11</w:t>
      </w:r>
    </w:p>
    <w:p>
      <w:pPr>
        <w:tabs>
          <w:tab w:pos="9184" w:val="right" w:leader="dot"/>
        </w:tabs>
        <w:spacing w:after="20" w:line="240" w:lineRule="auto"/>
      </w:pPr>
      <w:r>
        <w:rPr>
          <w:rFonts w:ascii="Times New Roman" w:hAnsi="Times New Roman" w:cs="Times New Roman" w:eastAsia="Times New Roman"/>
          <w:b/>
          <w:sz w:val="20"/>
        </w:rPr>
        <w:t>9. Limites et points de vigilance</w:t>
        <w:tab/>
        <w:t>11</w:t>
      </w:r>
    </w:p>
    <w:p>
      <w:pPr>
        <w:tabs>
          <w:tab w:pos="9184" w:val="right" w:leader="dot"/>
        </w:tabs>
        <w:spacing w:after="20" w:line="240" w:lineRule="auto"/>
        <w:ind w:left="283"/>
      </w:pPr>
      <w:r>
        <w:rPr>
          <w:rFonts w:ascii="Times New Roman" w:hAnsi="Times New Roman" w:cs="Times New Roman" w:eastAsia="Times New Roman"/>
          <w:b w:val="0"/>
          <w:sz w:val="20"/>
        </w:rPr>
        <w:t>9.1 Des prix au m² vides dans certaines communes</w:t>
        <w:tab/>
        <w:t>11</w:t>
      </w:r>
    </w:p>
    <w:p>
      <w:pPr>
        <w:tabs>
          <w:tab w:pos="9184" w:val="right" w:leader="dot"/>
        </w:tabs>
        <w:spacing w:after="20" w:line="240" w:lineRule="auto"/>
        <w:ind w:left="283"/>
      </w:pPr>
      <w:r>
        <w:rPr>
          <w:rFonts w:ascii="Times New Roman" w:hAnsi="Times New Roman" w:cs="Times New Roman" w:eastAsia="Times New Roman"/>
          <w:b w:val="0"/>
          <w:sz w:val="20"/>
        </w:rPr>
        <w:t>9.2 Un rapprochement de lignes reconstruit, pas identifié par la source</w:t>
        <w:tab/>
        <w:t>12</w:t>
      </w:r>
    </w:p>
    <w:p>
      <w:pPr>
        <w:tabs>
          <w:tab w:pos="9184" w:val="right" w:leader="dot"/>
        </w:tabs>
        <w:spacing w:after="20" w:line="240" w:lineRule="auto"/>
        <w:ind w:left="283"/>
      </w:pPr>
      <w:r>
        <w:rPr>
          <w:rFonts w:ascii="Times New Roman" w:hAnsi="Times New Roman" w:cs="Times New Roman" w:eastAsia="Times New Roman"/>
          <w:b w:val="0"/>
          <w:sz w:val="20"/>
        </w:rPr>
        <w:t>9.3 Une profondeur historique limitée par la mémoire du poste</w:t>
        <w:tab/>
        <w:t>12</w:t>
      </w:r>
    </w:p>
    <w:p>
      <w:pPr>
        <w:tabs>
          <w:tab w:pos="9184" w:val="right" w:leader="dot"/>
        </w:tabs>
        <w:spacing w:after="20" w:line="240" w:lineRule="auto"/>
        <w:ind w:left="283"/>
      </w:pPr>
      <w:r>
        <w:rPr>
          <w:rFonts w:ascii="Times New Roman" w:hAnsi="Times New Roman" w:cs="Times New Roman" w:eastAsia="Times New Roman"/>
          <w:b w:val="0"/>
          <w:sz w:val="20"/>
        </w:rPr>
        <w:t>9.4 Des prix moyens, pas des prix médians</w:t>
        <w:tab/>
        <w:t>12</w:t>
      </w:r>
    </w:p>
    <w:p>
      <w:pPr>
        <w:tabs>
          <w:tab w:pos="9184" w:val="right" w:leader="dot"/>
        </w:tabs>
        <w:spacing w:after="20" w:line="240" w:lineRule="auto"/>
        <w:ind w:left="283"/>
      </w:pPr>
      <w:r>
        <w:rPr>
          <w:rFonts w:ascii="Times New Roman" w:hAnsi="Times New Roman" w:cs="Times New Roman" w:eastAsia="Times New Roman"/>
          <w:b w:val="0"/>
          <w:sz w:val="20"/>
        </w:rPr>
        <w:t>9.5 Périmètre géographique</w:t>
        <w:tab/>
        <w:t>12</w:t>
      </w:r>
    </w:p>
    <w:p>
      <w:pPr>
        <w:tabs>
          <w:tab w:pos="9184" w:val="right" w:leader="dot"/>
        </w:tabs>
        <w:spacing w:after="20" w:line="240" w:lineRule="auto"/>
        <w:ind w:left="283"/>
      </w:pPr>
      <w:r>
        <w:rPr>
          <w:rFonts w:ascii="Times New Roman" w:hAnsi="Times New Roman" w:cs="Times New Roman" w:eastAsia="Times New Roman"/>
          <w:b w:val="0"/>
          <w:sz w:val="20"/>
        </w:rPr>
        <w:t>9.6 Les valeurs par type de bien ne s'additionnent pas</w:t>
        <w:tab/>
        <w:t>12</w:t>
      </w:r>
    </w:p>
    <w:p>
      <w:pPr>
        <w:tabs>
          <w:tab w:pos="9184" w:val="right" w:leader="dot"/>
        </w:tabs>
        <w:spacing w:after="20" w:line="240" w:lineRule="auto"/>
      </w:pPr>
      <w:r>
        <w:rPr>
          <w:rFonts w:ascii="Times New Roman" w:hAnsi="Times New Roman" w:cs="Times New Roman" w:eastAsia="Times New Roman"/>
          <w:b/>
          <w:sz w:val="20"/>
        </w:rPr>
        <w:t>10. Conclusion et perspectives</w:t>
        <w:tab/>
        <w:t>12</w:t>
      </w:r>
    </w:p>
    <w:p>
      <w:pPr>
        <w:tabs>
          <w:tab w:pos="9184" w:val="right" w:leader="dot"/>
        </w:tabs>
        <w:spacing w:after="20" w:line="240" w:lineRule="auto"/>
      </w:pPr>
      <w:r>
        <w:rPr>
          <w:rFonts w:ascii="Times New Roman" w:hAnsi="Times New Roman" w:cs="Times New Roman" w:eastAsia="Times New Roman"/>
          <w:b/>
          <w:sz w:val="20"/>
        </w:rPr>
        <w:t>Annexe A - Ouvrir et actualiser le projet</w:t>
        <w:tab/>
        <w:t>14</w:t>
      </w:r>
    </w:p>
    <w:p>
      <w:pPr>
        <w:tabs>
          <w:tab w:pos="9184" w:val="right" w:leader="dot"/>
        </w:tabs>
        <w:spacing w:after="20" w:line="240" w:lineRule="auto"/>
      </w:pPr>
      <w:r>
        <w:rPr>
          <w:rFonts w:ascii="Times New Roman" w:hAnsi="Times New Roman" w:cs="Times New Roman" w:eastAsia="Times New Roman"/>
          <w:b/>
          <w:sz w:val="20"/>
        </w:rPr>
        <w:t>Annexe B - Structure du livrable</w:t>
        <w:tab/>
        <w:t>14</w:t>
      </w:r>
    </w:p>
    <w:p>
      <w:r>
        <w:br w:type="page"/>
      </w:r>
    </w:p>
    <w:p>
      <w:pPr>
        <w:pStyle w:val="Heading1"/>
      </w:pPr>
      <w:r>
        <w:t>1. Présentation du projet</w:t>
      </w:r>
    </w:p>
    <w:p>
      <w:pPr>
        <w:pStyle w:val="Heading2"/>
      </w:pPr>
      <w:r>
        <w:t>1.1 Contexte</w:t>
      </w:r>
    </w:p>
    <w:p>
      <w:pPr>
        <w:spacing w:after="120"/>
      </w:pPr>
      <w:r>
        <w:rPr>
          <w:rFonts w:ascii="Times New Roman" w:hAnsi="Times New Roman" w:cs="Times New Roman" w:eastAsia="Times New Roman"/>
          <w:b w:val="0"/>
          <w:i w:val="0"/>
          <w:sz w:val="21"/>
        </w:rPr>
        <w:t>Ce rapport présente le travail réalisé dans le cadre du projet Solaris : la construction d'un modèle décisionnel en flocon (datawarehouse + datamart) et d'un rapport interactif Power BI décrivant le marché immobilier français à partir des Données de valeurs foncières (DVF) publiées par la DGFiP sur data.gouv.fr.</w:t>
      </w:r>
    </w:p>
    <w:p>
      <w:pPr>
        <w:spacing w:after="120"/>
      </w:pPr>
      <w:r>
        <w:rPr>
          <w:rFonts w:ascii="Times New Roman" w:hAnsi="Times New Roman" w:cs="Times New Roman" w:eastAsia="Times New Roman"/>
          <w:b w:val="0"/>
          <w:i w:val="0"/>
          <w:sz w:val="21"/>
        </w:rPr>
        <w:t>La demande initiale était la suivante : « connaître le prix des biens en France en fonction des régions et des villes ». Le périmètre retenu est celui des ventes de 2024 et 2025, analysables au niveau région, département et commune.</w:t>
      </w:r>
    </w:p>
    <w:p>
      <w:pPr>
        <w:pStyle w:val="Heading2"/>
      </w:pPr>
      <w:r>
        <w:t>1.2 Cas métier</w:t>
      </w:r>
    </w:p>
    <w:p>
      <w:pPr>
        <w:spacing w:after="120"/>
      </w:pPr>
      <w:r>
        <w:rPr>
          <w:rFonts w:ascii="Times New Roman" w:hAnsi="Times New Roman" w:cs="Times New Roman" w:eastAsia="Times New Roman"/>
          <w:b w:val="0"/>
          <w:i w:val="0"/>
          <w:sz w:val="21"/>
        </w:rPr>
        <w:t>Suivre le marché immobilier français à partir des mutations foncières enregistrées en 2024 et 2025 : où se vend quoi, à quel prix, et comment le prix au m² évolue d'une année sur l'autre.</w:t>
      </w:r>
    </w:p>
    <w:p>
      <w:pPr>
        <w:pStyle w:val="Heading2"/>
      </w:pPr>
      <w:r>
        <w:t>1.3 Besoin analytique</w:t>
      </w:r>
    </w:p>
    <w:p>
      <w:pPr>
        <w:spacing w:after="120"/>
      </w:pPr>
      <w:r>
        <w:rPr>
          <w:rFonts w:ascii="Times New Roman" w:hAnsi="Times New Roman" w:cs="Times New Roman" w:eastAsia="Times New Roman"/>
          <w:b w:val="0"/>
          <w:i w:val="0"/>
          <w:sz w:val="21"/>
        </w:rPr>
        <w:t>Pour un territoire (région, département ou commune) et une période (année, trimestre, mois), connaître le nombre de mutations, le volume total en euros et le prix moyen au m², et pouvoir ventiler ces indicateurs par nature de mutation et par type de bien.</w:t>
      </w:r>
    </w:p>
    <w:tbl>
      <w:tblPr>
        <w:tblStyle w:val="TableGrid"/>
        <w:tblW w:type="auto" w:w="0"/>
        <w:jc w:val="center"/>
        <w:tblLook w:firstColumn="1" w:firstRow="1" w:lastColumn="0" w:lastRow="0" w:noHBand="0" w:noVBand="1" w:val="04A0"/>
      </w:tblPr>
      <w:tblGrid>
        <w:gridCol w:w="3286"/>
        <w:gridCol w:w="3286"/>
        <w:gridCol w:w="3286"/>
      </w:tblGrid>
      <w:tr>
        <w:tc>
          <w:tcPr>
            <w:tcW w:type="dxa" w:w="3118"/>
            <w:shd w:val="clear" w:color="auto" w:fill="DCE6F1"/>
          </w:tcPr>
          <w:p>
            <w:pPr>
              <w:spacing w:after="40"/>
            </w:pPr>
            <w:r/>
            <w:r>
              <w:rPr>
                <w:rFonts w:ascii="Times New Roman" w:hAnsi="Times New Roman" w:cs="Times New Roman" w:eastAsia="Times New Roman"/>
                <w:b/>
                <w:color w:val="1F4E79"/>
                <w:sz w:val="19"/>
              </w:rPr>
              <w:t>Question métier</w:t>
            </w:r>
          </w:p>
        </w:tc>
        <w:tc>
          <w:tcPr>
            <w:tcW w:type="dxa" w:w="3685"/>
            <w:shd w:val="clear" w:color="auto" w:fill="DCE6F1"/>
          </w:tcPr>
          <w:p>
            <w:pPr>
              <w:spacing w:after="40"/>
            </w:pPr>
            <w:r/>
            <w:r>
              <w:rPr>
                <w:rFonts w:ascii="Times New Roman" w:hAnsi="Times New Roman" w:cs="Times New Roman" w:eastAsia="Times New Roman"/>
                <w:b/>
                <w:color w:val="1F4E79"/>
                <w:sz w:val="19"/>
              </w:rPr>
              <w:t>Indicateur du modèle</w:t>
            </w:r>
          </w:p>
        </w:tc>
        <w:tc>
          <w:tcPr>
            <w:tcW w:type="dxa" w:w="2551"/>
            <w:shd w:val="clear" w:color="auto" w:fill="DCE6F1"/>
          </w:tcPr>
          <w:p>
            <w:pPr>
              <w:spacing w:after="40"/>
            </w:pPr>
            <w:r/>
            <w:r>
              <w:rPr>
                <w:rFonts w:ascii="Times New Roman" w:hAnsi="Times New Roman" w:cs="Times New Roman" w:eastAsia="Times New Roman"/>
                <w:b/>
                <w:color w:val="1F4E79"/>
                <w:sz w:val="19"/>
              </w:rPr>
              <w:t>Table de faits</w:t>
            </w:r>
          </w:p>
        </w:tc>
      </w:tr>
      <w:tr>
        <w:tc>
          <w:tcPr>
            <w:tcW w:type="dxa" w:w="3118"/>
          </w:tcPr>
          <w:p>
            <w:pPr>
              <w:spacing w:after="40"/>
            </w:pPr>
            <w:r/>
            <w:r>
              <w:rPr>
                <w:rFonts w:ascii="Times New Roman" w:hAnsi="Times New Roman" w:cs="Times New Roman" w:eastAsia="Times New Roman"/>
                <w:b w:val="0"/>
                <w:sz w:val="19"/>
              </w:rPr>
              <w:t>Combien de ventes ?</w:t>
            </w:r>
          </w:p>
        </w:tc>
        <w:tc>
          <w:tcPr>
            <w:tcW w:type="dxa" w:w="3685"/>
          </w:tcPr>
          <w:p>
            <w:pPr>
              <w:spacing w:after="40"/>
            </w:pPr>
            <w:r/>
            <w:r>
              <w:rPr>
                <w:rFonts w:ascii="Times New Roman" w:hAnsi="Times New Roman" w:cs="Times New Roman" w:eastAsia="Times New Roman"/>
                <w:sz w:val="19"/>
              </w:rPr>
              <w:t>Nombre de mutations / Nb mutations agrege</w:t>
            </w:r>
          </w:p>
        </w:tc>
        <w:tc>
          <w:tcPr>
            <w:tcW w:type="dxa" w:w="2551"/>
          </w:tcPr>
          <w:p>
            <w:pPr>
              <w:spacing w:after="40"/>
            </w:pPr>
            <w:r/>
            <w:r>
              <w:rPr>
                <w:rFonts w:ascii="Times New Roman" w:hAnsi="Times New Roman" w:cs="Times New Roman" w:eastAsia="Times New Roman"/>
                <w:sz w:val="19"/>
              </w:rPr>
              <w:t>les deux</w:t>
            </w:r>
          </w:p>
        </w:tc>
      </w:tr>
      <w:tr>
        <w:tc>
          <w:tcPr>
            <w:tcW w:type="dxa" w:w="3118"/>
          </w:tcPr>
          <w:p>
            <w:pPr>
              <w:spacing w:after="40"/>
            </w:pPr>
            <w:r/>
            <w:r>
              <w:rPr>
                <w:rFonts w:ascii="Times New Roman" w:hAnsi="Times New Roman" w:cs="Times New Roman" w:eastAsia="Times New Roman"/>
                <w:b w:val="0"/>
                <w:sz w:val="19"/>
              </w:rPr>
              <w:t>Quel volume financier ?</w:t>
            </w:r>
          </w:p>
        </w:tc>
        <w:tc>
          <w:tcPr>
            <w:tcW w:type="dxa" w:w="3685"/>
          </w:tcPr>
          <w:p>
            <w:pPr>
              <w:spacing w:after="40"/>
            </w:pPr>
            <w:r/>
            <w:r>
              <w:rPr>
                <w:rFonts w:ascii="Times New Roman" w:hAnsi="Times New Roman" w:cs="Times New Roman" w:eastAsia="Times New Roman"/>
                <w:sz w:val="19"/>
              </w:rPr>
              <w:t>Valeur fonciere totale / Valeur agregee</w:t>
            </w:r>
          </w:p>
        </w:tc>
        <w:tc>
          <w:tcPr>
            <w:tcW w:type="dxa" w:w="2551"/>
          </w:tcPr>
          <w:p>
            <w:pPr>
              <w:spacing w:after="40"/>
            </w:pPr>
            <w:r/>
            <w:r>
              <w:rPr>
                <w:rFonts w:ascii="Times New Roman" w:hAnsi="Times New Roman" w:cs="Times New Roman" w:eastAsia="Times New Roman"/>
                <w:sz w:val="19"/>
              </w:rPr>
              <w:t>les deux</w:t>
            </w:r>
          </w:p>
        </w:tc>
      </w:tr>
      <w:tr>
        <w:tc>
          <w:tcPr>
            <w:tcW w:type="dxa" w:w="3118"/>
          </w:tcPr>
          <w:p>
            <w:pPr>
              <w:spacing w:after="40"/>
            </w:pPr>
            <w:r/>
            <w:r>
              <w:rPr>
                <w:rFonts w:ascii="Times New Roman" w:hAnsi="Times New Roman" w:cs="Times New Roman" w:eastAsia="Times New Roman"/>
                <w:b w:val="0"/>
                <w:sz w:val="19"/>
              </w:rPr>
              <w:t>À quel prix au m² ?</w:t>
            </w:r>
          </w:p>
        </w:tc>
        <w:tc>
          <w:tcPr>
            <w:tcW w:type="dxa" w:w="3685"/>
          </w:tcPr>
          <w:p>
            <w:pPr>
              <w:spacing w:after="40"/>
            </w:pPr>
            <w:r/>
            <w:r>
              <w:rPr>
                <w:rFonts w:ascii="Times New Roman" w:hAnsi="Times New Roman" w:cs="Times New Roman" w:eastAsia="Times New Roman"/>
                <w:sz w:val="19"/>
              </w:rPr>
              <w:t>Prix moyen m2 / Prix moyen m2 agrege</w:t>
            </w:r>
          </w:p>
        </w:tc>
        <w:tc>
          <w:tcPr>
            <w:tcW w:type="dxa" w:w="2551"/>
          </w:tcPr>
          <w:p>
            <w:pPr>
              <w:spacing w:after="40"/>
            </w:pPr>
            <w:r/>
            <w:r>
              <w:rPr>
                <w:rFonts w:ascii="Times New Roman" w:hAnsi="Times New Roman" w:cs="Times New Roman" w:eastAsia="Times New Roman"/>
                <w:sz w:val="19"/>
              </w:rPr>
              <w:t>les deux</w:t>
            </w:r>
          </w:p>
        </w:tc>
      </w:tr>
      <w:tr>
        <w:tc>
          <w:tcPr>
            <w:tcW w:type="dxa" w:w="3118"/>
          </w:tcPr>
          <w:p>
            <w:pPr>
              <w:spacing w:after="40"/>
            </w:pPr>
            <w:r/>
            <w:r>
              <w:rPr>
                <w:rFonts w:ascii="Times New Roman" w:hAnsi="Times New Roman" w:cs="Times New Roman" w:eastAsia="Times New Roman"/>
                <w:b w:val="0"/>
                <w:sz w:val="19"/>
              </w:rPr>
              <w:t>Quel prix pour un logement ?</w:t>
            </w:r>
          </w:p>
        </w:tc>
        <w:tc>
          <w:tcPr>
            <w:tcW w:type="dxa" w:w="3685"/>
          </w:tcPr>
          <w:p>
            <w:pPr>
              <w:spacing w:after="40"/>
            </w:pPr>
            <w:r/>
            <w:r>
              <w:rPr>
                <w:rFonts w:ascii="Times New Roman" w:hAnsi="Times New Roman" w:cs="Times New Roman" w:eastAsia="Times New Roman"/>
                <w:sz w:val="19"/>
              </w:rPr>
              <w:t>Prix moyen m2 habitation</w:t>
            </w:r>
          </w:p>
        </w:tc>
        <w:tc>
          <w:tcPr>
            <w:tcW w:type="dxa" w:w="2551"/>
          </w:tcPr>
          <w:p>
            <w:pPr>
              <w:spacing w:after="40"/>
            </w:pPr>
            <w:r/>
            <w:r>
              <w:rPr>
                <w:rFonts w:ascii="Times New Roman" w:hAnsi="Times New Roman" w:cs="Times New Roman" w:eastAsia="Times New Roman"/>
                <w:sz w:val="19"/>
              </w:rPr>
              <w:t>fait_mutation</w:t>
            </w:r>
          </w:p>
        </w:tc>
      </w:tr>
      <w:tr>
        <w:tc>
          <w:tcPr>
            <w:tcW w:type="dxa" w:w="3118"/>
          </w:tcPr>
          <w:p>
            <w:pPr>
              <w:spacing w:after="40"/>
            </w:pPr>
            <w:r/>
            <w:r>
              <w:rPr>
                <w:rFonts w:ascii="Times New Roman" w:hAnsi="Times New Roman" w:cs="Times New Roman" w:eastAsia="Times New Roman"/>
                <w:b w:val="0"/>
                <w:sz w:val="19"/>
              </w:rPr>
              <w:t>Quel prix pour un terrain ?</w:t>
            </w:r>
          </w:p>
        </w:tc>
        <w:tc>
          <w:tcPr>
            <w:tcW w:type="dxa" w:w="3685"/>
          </w:tcPr>
          <w:p>
            <w:pPr>
              <w:spacing w:after="40"/>
            </w:pPr>
            <w:r/>
            <w:r>
              <w:rPr>
                <w:rFonts w:ascii="Times New Roman" w:hAnsi="Times New Roman" w:cs="Times New Roman" w:eastAsia="Times New Roman"/>
                <w:sz w:val="19"/>
              </w:rPr>
              <w:t>Prix moyen m2 terrain</w:t>
            </w:r>
          </w:p>
        </w:tc>
        <w:tc>
          <w:tcPr>
            <w:tcW w:type="dxa" w:w="2551"/>
          </w:tcPr>
          <w:p>
            <w:pPr>
              <w:spacing w:after="40"/>
            </w:pPr>
            <w:r/>
            <w:r>
              <w:rPr>
                <w:rFonts w:ascii="Times New Roman" w:hAnsi="Times New Roman" w:cs="Times New Roman" w:eastAsia="Times New Roman"/>
                <w:sz w:val="19"/>
              </w:rPr>
              <w:t>fait_mutation</w:t>
            </w:r>
          </w:p>
        </w:tc>
      </w:tr>
      <w:tr>
        <w:tc>
          <w:tcPr>
            <w:tcW w:type="dxa" w:w="3118"/>
          </w:tcPr>
          <w:p>
            <w:pPr>
              <w:spacing w:after="40"/>
            </w:pPr>
            <w:r/>
            <w:r>
              <w:rPr>
                <w:rFonts w:ascii="Times New Roman" w:hAnsi="Times New Roman" w:cs="Times New Roman" w:eastAsia="Times New Roman"/>
                <w:b w:val="0"/>
                <w:sz w:val="19"/>
              </w:rPr>
              <w:t>Quel prix par territoire ?</w:t>
            </w:r>
          </w:p>
        </w:tc>
        <w:tc>
          <w:tcPr>
            <w:tcW w:type="dxa" w:w="3685"/>
          </w:tcPr>
          <w:p>
            <w:pPr>
              <w:spacing w:after="40"/>
            </w:pPr>
            <w:r/>
            <w:r>
              <w:rPr>
                <w:rFonts w:ascii="Times New Roman" w:hAnsi="Times New Roman" w:cs="Times New Roman" w:eastAsia="Times New Roman"/>
                <w:sz w:val="19"/>
              </w:rPr>
              <w:t>Prix moyen m2 agrege (commune → département → région)</w:t>
            </w:r>
          </w:p>
        </w:tc>
        <w:tc>
          <w:tcPr>
            <w:tcW w:type="dxa" w:w="2551"/>
          </w:tcPr>
          <w:p>
            <w:pPr>
              <w:spacing w:after="40"/>
            </w:pPr>
            <w:r/>
            <w:r>
              <w:rPr>
                <w:rFonts w:ascii="Times New Roman" w:hAnsi="Times New Roman" w:cs="Times New Roman" w:eastAsia="Times New Roman"/>
                <w:sz w:val="19"/>
              </w:rPr>
              <w:t>fait_marche_agrege</w:t>
            </w:r>
          </w:p>
        </w:tc>
      </w:tr>
    </w:tbl>
    <w:p>
      <w:pPr>
        <w:spacing w:after="40"/>
      </w:pPr>
    </w:p>
    <w:p>
      <w:pPr>
        <w:pStyle w:val="Heading1"/>
      </w:pPr>
      <w:r>
        <w:t>2. Données sources</w:t>
      </w:r>
    </w:p>
    <w:p>
      <w:pPr>
        <w:pStyle w:val="Heading2"/>
      </w:pPr>
      <w:r>
        <w:t>2.1 Le jeu de données DVF</w:t>
      </w:r>
    </w:p>
    <w:p>
      <w:pPr>
        <w:pStyle w:val="ListBullet"/>
        <w:spacing w:after="40"/>
      </w:pPr>
      <w:r>
        <w:rPr>
          <w:rFonts w:ascii="Times New Roman" w:hAnsi="Times New Roman" w:cs="Times New Roman" w:eastAsia="Times New Roman"/>
          <w:b/>
          <w:sz w:val="21"/>
        </w:rPr>
        <w:t xml:space="preserve">Source : </w:t>
      </w:r>
      <w:r>
        <w:rPr>
          <w:rFonts w:ascii="Times New Roman" w:hAnsi="Times New Roman" w:cs="Times New Roman" w:eastAsia="Times New Roman"/>
          <w:b w:val="0"/>
          <w:sz w:val="21"/>
        </w:rPr>
        <w:t>data.gouv.fr - Demandes de valeurs foncières (DVF), fichiers « Valeurs foncières » de la DGFiP</w:t>
      </w:r>
    </w:p>
    <w:p>
      <w:pPr>
        <w:pStyle w:val="ListBullet"/>
        <w:spacing w:after="40"/>
      </w:pPr>
      <w:r>
        <w:rPr>
          <w:rFonts w:ascii="Times New Roman" w:hAnsi="Times New Roman" w:cs="Times New Roman" w:eastAsia="Times New Roman"/>
          <w:b/>
          <w:sz w:val="21"/>
        </w:rPr>
        <w:t xml:space="preserve">URL : </w:t>
      </w:r>
      <w:r>
        <w:rPr>
          <w:rFonts w:ascii="Times New Roman" w:hAnsi="Times New Roman" w:cs="Times New Roman" w:eastAsia="Times New Roman"/>
          <w:b w:val="0"/>
          <w:sz w:val="21"/>
        </w:rPr>
        <w:t>https://www.data.gouv.fr/datasets/demandes-de-valeurs-foncieres</w:t>
      </w:r>
    </w:p>
    <w:p>
      <w:pPr>
        <w:pStyle w:val="ListBullet"/>
        <w:spacing w:after="40"/>
      </w:pPr>
      <w:r>
        <w:rPr>
          <w:rFonts w:ascii="Times New Roman" w:hAnsi="Times New Roman" w:cs="Times New Roman" w:eastAsia="Times New Roman"/>
          <w:b/>
          <w:sz w:val="21"/>
        </w:rPr>
        <w:t xml:space="preserve">Format : </w:t>
      </w:r>
      <w:r>
        <w:rPr>
          <w:rFonts w:ascii="Times New Roman" w:hAnsi="Times New Roman" w:cs="Times New Roman" w:eastAsia="Times New Roman"/>
          <w:b w:val="0"/>
          <w:sz w:val="21"/>
        </w:rPr>
        <w:t>un fichier texte par année (ValeursFoncieres-AAAA.txt), séparateur « | », 43 colonnes</w:t>
      </w:r>
    </w:p>
    <w:p>
      <w:pPr>
        <w:pStyle w:val="ListBullet"/>
        <w:spacing w:after="40"/>
      </w:pPr>
      <w:r>
        <w:rPr>
          <w:rFonts w:ascii="Times New Roman" w:hAnsi="Times New Roman" w:cs="Times New Roman" w:eastAsia="Times New Roman"/>
          <w:b/>
          <w:sz w:val="21"/>
        </w:rPr>
        <w:t xml:space="preserve">Couverture disponible : </w:t>
      </w:r>
      <w:r>
        <w:rPr>
          <w:rFonts w:ascii="Times New Roman" w:hAnsi="Times New Roman" w:cs="Times New Roman" w:eastAsia="Times New Roman"/>
          <w:b w:val="0"/>
          <w:sz w:val="21"/>
        </w:rPr>
        <w:t>les 5 dernières années (2021 à 2025), soit environ 920 Mo par paire d'années</w:t>
      </w:r>
    </w:p>
    <w:p>
      <w:pPr>
        <w:pStyle w:val="ListBullet"/>
        <w:spacing w:after="40"/>
      </w:pPr>
      <w:r>
        <w:rPr>
          <w:rFonts w:ascii="Times New Roman" w:hAnsi="Times New Roman" w:cs="Times New Roman" w:eastAsia="Times New Roman"/>
          <w:b/>
          <w:sz w:val="21"/>
        </w:rPr>
        <w:t xml:space="preserve">Contenu : </w:t>
      </w:r>
      <w:r>
        <w:rPr>
          <w:rFonts w:ascii="Times New Roman" w:hAnsi="Times New Roman" w:cs="Times New Roman" w:eastAsia="Times New Roman"/>
          <w:b w:val="0"/>
          <w:sz w:val="21"/>
        </w:rPr>
        <w:t>une ligne par bien vendu ; une mutation (une vente) est éclatée en plusieurs lignes, une par bien</w:t>
      </w:r>
    </w:p>
    <w:p>
      <w:pPr>
        <w:pStyle w:val="Heading2"/>
      </w:pPr>
      <w:r>
        <w:t>2.2 Périmètre retenu : 2024 et 2025</w:t>
      </w:r>
    </w:p>
    <w:p>
      <w:pPr>
        <w:spacing w:after="120"/>
      </w:pPr>
      <w:r>
        <w:rPr>
          <w:rFonts w:ascii="Times New Roman" w:hAnsi="Times New Roman" w:cs="Times New Roman" w:eastAsia="Times New Roman"/>
          <w:b w:val="0"/>
          <w:i w:val="0"/>
          <w:sz w:val="21"/>
        </w:rPr>
        <w:t>Le jeu complet 2021-2025 a d'abord été pris en compte. Sur le poste de travail utilisé (13,9 Go de RAM, dont environ 3 Go réellement disponibles), l'actualisation des 5 années (environ 20 millions de lignes) épuisait la mémoire : le relevé de consommation descendait sous 1 Go de mémoire libre et l'actualisation ne se terminait pas. Le périmètre a donc été ramené à deux années, 2024 et 2025.</w:t>
      </w:r>
    </w:p>
    <w:p>
      <w:pPr>
        <w:spacing w:after="120"/>
      </w:pPr>
      <w:r>
        <w:rPr>
          <w:rFonts w:ascii="Times New Roman" w:hAnsi="Times New Roman" w:cs="Times New Roman" w:eastAsia="Times New Roman"/>
          <w:b w:val="0"/>
          <w:i w:val="0"/>
          <w:sz w:val="21"/>
        </w:rPr>
        <w:t>Cette limite est une contrainte de la machine, pas du modèle : la requête source est pilotée par une liste d'années. Il suffit d'ajouter 2021, 2022 et 2023 à cette liste puis d'actualiser pour couvrir les 5 ans (voir §4.1). Les deux années conservées représentent 7 214 760 lignes de faits détaillées.</w:t>
      </w:r>
    </w:p>
    <w:p>
      <w:pPr>
        <w:pStyle w:val="Heading2"/>
      </w:pPr>
      <w:r>
        <w:t>2.3 Volumétrie et chiffres de contrôle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835"/>
            <w:shd w:val="clear" w:color="auto" w:fill="DCE6F1"/>
          </w:tcPr>
          <w:p>
            <w:pPr>
              <w:spacing w:after="40"/>
            </w:pPr>
            <w:r/>
            <w:r>
              <w:rPr>
                <w:rFonts w:ascii="Times New Roman" w:hAnsi="Times New Roman" w:cs="Times New Roman" w:eastAsia="Times New Roman"/>
                <w:b/>
                <w:color w:val="1F4E79"/>
                <w:sz w:val="19"/>
              </w:rPr>
              <w:t>Indicateur</w:t>
            </w:r>
          </w:p>
        </w:tc>
        <w:tc>
          <w:tcPr>
            <w:tcW w:type="dxa" w:w="2268"/>
            <w:shd w:val="clear" w:color="auto" w:fill="DCE6F1"/>
          </w:tcPr>
          <w:p>
            <w:pPr>
              <w:spacing w:after="40"/>
            </w:pPr>
            <w:r/>
            <w:r>
              <w:rPr>
                <w:rFonts w:ascii="Times New Roman" w:hAnsi="Times New Roman" w:cs="Times New Roman" w:eastAsia="Times New Roman"/>
                <w:b/>
                <w:color w:val="1F4E79"/>
                <w:sz w:val="19"/>
              </w:rPr>
              <w:t>2024</w:t>
            </w:r>
          </w:p>
        </w:tc>
        <w:tc>
          <w:tcPr>
            <w:tcW w:type="dxa" w:w="2268"/>
            <w:shd w:val="clear" w:color="auto" w:fill="DCE6F1"/>
          </w:tcPr>
          <w:p>
            <w:pPr>
              <w:spacing w:after="40"/>
            </w:pPr>
            <w:r/>
            <w:r>
              <w:rPr>
                <w:rFonts w:ascii="Times New Roman" w:hAnsi="Times New Roman" w:cs="Times New Roman" w:eastAsia="Times New Roman"/>
                <w:b/>
                <w:color w:val="1F4E79"/>
                <w:sz w:val="19"/>
              </w:rPr>
              <w:t>2025</w:t>
            </w:r>
          </w:p>
        </w:tc>
        <w:tc>
          <w:tcPr>
            <w:tcW w:type="dxa" w:w="2268"/>
            <w:shd w:val="clear" w:color="auto" w:fill="DCE6F1"/>
          </w:tcPr>
          <w:p>
            <w:pPr>
              <w:spacing w:after="40"/>
            </w:pPr>
            <w:r/>
            <w:r>
              <w:rPr>
                <w:rFonts w:ascii="Times New Roman" w:hAnsi="Times New Roman" w:cs="Times New Roman" w:eastAsia="Times New Roman"/>
                <w:b/>
                <w:color w:val="1F4E79"/>
                <w:sz w:val="19"/>
              </w:rPr>
              <w:t>Total 2024-2025</w:t>
            </w:r>
          </w:p>
        </w:tc>
      </w:tr>
      <w:tr>
        <w:tc>
          <w:tcPr>
            <w:tcW w:type="dxa" w:w="2835"/>
          </w:tcPr>
          <w:p>
            <w:pPr>
              <w:spacing w:after="40"/>
            </w:pPr>
            <w:r/>
            <w:r>
              <w:rPr>
                <w:rFonts w:ascii="Times New Roman" w:hAnsi="Times New Roman" w:cs="Times New Roman" w:eastAsia="Times New Roman"/>
                <w:b w:val="0"/>
                <w:sz w:val="19"/>
              </w:rPr>
              <w:t>Nombre de mutations</w:t>
            </w:r>
          </w:p>
        </w:tc>
        <w:tc>
          <w:tcPr>
            <w:tcW w:type="dxa" w:w="2268"/>
          </w:tcPr>
          <w:p>
            <w:pPr>
              <w:spacing w:after="40"/>
            </w:pPr>
            <w:r/>
            <w:r>
              <w:rPr>
                <w:rFonts w:ascii="Times New Roman" w:hAnsi="Times New Roman" w:cs="Times New Roman" w:eastAsia="Times New Roman"/>
                <w:sz w:val="19"/>
              </w:rPr>
              <w:t>1 237 625</w:t>
            </w:r>
          </w:p>
        </w:tc>
        <w:tc>
          <w:tcPr>
            <w:tcW w:type="dxa" w:w="2268"/>
          </w:tcPr>
          <w:p>
            <w:pPr>
              <w:spacing w:after="40"/>
            </w:pPr>
            <w:r/>
            <w:r>
              <w:rPr>
                <w:rFonts w:ascii="Times New Roman" w:hAnsi="Times New Roman" w:cs="Times New Roman" w:eastAsia="Times New Roman"/>
                <w:sz w:val="19"/>
              </w:rPr>
              <w:t>1 320 973</w:t>
            </w:r>
          </w:p>
        </w:tc>
        <w:tc>
          <w:tcPr>
            <w:tcW w:type="dxa" w:w="2268"/>
          </w:tcPr>
          <w:p>
            <w:pPr>
              <w:spacing w:after="40"/>
            </w:pPr>
            <w:r/>
            <w:r>
              <w:rPr>
                <w:rFonts w:ascii="Times New Roman" w:hAnsi="Times New Roman" w:cs="Times New Roman" w:eastAsia="Times New Roman"/>
                <w:sz w:val="19"/>
              </w:rPr>
              <w:t>2 558 598</w:t>
            </w:r>
          </w:p>
        </w:tc>
      </w:tr>
      <w:tr>
        <w:tc>
          <w:tcPr>
            <w:tcW w:type="dxa" w:w="2835"/>
          </w:tcPr>
          <w:p>
            <w:pPr>
              <w:spacing w:after="40"/>
            </w:pPr>
            <w:r/>
            <w:r>
              <w:rPr>
                <w:rFonts w:ascii="Times New Roman" w:hAnsi="Times New Roman" w:cs="Times New Roman" w:eastAsia="Times New Roman"/>
                <w:b w:val="0"/>
                <w:sz w:val="19"/>
              </w:rPr>
              <w:t>Valeur foncière totale</w:t>
            </w:r>
          </w:p>
        </w:tc>
        <w:tc>
          <w:tcPr>
            <w:tcW w:type="dxa" w:w="2268"/>
          </w:tcPr>
          <w:p>
            <w:pPr>
              <w:spacing w:after="40"/>
            </w:pPr>
            <w:r/>
            <w:r>
              <w:rPr>
                <w:rFonts w:ascii="Times New Roman" w:hAnsi="Times New Roman" w:cs="Times New Roman" w:eastAsia="Times New Roman"/>
                <w:sz w:val="19"/>
              </w:rPr>
              <w:t>285 013 446 757 €</w:t>
            </w:r>
          </w:p>
        </w:tc>
        <w:tc>
          <w:tcPr>
            <w:tcW w:type="dxa" w:w="2268"/>
          </w:tcPr>
          <w:p>
            <w:pPr>
              <w:spacing w:after="40"/>
            </w:pPr>
            <w:r/>
            <w:r>
              <w:rPr>
                <w:rFonts w:ascii="Times New Roman" w:hAnsi="Times New Roman" w:cs="Times New Roman" w:eastAsia="Times New Roman"/>
                <w:sz w:val="19"/>
              </w:rPr>
              <w:t>319 901 489 835 €</w:t>
            </w:r>
          </w:p>
        </w:tc>
        <w:tc>
          <w:tcPr>
            <w:tcW w:type="dxa" w:w="2268"/>
          </w:tcPr>
          <w:p>
            <w:pPr>
              <w:spacing w:after="40"/>
            </w:pPr>
            <w:r/>
            <w:r>
              <w:rPr>
                <w:rFonts w:ascii="Times New Roman" w:hAnsi="Times New Roman" w:cs="Times New Roman" w:eastAsia="Times New Roman"/>
                <w:sz w:val="19"/>
              </w:rPr>
              <w:t>604 914 936 592 €</w:t>
            </w:r>
          </w:p>
        </w:tc>
      </w:tr>
      <w:tr>
        <w:tc>
          <w:tcPr>
            <w:tcW w:type="dxa" w:w="2835"/>
          </w:tcPr>
          <w:p>
            <w:pPr>
              <w:spacing w:after="40"/>
            </w:pPr>
            <w:r/>
            <w:r>
              <w:rPr>
                <w:rFonts w:ascii="Times New Roman" w:hAnsi="Times New Roman" w:cs="Times New Roman" w:eastAsia="Times New Roman"/>
                <w:b w:val="0"/>
                <w:sz w:val="19"/>
              </w:rPr>
              <w:t>Prix moyen au m²</w:t>
            </w:r>
          </w:p>
        </w:tc>
        <w:tc>
          <w:tcPr>
            <w:tcW w:type="dxa" w:w="2268"/>
          </w:tcPr>
          <w:p>
            <w:pPr>
              <w:spacing w:after="40"/>
            </w:pPr>
            <w:r/>
            <w:r>
              <w:rPr>
                <w:rFonts w:ascii="Times New Roman" w:hAnsi="Times New Roman" w:cs="Times New Roman" w:eastAsia="Times New Roman"/>
                <w:sz w:val="19"/>
              </w:rPr>
              <w:t>2 156,13 €</w:t>
            </w:r>
          </w:p>
        </w:tc>
        <w:tc>
          <w:tcPr>
            <w:tcW w:type="dxa" w:w="2268"/>
          </w:tcPr>
          <w:p>
            <w:pPr>
              <w:spacing w:after="40"/>
            </w:pPr>
            <w:r/>
            <w:r>
              <w:rPr>
                <w:rFonts w:ascii="Times New Roman" w:hAnsi="Times New Roman" w:cs="Times New Roman" w:eastAsia="Times New Roman"/>
                <w:sz w:val="19"/>
              </w:rPr>
              <w:t>2 187,23 €</w:t>
            </w:r>
          </w:p>
        </w:tc>
        <w:tc>
          <w:tcPr>
            <w:tcW w:type="dxa" w:w="2268"/>
          </w:tcPr>
          <w:p>
            <w:pPr>
              <w:spacing w:after="40"/>
            </w:pPr>
            <w:r/>
            <w:r>
              <w:rPr>
                <w:rFonts w:ascii="Times New Roman" w:hAnsi="Times New Roman" w:cs="Times New Roman" w:eastAsia="Times New Roman"/>
                <w:sz w:val="19"/>
              </w:rPr>
              <w:t>2 172,46 €</w:t>
            </w:r>
          </w:p>
        </w:tc>
      </w:tr>
      <w:tr>
        <w:tc>
          <w:tcPr>
            <w:tcW w:type="dxa" w:w="2835"/>
          </w:tcPr>
          <w:p>
            <w:pPr>
              <w:spacing w:after="40"/>
            </w:pPr>
            <w:r/>
            <w:r>
              <w:rPr>
                <w:rFonts w:ascii="Times New Roman" w:hAnsi="Times New Roman" w:cs="Times New Roman" w:eastAsia="Times New Roman"/>
                <w:b w:val="0"/>
                <w:sz w:val="19"/>
              </w:rPr>
              <w:t>Lignes de faits (fait_mutation)</w:t>
            </w:r>
          </w:p>
        </w:tc>
        <w:tc>
          <w:tcPr>
            <w:tcW w:type="dxa" w:w="2268"/>
          </w:tcPr>
          <w:p>
            <w:pPr>
              <w:spacing w:after="40"/>
            </w:pPr>
            <w:r/>
            <w:r>
              <w:rPr>
                <w:rFonts w:ascii="Times New Roman" w:hAnsi="Times New Roman" w:cs="Times New Roman" w:eastAsia="Times New Roman"/>
                <w:sz w:val="19"/>
              </w:rPr>
              <w:t>3 499 931</w:t>
            </w:r>
          </w:p>
        </w:tc>
        <w:tc>
          <w:tcPr>
            <w:tcW w:type="dxa" w:w="2268"/>
          </w:tcPr>
          <w:p>
            <w:pPr>
              <w:spacing w:after="40"/>
            </w:pPr>
            <w:r/>
            <w:r>
              <w:rPr>
                <w:rFonts w:ascii="Times New Roman" w:hAnsi="Times New Roman" w:cs="Times New Roman" w:eastAsia="Times New Roman"/>
                <w:sz w:val="19"/>
              </w:rPr>
              <w:t>3 714 829</w:t>
            </w:r>
          </w:p>
        </w:tc>
        <w:tc>
          <w:tcPr>
            <w:tcW w:type="dxa" w:w="2268"/>
          </w:tcPr>
          <w:p>
            <w:pPr>
              <w:spacing w:after="40"/>
            </w:pPr>
            <w:r/>
            <w:r>
              <w:rPr>
                <w:rFonts w:ascii="Times New Roman" w:hAnsi="Times New Roman" w:cs="Times New Roman" w:eastAsia="Times New Roman"/>
                <w:sz w:val="19"/>
              </w:rPr>
              <w:t>7 214 760</w:t>
            </w:r>
          </w:p>
        </w:tc>
      </w:tr>
    </w:tbl>
    <w:p>
      <w:pPr>
        <w:spacing w:after="40"/>
      </w:pPr>
    </w:p>
    <w:p>
      <w:pPr>
        <w:spacing w:after="120"/>
      </w:pPr>
      <w:r>
        <w:rPr>
          <w:rFonts w:ascii="Times New Roman" w:hAnsi="Times New Roman" w:cs="Times New Roman" w:eastAsia="Times New Roman"/>
          <w:b w:val="0"/>
          <w:i w:val="0"/>
          <w:sz w:val="21"/>
        </w:rPr>
        <w:t>En moyenne, 2,82 lignes décrivent chaque mutation (7 214 760 lignes pour 2 558 598 mutations) : c'est la conséquence directe du §5.</w:t>
      </w:r>
    </w:p>
    <w:p>
      <w:pPr>
        <w:spacing w:after="120"/>
      </w:pPr>
      <w:r>
        <w:rPr>
          <w:rFonts w:ascii="Times New Roman" w:hAnsi="Times New Roman" w:cs="Times New Roman" w:eastAsia="Times New Roman"/>
          <w:b w:val="0"/>
          <w:i w:val="0"/>
          <w:sz w:val="21"/>
        </w:rPr>
        <w:t>Les données couvrent l'intégralité des mutations publiées du 1er janvier 2024 au 31 décembre 2025 : sur les 731 jours de la période, 724 jours comportent au moins une mutation. Les deux millésimes sont donc complets et comparables.</w:t>
      </w:r>
    </w:p>
    <w:p>
      <w:pPr>
        <w:pStyle w:val="Heading1"/>
      </w:pPr>
      <w:r>
        <w:t>3. Architecture du modèle décisionnel</w:t>
      </w:r>
    </w:p>
    <w:p>
      <w:pPr>
        <w:pStyle w:val="Heading2"/>
      </w:pPr>
      <w:r>
        <w:t>3.1 Schéma en flocon</w:t>
      </w:r>
    </w:p>
    <w:p>
      <w:pPr>
        <w:spacing w:after="40"/>
        <w:jc w:val="center"/>
      </w:pPr>
      <w:r>
        <w:drawing>
          <wp:inline xmlns:a="http://schemas.openxmlformats.org/drawingml/2006/main" xmlns:pic="http://schemas.openxmlformats.org/drawingml/2006/picture">
            <wp:extent cx="5852160" cy="3357517"/>
            <wp:docPr id="1" name="Picture 1"/>
            <wp:cNvGraphicFramePr>
              <a:graphicFrameLocks noChangeAspect="1"/>
            </wp:cNvGraphicFramePr>
            <a:graphic>
              <a:graphicData uri="http://schemas.openxmlformats.org/drawingml/2006/picture">
                <pic:pic>
                  <pic:nvPicPr>
                    <pic:cNvPr id="0" name="schema_flocon.png"/>
                    <pic:cNvPicPr/>
                  </pic:nvPicPr>
                  <pic:blipFill>
                    <a:blip r:embed="rId10"/>
                    <a:stretch>
                      <a:fillRect/>
                    </a:stretch>
                  </pic:blipFill>
                  <pic:spPr>
                    <a:xfrm>
                      <a:off x="0" y="0"/>
                      <a:ext cx="5852160" cy="3357517"/>
                    </a:xfrm>
                    <a:prstGeom prst="rect"/>
                  </pic:spPr>
                </pic:pic>
              </a:graphicData>
            </a:graphic>
          </wp:inline>
        </w:drawing>
      </w:r>
    </w:p>
    <w:p>
      <w:pPr>
        <w:spacing w:after="200"/>
        <w:jc w:val="center"/>
      </w:pPr>
      <w:r>
        <w:rPr>
          <w:rFonts w:ascii="Times New Roman" w:hAnsi="Times New Roman" w:cs="Times New Roman" w:eastAsia="Times New Roman"/>
          <w:i/>
          <w:color w:val="595959"/>
          <w:sz w:val="17"/>
        </w:rPr>
        <w:t>Figure 1 - Modèle en flocon : 2 tables de faits, 8 dimensions, 11 relations 1 vers *.</w:t>
      </w:r>
    </w:p>
    <w:p>
      <w:pPr>
        <w:spacing w:after="120"/>
      </w:pPr>
      <w:r>
        <w:rPr>
          <w:rFonts w:ascii="Times New Roman" w:hAnsi="Times New Roman" w:cs="Times New Roman" w:eastAsia="Times New Roman"/>
          <w:b w:val="0"/>
          <w:i w:val="0"/>
          <w:sz w:val="21"/>
        </w:rPr>
        <w:t>Le modèle comporte 10 tables (2 tables de faits et 8 dimensions) reliées par 11 relations, toutes de type 1 vers * avec un filtre à sens unique. Deux hiérarchies en flocon permettent de descendre du territoire au bien :</w:t>
      </w:r>
    </w:p>
    <w:p>
      <w:pPr>
        <w:pStyle w:val="ListBullet"/>
        <w:spacing w:after="40"/>
      </w:pPr>
      <w:r>
        <w:rPr>
          <w:rFonts w:ascii="Times New Roman" w:hAnsi="Times New Roman" w:cs="Times New Roman" w:eastAsia="Times New Roman"/>
          <w:b/>
          <w:sz w:val="21"/>
        </w:rPr>
        <w:t>région → département → commune</w:t>
      </w:r>
      <w:r>
        <w:rPr>
          <w:rFonts w:ascii="Times New Roman" w:hAnsi="Times New Roman" w:cs="Times New Roman" w:eastAsia="Times New Roman"/>
          <w:b w:val="0"/>
          <w:sz w:val="21"/>
        </w:rPr>
        <w:t xml:space="preserve"> (dim_region → dim_departement → dim_commune)</w:t>
      </w:r>
    </w:p>
    <w:p>
      <w:pPr>
        <w:pStyle w:val="ListBullet"/>
        <w:spacing w:after="40"/>
      </w:pPr>
      <w:r>
        <w:rPr>
          <w:rFonts w:ascii="Times New Roman" w:hAnsi="Times New Roman" w:cs="Times New Roman" w:eastAsia="Times New Roman"/>
          <w:b/>
          <w:sz w:val="21"/>
        </w:rPr>
        <w:t>catégorie de local → type de local</w:t>
      </w:r>
      <w:r>
        <w:rPr>
          <w:rFonts w:ascii="Times New Roman" w:hAnsi="Times New Roman" w:cs="Times New Roman" w:eastAsia="Times New Roman"/>
          <w:b w:val="0"/>
          <w:sz w:val="21"/>
        </w:rPr>
        <w:t xml:space="preserve"> (dim_categorie_local → dim_type_local)</w:t>
      </w:r>
    </w:p>
    <w:p>
      <w:pPr>
        <w:pStyle w:val="Heading2"/>
      </w:pPr>
      <w:r>
        <w:t>3.2 Les deux tables de faits</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2041"/>
            <w:shd w:val="clear" w:color="auto" w:fill="DCE6F1"/>
          </w:tcPr>
          <w:p>
            <w:pPr>
              <w:spacing w:after="40"/>
            </w:pPr>
            <w:r/>
            <w:r>
              <w:rPr>
                <w:rFonts w:ascii="Times New Roman" w:hAnsi="Times New Roman" w:cs="Times New Roman" w:eastAsia="Times New Roman"/>
                <w:b/>
                <w:color w:val="1F4E79"/>
                <w:sz w:val="19"/>
              </w:rPr>
              <w:t>Table de faits</w:t>
            </w:r>
          </w:p>
        </w:tc>
        <w:tc>
          <w:tcPr>
            <w:tcW w:type="dxa" w:w="2608"/>
            <w:shd w:val="clear" w:color="auto" w:fill="DCE6F1"/>
          </w:tcPr>
          <w:p>
            <w:pPr>
              <w:spacing w:after="40"/>
            </w:pPr>
            <w:r/>
            <w:r>
              <w:rPr>
                <w:rFonts w:ascii="Times New Roman" w:hAnsi="Times New Roman" w:cs="Times New Roman" w:eastAsia="Times New Roman"/>
                <w:b/>
                <w:color w:val="1F4E79"/>
                <w:sz w:val="19"/>
              </w:rPr>
              <w:t>Rôle</w:t>
            </w:r>
          </w:p>
        </w:tc>
        <w:tc>
          <w:tcPr>
            <w:tcW w:type="dxa" w:w="2608"/>
            <w:shd w:val="clear" w:color="auto" w:fill="DCE6F1"/>
          </w:tcPr>
          <w:p>
            <w:pPr>
              <w:spacing w:after="40"/>
            </w:pPr>
            <w:r/>
            <w:r>
              <w:rPr>
                <w:rFonts w:ascii="Times New Roman" w:hAnsi="Times New Roman" w:cs="Times New Roman" w:eastAsia="Times New Roman"/>
                <w:b/>
                <w:color w:val="1F4E79"/>
                <w:sz w:val="19"/>
              </w:rPr>
              <w:t>Grain (1 ligne = ...)</w:t>
            </w:r>
          </w:p>
        </w:tc>
        <w:tc>
          <w:tcPr>
            <w:tcW w:type="dxa" w:w="1247"/>
            <w:shd w:val="clear" w:color="auto" w:fill="DCE6F1"/>
          </w:tcPr>
          <w:p>
            <w:pPr>
              <w:spacing w:after="40"/>
            </w:pPr>
            <w:r/>
            <w:r>
              <w:rPr>
                <w:rFonts w:ascii="Times New Roman" w:hAnsi="Times New Roman" w:cs="Times New Roman" w:eastAsia="Times New Roman"/>
                <w:b/>
                <w:color w:val="1F4E79"/>
                <w:sz w:val="19"/>
              </w:rPr>
              <w:t>Lignes</w:t>
            </w:r>
          </w:p>
        </w:tc>
        <w:tc>
          <w:tcPr>
            <w:tcW w:type="dxa" w:w="1247"/>
            <w:shd w:val="clear" w:color="auto" w:fill="DCE6F1"/>
          </w:tcPr>
          <w:p>
            <w:pPr>
              <w:spacing w:after="40"/>
            </w:pPr>
            <w:r/>
            <w:r>
              <w:rPr>
                <w:rFonts w:ascii="Times New Roman" w:hAnsi="Times New Roman" w:cs="Times New Roman" w:eastAsia="Times New Roman"/>
                <w:b/>
                <w:color w:val="1F4E79"/>
                <w:sz w:val="19"/>
              </w:rPr>
              <w:t>Clés étrangères</w:t>
            </w:r>
          </w:p>
        </w:tc>
      </w:tr>
      <w:tr>
        <w:tc>
          <w:tcPr>
            <w:tcW w:type="dxa" w:w="2041"/>
          </w:tcPr>
          <w:p>
            <w:pPr>
              <w:spacing w:after="40"/>
            </w:pPr>
            <w:r/>
            <w:r>
              <w:rPr>
                <w:rFonts w:ascii="Times New Roman" w:hAnsi="Times New Roman" w:cs="Times New Roman" w:eastAsia="Times New Roman"/>
                <w:b w:val="0"/>
                <w:sz w:val="19"/>
              </w:rPr>
              <w:t>fait_mutation</w:t>
            </w:r>
          </w:p>
        </w:tc>
        <w:tc>
          <w:tcPr>
            <w:tcW w:type="dxa" w:w="2608"/>
          </w:tcPr>
          <w:p>
            <w:pPr>
              <w:spacing w:after="40"/>
            </w:pPr>
            <w:r/>
            <w:r>
              <w:rPr>
                <w:rFonts w:ascii="Times New Roman" w:hAnsi="Times New Roman" w:cs="Times New Roman" w:eastAsia="Times New Roman"/>
                <w:sz w:val="19"/>
              </w:rPr>
              <w:t>datawarehouse - analyse détaillée</w:t>
            </w:r>
          </w:p>
        </w:tc>
        <w:tc>
          <w:tcPr>
            <w:tcW w:type="dxa" w:w="2608"/>
          </w:tcPr>
          <w:p>
            <w:pPr>
              <w:spacing w:after="40"/>
            </w:pPr>
            <w:r/>
            <w:r>
              <w:rPr>
                <w:rFonts w:ascii="Times New Roman" w:hAnsi="Times New Roman" w:cs="Times New Roman" w:eastAsia="Times New Roman"/>
                <w:sz w:val="19"/>
              </w:rPr>
              <w:t>1 bien (local) dans 1 mutation</w:t>
            </w:r>
          </w:p>
        </w:tc>
        <w:tc>
          <w:tcPr>
            <w:tcW w:type="dxa" w:w="1247"/>
          </w:tcPr>
          <w:p>
            <w:pPr>
              <w:spacing w:after="40"/>
            </w:pPr>
            <w:r/>
            <w:r>
              <w:rPr>
                <w:rFonts w:ascii="Times New Roman" w:hAnsi="Times New Roman" w:cs="Times New Roman" w:eastAsia="Times New Roman"/>
                <w:sz w:val="19"/>
              </w:rPr>
              <w:t>7 214 760</w:t>
            </w:r>
          </w:p>
        </w:tc>
        <w:tc>
          <w:tcPr>
            <w:tcW w:type="dxa" w:w="1247"/>
          </w:tcPr>
          <w:p>
            <w:pPr>
              <w:spacing w:after="40"/>
            </w:pPr>
            <w:r/>
            <w:r>
              <w:rPr>
                <w:rFonts w:ascii="Times New Roman" w:hAnsi="Times New Roman" w:cs="Times New Roman" w:eastAsia="Times New Roman"/>
                <w:sz w:val="19"/>
              </w:rPr>
              <w:t>5</w:t>
            </w:r>
          </w:p>
        </w:tc>
      </w:tr>
      <w:tr>
        <w:tc>
          <w:tcPr>
            <w:tcW w:type="dxa" w:w="2041"/>
          </w:tcPr>
          <w:p>
            <w:pPr>
              <w:spacing w:after="40"/>
            </w:pPr>
            <w:r/>
            <w:r>
              <w:rPr>
                <w:rFonts w:ascii="Times New Roman" w:hAnsi="Times New Roman" w:cs="Times New Roman" w:eastAsia="Times New Roman"/>
                <w:b w:val="0"/>
                <w:sz w:val="19"/>
              </w:rPr>
              <w:t>fait_marche_agrege</w:t>
            </w:r>
          </w:p>
        </w:tc>
        <w:tc>
          <w:tcPr>
            <w:tcW w:type="dxa" w:w="2608"/>
          </w:tcPr>
          <w:p>
            <w:pPr>
              <w:spacing w:after="40"/>
            </w:pPr>
            <w:r/>
            <w:r>
              <w:rPr>
                <w:rFonts w:ascii="Times New Roman" w:hAnsi="Times New Roman" w:cs="Times New Roman" w:eastAsia="Times New Roman"/>
                <w:sz w:val="19"/>
              </w:rPr>
              <w:t>datamart - tableaux de bord par territoire</w:t>
            </w:r>
          </w:p>
        </w:tc>
        <w:tc>
          <w:tcPr>
            <w:tcW w:type="dxa" w:w="2608"/>
          </w:tcPr>
          <w:p>
            <w:pPr>
              <w:spacing w:after="40"/>
            </w:pPr>
            <w:r/>
            <w:r>
              <w:rPr>
                <w:rFonts w:ascii="Times New Roman" w:hAnsi="Times New Roman" w:cs="Times New Roman" w:eastAsia="Times New Roman"/>
                <w:sz w:val="19"/>
              </w:rPr>
              <w:t>1 commune × 1 jour × 1 nature de mutation</w:t>
            </w:r>
          </w:p>
        </w:tc>
        <w:tc>
          <w:tcPr>
            <w:tcW w:type="dxa" w:w="1247"/>
          </w:tcPr>
          <w:p>
            <w:pPr>
              <w:spacing w:after="40"/>
            </w:pPr>
            <w:r/>
            <w:r>
              <w:rPr>
                <w:rFonts w:ascii="Times New Roman" w:hAnsi="Times New Roman" w:cs="Times New Roman" w:eastAsia="Times New Roman"/>
                <w:sz w:val="19"/>
              </w:rPr>
              <w:t>1 614 973</w:t>
            </w:r>
          </w:p>
        </w:tc>
        <w:tc>
          <w:tcPr>
            <w:tcW w:type="dxa" w:w="1247"/>
          </w:tcPr>
          <w:p>
            <w:pPr>
              <w:spacing w:after="40"/>
            </w:pPr>
            <w:r/>
            <w:r>
              <w:rPr>
                <w:rFonts w:ascii="Times New Roman" w:hAnsi="Times New Roman" w:cs="Times New Roman" w:eastAsia="Times New Roman"/>
                <w:sz w:val="19"/>
              </w:rPr>
              <w:t>3</w:t>
            </w:r>
          </w:p>
        </w:tc>
      </w:tr>
    </w:tbl>
    <w:p>
      <w:pPr>
        <w:spacing w:after="40"/>
      </w:pPr>
    </w:p>
    <w:p>
      <w:pPr>
        <w:spacing w:after="120"/>
      </w:pPr>
      <w:r>
        <w:rPr>
          <w:rFonts w:ascii="Times New Roman" w:hAnsi="Times New Roman" w:cs="Times New Roman" w:eastAsia="Times New Roman"/>
          <w:b w:val="0"/>
          <w:i w:val="0"/>
          <w:sz w:val="21"/>
        </w:rPr>
        <w:t>Le cahier des charges impose une table de faits détaillée et une table de faits agrégée : le modèle contient les deux. L'agrégat est 4,5 fois plus compact que la table détaillée et répond instantanément aux questions par territoire, sans reparcourir les 7 millions de lignes. Son grain repose volontairement sur des attributs de la mutation (commune, date, nature) et non du bien : c'est le seul grain qui permet de sommer la valeur foncière sans la compter plusieurs fois.</w:t>
      </w:r>
    </w:p>
    <w:p>
      <w:pPr>
        <w:pStyle w:val="Heading2"/>
      </w:pPr>
      <w:r>
        <w:t>3.3 Les dimensions</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DCE6F1"/>
          </w:tcPr>
          <w:p>
            <w:pPr>
              <w:spacing w:after="40"/>
            </w:pPr>
            <w:r/>
            <w:r>
              <w:rPr>
                <w:rFonts w:ascii="Times New Roman" w:hAnsi="Times New Roman" w:cs="Times New Roman" w:eastAsia="Times New Roman"/>
                <w:b/>
                <w:color w:val="1F4E79"/>
                <w:sz w:val="19"/>
              </w:rPr>
              <w:t>Dimension</w:t>
            </w:r>
          </w:p>
        </w:tc>
        <w:tc>
          <w:tcPr>
            <w:tcW w:type="dxa" w:w="5953"/>
            <w:shd w:val="clear" w:color="auto" w:fill="DCE6F1"/>
          </w:tcPr>
          <w:p>
            <w:pPr>
              <w:spacing w:after="40"/>
            </w:pPr>
            <w:r/>
            <w:r>
              <w:rPr>
                <w:rFonts w:ascii="Times New Roman" w:hAnsi="Times New Roman" w:cs="Times New Roman" w:eastAsia="Times New Roman"/>
                <w:b/>
                <w:color w:val="1F4E79"/>
                <w:sz w:val="19"/>
              </w:rPr>
              <w:t>Contenu</w:t>
            </w:r>
          </w:p>
        </w:tc>
        <w:tc>
          <w:tcPr>
            <w:tcW w:type="dxa" w:w="1247"/>
            <w:shd w:val="clear" w:color="auto" w:fill="DCE6F1"/>
          </w:tcPr>
          <w:p>
            <w:pPr>
              <w:spacing w:after="40"/>
            </w:pPr>
            <w:r/>
            <w:r>
              <w:rPr>
                <w:rFonts w:ascii="Times New Roman" w:hAnsi="Times New Roman" w:cs="Times New Roman" w:eastAsia="Times New Roman"/>
                <w:b/>
                <w:color w:val="1F4E79"/>
                <w:sz w:val="19"/>
              </w:rPr>
              <w:t>Lignes</w:t>
            </w:r>
          </w:p>
        </w:tc>
      </w:tr>
      <w:tr>
        <w:tc>
          <w:tcPr>
            <w:tcW w:type="dxa" w:w="2268"/>
          </w:tcPr>
          <w:p>
            <w:pPr>
              <w:spacing w:after="40"/>
            </w:pPr>
            <w:r/>
            <w:r>
              <w:rPr>
                <w:rFonts w:ascii="Times New Roman" w:hAnsi="Times New Roman" w:cs="Times New Roman" w:eastAsia="Times New Roman"/>
                <w:b w:val="0"/>
                <w:sz w:val="19"/>
              </w:rPr>
              <w:t>dim_temps</w:t>
            </w:r>
          </w:p>
        </w:tc>
        <w:tc>
          <w:tcPr>
            <w:tcW w:type="dxa" w:w="5953"/>
          </w:tcPr>
          <w:p>
            <w:pPr>
              <w:spacing w:after="40"/>
            </w:pPr>
            <w:r/>
            <w:r>
              <w:rPr>
                <w:rFonts w:ascii="Times New Roman" w:hAnsi="Times New Roman" w:cs="Times New Roman" w:eastAsia="Times New Roman"/>
                <w:sz w:val="19"/>
              </w:rPr>
              <w:t>calendrier reconstruit : date, année, trimestre, mois, jour de semaine</w:t>
            </w:r>
          </w:p>
        </w:tc>
        <w:tc>
          <w:tcPr>
            <w:tcW w:type="dxa" w:w="1247"/>
          </w:tcPr>
          <w:p>
            <w:pPr>
              <w:spacing w:after="40"/>
            </w:pPr>
            <w:r/>
            <w:r>
              <w:rPr>
                <w:rFonts w:ascii="Times New Roman" w:hAnsi="Times New Roman" w:cs="Times New Roman" w:eastAsia="Times New Roman"/>
                <w:sz w:val="19"/>
              </w:rPr>
              <w:t>724</w:t>
            </w:r>
          </w:p>
        </w:tc>
      </w:tr>
      <w:tr>
        <w:tc>
          <w:tcPr>
            <w:tcW w:type="dxa" w:w="2268"/>
          </w:tcPr>
          <w:p>
            <w:pPr>
              <w:spacing w:after="40"/>
            </w:pPr>
            <w:r/>
            <w:r>
              <w:rPr>
                <w:rFonts w:ascii="Times New Roman" w:hAnsi="Times New Roman" w:cs="Times New Roman" w:eastAsia="Times New Roman"/>
                <w:b w:val="0"/>
                <w:sz w:val="19"/>
              </w:rPr>
              <w:t>dim_commune</w:t>
            </w:r>
          </w:p>
        </w:tc>
        <w:tc>
          <w:tcPr>
            <w:tcW w:type="dxa" w:w="5953"/>
          </w:tcPr>
          <w:p>
            <w:pPr>
              <w:spacing w:after="40"/>
            </w:pPr>
            <w:r/>
            <w:r>
              <w:rPr>
                <w:rFonts w:ascii="Times New Roman" w:hAnsi="Times New Roman" w:cs="Times New Roman" w:eastAsia="Times New Roman"/>
                <w:sz w:val="19"/>
              </w:rPr>
              <w:t>commune, code INSEE reconstruit, code postal, département</w:t>
            </w:r>
          </w:p>
        </w:tc>
        <w:tc>
          <w:tcPr>
            <w:tcW w:type="dxa" w:w="1247"/>
          </w:tcPr>
          <w:p>
            <w:pPr>
              <w:spacing w:after="40"/>
            </w:pPr>
            <w:r/>
            <w:r>
              <w:rPr>
                <w:rFonts w:ascii="Times New Roman" w:hAnsi="Times New Roman" w:cs="Times New Roman" w:eastAsia="Times New Roman"/>
                <w:sz w:val="19"/>
              </w:rPr>
              <w:t>33 218</w:t>
            </w:r>
          </w:p>
        </w:tc>
      </w:tr>
      <w:tr>
        <w:tc>
          <w:tcPr>
            <w:tcW w:type="dxa" w:w="2268"/>
          </w:tcPr>
          <w:p>
            <w:pPr>
              <w:spacing w:after="40"/>
            </w:pPr>
            <w:r/>
            <w:r>
              <w:rPr>
                <w:rFonts w:ascii="Times New Roman" w:hAnsi="Times New Roman" w:cs="Times New Roman" w:eastAsia="Times New Roman"/>
                <w:b w:val="0"/>
                <w:sz w:val="19"/>
              </w:rPr>
              <w:t>dim_departement</w:t>
            </w:r>
          </w:p>
        </w:tc>
        <w:tc>
          <w:tcPr>
            <w:tcW w:type="dxa" w:w="5953"/>
          </w:tcPr>
          <w:p>
            <w:pPr>
              <w:spacing w:after="40"/>
            </w:pPr>
            <w:r/>
            <w:r>
              <w:rPr>
                <w:rFonts w:ascii="Times New Roman" w:hAnsi="Times New Roman" w:cs="Times New Roman" w:eastAsia="Times New Roman"/>
                <w:sz w:val="19"/>
              </w:rPr>
              <w:t>départements présents dans les données, enrichis (nom, région)</w:t>
            </w:r>
          </w:p>
        </w:tc>
        <w:tc>
          <w:tcPr>
            <w:tcW w:type="dxa" w:w="1247"/>
          </w:tcPr>
          <w:p>
            <w:pPr>
              <w:spacing w:after="40"/>
            </w:pPr>
            <w:r/>
            <w:r>
              <w:rPr>
                <w:rFonts w:ascii="Times New Roman" w:hAnsi="Times New Roman" w:cs="Times New Roman" w:eastAsia="Times New Roman"/>
                <w:sz w:val="19"/>
              </w:rPr>
              <w:t>97</w:t>
            </w:r>
          </w:p>
        </w:tc>
      </w:tr>
      <w:tr>
        <w:tc>
          <w:tcPr>
            <w:tcW w:type="dxa" w:w="2268"/>
          </w:tcPr>
          <w:p>
            <w:pPr>
              <w:spacing w:after="40"/>
            </w:pPr>
            <w:r/>
            <w:r>
              <w:rPr>
                <w:rFonts w:ascii="Times New Roman" w:hAnsi="Times New Roman" w:cs="Times New Roman" w:eastAsia="Times New Roman"/>
                <w:b w:val="0"/>
                <w:sz w:val="19"/>
              </w:rPr>
              <w:t>dim_region</w:t>
            </w:r>
          </w:p>
        </w:tc>
        <w:tc>
          <w:tcPr>
            <w:tcW w:type="dxa" w:w="5953"/>
          </w:tcPr>
          <w:p>
            <w:pPr>
              <w:spacing w:after="40"/>
            </w:pPr>
            <w:r/>
            <w:r>
              <w:rPr>
                <w:rFonts w:ascii="Times New Roman" w:hAnsi="Times New Roman" w:cs="Times New Roman" w:eastAsia="Times New Roman"/>
                <w:sz w:val="19"/>
              </w:rPr>
              <w:t>régions de rattachement (nom)</w:t>
            </w:r>
          </w:p>
        </w:tc>
        <w:tc>
          <w:tcPr>
            <w:tcW w:type="dxa" w:w="1247"/>
          </w:tcPr>
          <w:p>
            <w:pPr>
              <w:spacing w:after="40"/>
            </w:pPr>
            <w:r/>
            <w:r>
              <w:rPr>
                <w:rFonts w:ascii="Times New Roman" w:hAnsi="Times New Roman" w:cs="Times New Roman" w:eastAsia="Times New Roman"/>
                <w:sz w:val="19"/>
              </w:rPr>
              <w:t>17</w:t>
            </w:r>
          </w:p>
        </w:tc>
      </w:tr>
      <w:tr>
        <w:tc>
          <w:tcPr>
            <w:tcW w:type="dxa" w:w="2268"/>
          </w:tcPr>
          <w:p>
            <w:pPr>
              <w:spacing w:after="40"/>
            </w:pPr>
            <w:r/>
            <w:r>
              <w:rPr>
                <w:rFonts w:ascii="Times New Roman" w:hAnsi="Times New Roman" w:cs="Times New Roman" w:eastAsia="Times New Roman"/>
                <w:b w:val="0"/>
                <w:sz w:val="19"/>
              </w:rPr>
              <w:t>dim_nature_mutation</w:t>
            </w:r>
          </w:p>
        </w:tc>
        <w:tc>
          <w:tcPr>
            <w:tcW w:type="dxa" w:w="5953"/>
          </w:tcPr>
          <w:p>
            <w:pPr>
              <w:spacing w:after="40"/>
            </w:pPr>
            <w:r/>
            <w:r>
              <w:rPr>
                <w:rFonts w:ascii="Times New Roman" w:hAnsi="Times New Roman" w:cs="Times New Roman" w:eastAsia="Times New Roman"/>
                <w:sz w:val="19"/>
              </w:rPr>
              <w:t>Vente, Échange, Adjudication, Expropriation…</w:t>
            </w:r>
          </w:p>
        </w:tc>
        <w:tc>
          <w:tcPr>
            <w:tcW w:type="dxa" w:w="1247"/>
          </w:tcPr>
          <w:p>
            <w:pPr>
              <w:spacing w:after="40"/>
            </w:pPr>
            <w:r/>
            <w:r>
              <w:rPr>
                <w:rFonts w:ascii="Times New Roman" w:hAnsi="Times New Roman" w:cs="Times New Roman" w:eastAsia="Times New Roman"/>
                <w:sz w:val="19"/>
              </w:rPr>
              <w:t>6</w:t>
            </w:r>
          </w:p>
        </w:tc>
      </w:tr>
      <w:tr>
        <w:tc>
          <w:tcPr>
            <w:tcW w:type="dxa" w:w="2268"/>
          </w:tcPr>
          <w:p>
            <w:pPr>
              <w:spacing w:after="40"/>
            </w:pPr>
            <w:r/>
            <w:r>
              <w:rPr>
                <w:rFonts w:ascii="Times New Roman" w:hAnsi="Times New Roman" w:cs="Times New Roman" w:eastAsia="Times New Roman"/>
                <w:b w:val="0"/>
                <w:sz w:val="19"/>
              </w:rPr>
              <w:t>dim_type_local</w:t>
            </w:r>
          </w:p>
        </w:tc>
        <w:tc>
          <w:tcPr>
            <w:tcW w:type="dxa" w:w="5953"/>
          </w:tcPr>
          <w:p>
            <w:pPr>
              <w:spacing w:after="40"/>
            </w:pPr>
            <w:r/>
            <w:r>
              <w:rPr>
                <w:rFonts w:ascii="Times New Roman" w:hAnsi="Times New Roman" w:cs="Times New Roman" w:eastAsia="Times New Roman"/>
                <w:sz w:val="19"/>
              </w:rPr>
              <w:t>Maison, Appartement, Dépendance, Local industriel/commercial, non renseigné</w:t>
            </w:r>
          </w:p>
        </w:tc>
        <w:tc>
          <w:tcPr>
            <w:tcW w:type="dxa" w:w="1247"/>
          </w:tcPr>
          <w:p>
            <w:pPr>
              <w:spacing w:after="40"/>
            </w:pPr>
            <w:r/>
            <w:r>
              <w:rPr>
                <w:rFonts w:ascii="Times New Roman" w:hAnsi="Times New Roman" w:cs="Times New Roman" w:eastAsia="Times New Roman"/>
                <w:sz w:val="19"/>
              </w:rPr>
              <w:t>5</w:t>
            </w:r>
          </w:p>
        </w:tc>
      </w:tr>
      <w:tr>
        <w:tc>
          <w:tcPr>
            <w:tcW w:type="dxa" w:w="2268"/>
          </w:tcPr>
          <w:p>
            <w:pPr>
              <w:spacing w:after="40"/>
            </w:pPr>
            <w:r/>
            <w:r>
              <w:rPr>
                <w:rFonts w:ascii="Times New Roman" w:hAnsi="Times New Roman" w:cs="Times New Roman" w:eastAsia="Times New Roman"/>
                <w:b w:val="0"/>
                <w:sz w:val="19"/>
              </w:rPr>
              <w:t>dim_categorie_local</w:t>
            </w:r>
          </w:p>
        </w:tc>
        <w:tc>
          <w:tcPr>
            <w:tcW w:type="dxa" w:w="5953"/>
          </w:tcPr>
          <w:p>
            <w:pPr>
              <w:spacing w:after="40"/>
            </w:pPr>
            <w:r/>
            <w:r>
              <w:rPr>
                <w:rFonts w:ascii="Times New Roman" w:hAnsi="Times New Roman" w:cs="Times New Roman" w:eastAsia="Times New Roman"/>
                <w:sz w:val="19"/>
              </w:rPr>
              <w:t>catégorie de local (table de référence)</w:t>
            </w:r>
          </w:p>
        </w:tc>
        <w:tc>
          <w:tcPr>
            <w:tcW w:type="dxa" w:w="1247"/>
          </w:tcPr>
          <w:p>
            <w:pPr>
              <w:spacing w:after="40"/>
            </w:pPr>
            <w:r/>
            <w:r>
              <w:rPr>
                <w:rFonts w:ascii="Times New Roman" w:hAnsi="Times New Roman" w:cs="Times New Roman" w:eastAsia="Times New Roman"/>
                <w:sz w:val="19"/>
              </w:rPr>
              <w:t>5</w:t>
            </w:r>
          </w:p>
        </w:tc>
      </w:tr>
      <w:tr>
        <w:tc>
          <w:tcPr>
            <w:tcW w:type="dxa" w:w="2268"/>
          </w:tcPr>
          <w:p>
            <w:pPr>
              <w:spacing w:after="40"/>
            </w:pPr>
            <w:r/>
            <w:r>
              <w:rPr>
                <w:rFonts w:ascii="Times New Roman" w:hAnsi="Times New Roman" w:cs="Times New Roman" w:eastAsia="Times New Roman"/>
                <w:b w:val="0"/>
                <w:sz w:val="19"/>
              </w:rPr>
              <w:t>dim_nature_culture</w:t>
            </w:r>
          </w:p>
        </w:tc>
        <w:tc>
          <w:tcPr>
            <w:tcW w:type="dxa" w:w="5953"/>
          </w:tcPr>
          <w:p>
            <w:pPr>
              <w:spacing w:after="40"/>
            </w:pPr>
            <w:r/>
            <w:r>
              <w:rPr>
                <w:rFonts w:ascii="Times New Roman" w:hAnsi="Times New Roman" w:cs="Times New Roman" w:eastAsia="Times New Roman"/>
                <w:sz w:val="19"/>
              </w:rPr>
              <w:t>nature de culture / nature de terrain</w:t>
            </w:r>
          </w:p>
        </w:tc>
        <w:tc>
          <w:tcPr>
            <w:tcW w:type="dxa" w:w="1247"/>
          </w:tcPr>
          <w:p>
            <w:pPr>
              <w:spacing w:after="40"/>
            </w:pPr>
            <w:r/>
            <w:r>
              <w:rPr>
                <w:rFonts w:ascii="Times New Roman" w:hAnsi="Times New Roman" w:cs="Times New Roman" w:eastAsia="Times New Roman"/>
                <w:sz w:val="19"/>
              </w:rPr>
              <w:t>246</w:t>
            </w:r>
          </w:p>
        </w:tc>
      </w:tr>
    </w:tbl>
    <w:p>
      <w:pPr>
        <w:spacing w:after="40"/>
      </w:pPr>
    </w:p>
    <w:p>
      <w:pPr>
        <w:pStyle w:val="Heading2"/>
      </w:pPr>
      <w:r>
        <w:t>3.4 Les relations</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3402"/>
            <w:shd w:val="clear" w:color="auto" w:fill="DCE6F1"/>
          </w:tcPr>
          <w:p>
            <w:pPr>
              <w:spacing w:after="40"/>
            </w:pPr>
            <w:r/>
            <w:r>
              <w:rPr>
                <w:rFonts w:ascii="Times New Roman" w:hAnsi="Times New Roman" w:cs="Times New Roman" w:eastAsia="Times New Roman"/>
                <w:b/>
                <w:color w:val="1F4E79"/>
                <w:sz w:val="18"/>
              </w:rPr>
              <w:t>Relation</w:t>
            </w:r>
          </w:p>
        </w:tc>
        <w:tc>
          <w:tcPr>
            <w:tcW w:type="dxa" w:w="2041"/>
            <w:shd w:val="clear" w:color="auto" w:fill="DCE6F1"/>
          </w:tcPr>
          <w:p>
            <w:pPr>
              <w:spacing w:after="40"/>
            </w:pPr>
            <w:r/>
            <w:r>
              <w:rPr>
                <w:rFonts w:ascii="Times New Roman" w:hAnsi="Times New Roman" w:cs="Times New Roman" w:eastAsia="Times New Roman"/>
                <w:b/>
                <w:color w:val="1F4E79"/>
                <w:sz w:val="18"/>
              </w:rPr>
              <w:t>De (côté *)</w:t>
            </w:r>
          </w:p>
        </w:tc>
        <w:tc>
          <w:tcPr>
            <w:tcW w:type="dxa" w:w="2041"/>
            <w:shd w:val="clear" w:color="auto" w:fill="DCE6F1"/>
          </w:tcPr>
          <w:p>
            <w:pPr>
              <w:spacing w:after="40"/>
            </w:pPr>
            <w:r/>
            <w:r>
              <w:rPr>
                <w:rFonts w:ascii="Times New Roman" w:hAnsi="Times New Roman" w:cs="Times New Roman" w:eastAsia="Times New Roman"/>
                <w:b/>
                <w:color w:val="1F4E79"/>
                <w:sz w:val="18"/>
              </w:rPr>
              <w:t>Vers (côté 1)</w:t>
            </w:r>
          </w:p>
        </w:tc>
        <w:tc>
          <w:tcPr>
            <w:tcW w:type="dxa" w:w="2041"/>
            <w:shd w:val="clear" w:color="auto" w:fill="DCE6F1"/>
          </w:tcPr>
          <w:p>
            <w:pPr>
              <w:spacing w:after="40"/>
            </w:pPr>
            <w:r/>
            <w:r>
              <w:rPr>
                <w:rFonts w:ascii="Times New Roman" w:hAnsi="Times New Roman" w:cs="Times New Roman" w:eastAsia="Times New Roman"/>
                <w:b/>
                <w:color w:val="1F4E79"/>
                <w:sz w:val="18"/>
              </w:rPr>
              <w:t>Clé</w:t>
            </w:r>
          </w:p>
        </w:tc>
      </w:tr>
      <w:tr>
        <w:tc>
          <w:tcPr>
            <w:tcW w:type="dxa" w:w="3402"/>
          </w:tcPr>
          <w:p>
            <w:pPr>
              <w:spacing w:after="40"/>
            </w:pPr>
            <w:r/>
            <w:r>
              <w:rPr>
                <w:rFonts w:ascii="Times New Roman" w:hAnsi="Times New Roman" w:cs="Times New Roman" w:eastAsia="Times New Roman"/>
                <w:b w:val="0"/>
                <w:sz w:val="17"/>
              </w:rPr>
              <w:t>FK_fait_mutation_dim_temps</w:t>
            </w:r>
          </w:p>
        </w:tc>
        <w:tc>
          <w:tcPr>
            <w:tcW w:type="dxa" w:w="2041"/>
          </w:tcPr>
          <w:p>
            <w:pPr>
              <w:spacing w:after="40"/>
            </w:pPr>
            <w:r/>
            <w:r>
              <w:rPr>
                <w:rFonts w:ascii="Times New Roman" w:hAnsi="Times New Roman" w:cs="Times New Roman" w:eastAsia="Times New Roman"/>
                <w:sz w:val="17"/>
              </w:rPr>
              <w:t>fait_mutation</w:t>
            </w:r>
          </w:p>
        </w:tc>
        <w:tc>
          <w:tcPr>
            <w:tcW w:type="dxa" w:w="2041"/>
          </w:tcPr>
          <w:p>
            <w:pPr>
              <w:spacing w:after="40"/>
            </w:pPr>
            <w:r/>
            <w:r>
              <w:rPr>
                <w:rFonts w:ascii="Times New Roman" w:hAnsi="Times New Roman" w:cs="Times New Roman" w:eastAsia="Times New Roman"/>
                <w:sz w:val="17"/>
              </w:rPr>
              <w:t>dim_temps</w:t>
            </w:r>
          </w:p>
        </w:tc>
        <w:tc>
          <w:tcPr>
            <w:tcW w:type="dxa" w:w="2041"/>
          </w:tcPr>
          <w:p>
            <w:pPr>
              <w:spacing w:after="40"/>
            </w:pPr>
            <w:r/>
            <w:r>
              <w:rPr>
                <w:rFonts w:ascii="Times New Roman" w:hAnsi="Times New Roman" w:cs="Times New Roman" w:eastAsia="Times New Roman"/>
                <w:sz w:val="17"/>
              </w:rPr>
              <w:t>cle_temps</w:t>
            </w:r>
          </w:p>
        </w:tc>
      </w:tr>
      <w:tr>
        <w:tc>
          <w:tcPr>
            <w:tcW w:type="dxa" w:w="3402"/>
          </w:tcPr>
          <w:p>
            <w:pPr>
              <w:spacing w:after="40"/>
            </w:pPr>
            <w:r/>
            <w:r>
              <w:rPr>
                <w:rFonts w:ascii="Times New Roman" w:hAnsi="Times New Roman" w:cs="Times New Roman" w:eastAsia="Times New Roman"/>
                <w:b w:val="0"/>
                <w:sz w:val="17"/>
              </w:rPr>
              <w:t>FK_fait_mutation_dim_commune</w:t>
            </w:r>
          </w:p>
        </w:tc>
        <w:tc>
          <w:tcPr>
            <w:tcW w:type="dxa" w:w="2041"/>
          </w:tcPr>
          <w:p>
            <w:pPr>
              <w:spacing w:after="40"/>
            </w:pPr>
            <w:r/>
            <w:r>
              <w:rPr>
                <w:rFonts w:ascii="Times New Roman" w:hAnsi="Times New Roman" w:cs="Times New Roman" w:eastAsia="Times New Roman"/>
                <w:sz w:val="17"/>
              </w:rPr>
              <w:t>fait_mutation</w:t>
            </w:r>
          </w:p>
        </w:tc>
        <w:tc>
          <w:tcPr>
            <w:tcW w:type="dxa" w:w="2041"/>
          </w:tcPr>
          <w:p>
            <w:pPr>
              <w:spacing w:after="40"/>
            </w:pPr>
            <w:r/>
            <w:r>
              <w:rPr>
                <w:rFonts w:ascii="Times New Roman" w:hAnsi="Times New Roman" w:cs="Times New Roman" w:eastAsia="Times New Roman"/>
                <w:sz w:val="17"/>
              </w:rPr>
              <w:t>dim_commune</w:t>
            </w:r>
          </w:p>
        </w:tc>
        <w:tc>
          <w:tcPr>
            <w:tcW w:type="dxa" w:w="2041"/>
          </w:tcPr>
          <w:p>
            <w:pPr>
              <w:spacing w:after="40"/>
            </w:pPr>
            <w:r/>
            <w:r>
              <w:rPr>
                <w:rFonts w:ascii="Times New Roman" w:hAnsi="Times New Roman" w:cs="Times New Roman" w:eastAsia="Times New Roman"/>
                <w:sz w:val="17"/>
              </w:rPr>
              <w:t>cle_commune</w:t>
            </w:r>
          </w:p>
        </w:tc>
      </w:tr>
      <w:tr>
        <w:tc>
          <w:tcPr>
            <w:tcW w:type="dxa" w:w="3402"/>
          </w:tcPr>
          <w:p>
            <w:pPr>
              <w:spacing w:after="40"/>
            </w:pPr>
            <w:r/>
            <w:r>
              <w:rPr>
                <w:rFonts w:ascii="Times New Roman" w:hAnsi="Times New Roman" w:cs="Times New Roman" w:eastAsia="Times New Roman"/>
                <w:b w:val="0"/>
                <w:sz w:val="17"/>
              </w:rPr>
              <w:t>FK_fait_mutation_dim_nature_mutation</w:t>
            </w:r>
          </w:p>
        </w:tc>
        <w:tc>
          <w:tcPr>
            <w:tcW w:type="dxa" w:w="2041"/>
          </w:tcPr>
          <w:p>
            <w:pPr>
              <w:spacing w:after="40"/>
            </w:pPr>
            <w:r/>
            <w:r>
              <w:rPr>
                <w:rFonts w:ascii="Times New Roman" w:hAnsi="Times New Roman" w:cs="Times New Roman" w:eastAsia="Times New Roman"/>
                <w:sz w:val="17"/>
              </w:rPr>
              <w:t>fait_mutation</w:t>
            </w:r>
          </w:p>
        </w:tc>
        <w:tc>
          <w:tcPr>
            <w:tcW w:type="dxa" w:w="2041"/>
          </w:tcPr>
          <w:p>
            <w:pPr>
              <w:spacing w:after="40"/>
            </w:pPr>
            <w:r/>
            <w:r>
              <w:rPr>
                <w:rFonts w:ascii="Times New Roman" w:hAnsi="Times New Roman" w:cs="Times New Roman" w:eastAsia="Times New Roman"/>
                <w:sz w:val="17"/>
              </w:rPr>
              <w:t>dim_nature_mutation</w:t>
            </w:r>
          </w:p>
        </w:tc>
        <w:tc>
          <w:tcPr>
            <w:tcW w:type="dxa" w:w="2041"/>
          </w:tcPr>
          <w:p>
            <w:pPr>
              <w:spacing w:after="40"/>
            </w:pPr>
            <w:r/>
            <w:r>
              <w:rPr>
                <w:rFonts w:ascii="Times New Roman" w:hAnsi="Times New Roman" w:cs="Times New Roman" w:eastAsia="Times New Roman"/>
                <w:sz w:val="17"/>
              </w:rPr>
              <w:t>cle_nature_mutation</w:t>
            </w:r>
          </w:p>
        </w:tc>
      </w:tr>
      <w:tr>
        <w:tc>
          <w:tcPr>
            <w:tcW w:type="dxa" w:w="3402"/>
          </w:tcPr>
          <w:p>
            <w:pPr>
              <w:spacing w:after="40"/>
            </w:pPr>
            <w:r/>
            <w:r>
              <w:rPr>
                <w:rFonts w:ascii="Times New Roman" w:hAnsi="Times New Roman" w:cs="Times New Roman" w:eastAsia="Times New Roman"/>
                <w:b w:val="0"/>
                <w:sz w:val="17"/>
              </w:rPr>
              <w:t>FK_fait_mutation_dim_type_local</w:t>
            </w:r>
          </w:p>
        </w:tc>
        <w:tc>
          <w:tcPr>
            <w:tcW w:type="dxa" w:w="2041"/>
          </w:tcPr>
          <w:p>
            <w:pPr>
              <w:spacing w:after="40"/>
            </w:pPr>
            <w:r/>
            <w:r>
              <w:rPr>
                <w:rFonts w:ascii="Times New Roman" w:hAnsi="Times New Roman" w:cs="Times New Roman" w:eastAsia="Times New Roman"/>
                <w:sz w:val="17"/>
              </w:rPr>
              <w:t>fait_mutation</w:t>
            </w:r>
          </w:p>
        </w:tc>
        <w:tc>
          <w:tcPr>
            <w:tcW w:type="dxa" w:w="2041"/>
          </w:tcPr>
          <w:p>
            <w:pPr>
              <w:spacing w:after="40"/>
            </w:pPr>
            <w:r/>
            <w:r>
              <w:rPr>
                <w:rFonts w:ascii="Times New Roman" w:hAnsi="Times New Roman" w:cs="Times New Roman" w:eastAsia="Times New Roman"/>
                <w:sz w:val="17"/>
              </w:rPr>
              <w:t>dim_type_local</w:t>
            </w:r>
          </w:p>
        </w:tc>
        <w:tc>
          <w:tcPr>
            <w:tcW w:type="dxa" w:w="2041"/>
          </w:tcPr>
          <w:p>
            <w:pPr>
              <w:spacing w:after="40"/>
            </w:pPr>
            <w:r/>
            <w:r>
              <w:rPr>
                <w:rFonts w:ascii="Times New Roman" w:hAnsi="Times New Roman" w:cs="Times New Roman" w:eastAsia="Times New Roman"/>
                <w:sz w:val="17"/>
              </w:rPr>
              <w:t>cle_type_local</w:t>
            </w:r>
          </w:p>
        </w:tc>
      </w:tr>
      <w:tr>
        <w:tc>
          <w:tcPr>
            <w:tcW w:type="dxa" w:w="3402"/>
          </w:tcPr>
          <w:p>
            <w:pPr>
              <w:spacing w:after="40"/>
            </w:pPr>
            <w:r/>
            <w:r>
              <w:rPr>
                <w:rFonts w:ascii="Times New Roman" w:hAnsi="Times New Roman" w:cs="Times New Roman" w:eastAsia="Times New Roman"/>
                <w:b w:val="0"/>
                <w:sz w:val="17"/>
              </w:rPr>
              <w:t>FK_fait_mutation_dim_nature_culture</w:t>
            </w:r>
          </w:p>
        </w:tc>
        <w:tc>
          <w:tcPr>
            <w:tcW w:type="dxa" w:w="2041"/>
          </w:tcPr>
          <w:p>
            <w:pPr>
              <w:spacing w:after="40"/>
            </w:pPr>
            <w:r/>
            <w:r>
              <w:rPr>
                <w:rFonts w:ascii="Times New Roman" w:hAnsi="Times New Roman" w:cs="Times New Roman" w:eastAsia="Times New Roman"/>
                <w:sz w:val="17"/>
              </w:rPr>
              <w:t>fait_mutation</w:t>
            </w:r>
          </w:p>
        </w:tc>
        <w:tc>
          <w:tcPr>
            <w:tcW w:type="dxa" w:w="2041"/>
          </w:tcPr>
          <w:p>
            <w:pPr>
              <w:spacing w:after="40"/>
            </w:pPr>
            <w:r/>
            <w:r>
              <w:rPr>
                <w:rFonts w:ascii="Times New Roman" w:hAnsi="Times New Roman" w:cs="Times New Roman" w:eastAsia="Times New Roman"/>
                <w:sz w:val="17"/>
              </w:rPr>
              <w:t>dim_nature_culture</w:t>
            </w:r>
          </w:p>
        </w:tc>
        <w:tc>
          <w:tcPr>
            <w:tcW w:type="dxa" w:w="2041"/>
          </w:tcPr>
          <w:p>
            <w:pPr>
              <w:spacing w:after="40"/>
            </w:pPr>
            <w:r/>
            <w:r>
              <w:rPr>
                <w:rFonts w:ascii="Times New Roman" w:hAnsi="Times New Roman" w:cs="Times New Roman" w:eastAsia="Times New Roman"/>
                <w:sz w:val="17"/>
              </w:rPr>
              <w:t>cle_nature_culture</w:t>
            </w:r>
          </w:p>
        </w:tc>
      </w:tr>
      <w:tr>
        <w:tc>
          <w:tcPr>
            <w:tcW w:type="dxa" w:w="3402"/>
          </w:tcPr>
          <w:p>
            <w:pPr>
              <w:spacing w:after="40"/>
            </w:pPr>
            <w:r/>
            <w:r>
              <w:rPr>
                <w:rFonts w:ascii="Times New Roman" w:hAnsi="Times New Roman" w:cs="Times New Roman" w:eastAsia="Times New Roman"/>
                <w:b w:val="0"/>
                <w:sz w:val="17"/>
              </w:rPr>
              <w:t>FK_agrege_dim_temps</w:t>
            </w:r>
          </w:p>
        </w:tc>
        <w:tc>
          <w:tcPr>
            <w:tcW w:type="dxa" w:w="2041"/>
          </w:tcPr>
          <w:p>
            <w:pPr>
              <w:spacing w:after="40"/>
            </w:pPr>
            <w:r/>
            <w:r>
              <w:rPr>
                <w:rFonts w:ascii="Times New Roman" w:hAnsi="Times New Roman" w:cs="Times New Roman" w:eastAsia="Times New Roman"/>
                <w:sz w:val="17"/>
              </w:rPr>
              <w:t>fait_marche_agrege</w:t>
            </w:r>
          </w:p>
        </w:tc>
        <w:tc>
          <w:tcPr>
            <w:tcW w:type="dxa" w:w="2041"/>
          </w:tcPr>
          <w:p>
            <w:pPr>
              <w:spacing w:after="40"/>
            </w:pPr>
            <w:r/>
            <w:r>
              <w:rPr>
                <w:rFonts w:ascii="Times New Roman" w:hAnsi="Times New Roman" w:cs="Times New Roman" w:eastAsia="Times New Roman"/>
                <w:sz w:val="17"/>
              </w:rPr>
              <w:t>dim_temps</w:t>
            </w:r>
          </w:p>
        </w:tc>
        <w:tc>
          <w:tcPr>
            <w:tcW w:type="dxa" w:w="2041"/>
          </w:tcPr>
          <w:p>
            <w:pPr>
              <w:spacing w:after="40"/>
            </w:pPr>
            <w:r/>
            <w:r>
              <w:rPr>
                <w:rFonts w:ascii="Times New Roman" w:hAnsi="Times New Roman" w:cs="Times New Roman" w:eastAsia="Times New Roman"/>
                <w:sz w:val="17"/>
              </w:rPr>
              <w:t>cle_temps</w:t>
            </w:r>
          </w:p>
        </w:tc>
      </w:tr>
      <w:tr>
        <w:tc>
          <w:tcPr>
            <w:tcW w:type="dxa" w:w="3402"/>
          </w:tcPr>
          <w:p>
            <w:pPr>
              <w:spacing w:after="40"/>
            </w:pPr>
            <w:r/>
            <w:r>
              <w:rPr>
                <w:rFonts w:ascii="Times New Roman" w:hAnsi="Times New Roman" w:cs="Times New Roman" w:eastAsia="Times New Roman"/>
                <w:b w:val="0"/>
                <w:sz w:val="17"/>
              </w:rPr>
              <w:t>FK_agrege_dim_commune</w:t>
            </w:r>
          </w:p>
        </w:tc>
        <w:tc>
          <w:tcPr>
            <w:tcW w:type="dxa" w:w="2041"/>
          </w:tcPr>
          <w:p>
            <w:pPr>
              <w:spacing w:after="40"/>
            </w:pPr>
            <w:r/>
            <w:r>
              <w:rPr>
                <w:rFonts w:ascii="Times New Roman" w:hAnsi="Times New Roman" w:cs="Times New Roman" w:eastAsia="Times New Roman"/>
                <w:sz w:val="17"/>
              </w:rPr>
              <w:t>fait_marche_agrege</w:t>
            </w:r>
          </w:p>
        </w:tc>
        <w:tc>
          <w:tcPr>
            <w:tcW w:type="dxa" w:w="2041"/>
          </w:tcPr>
          <w:p>
            <w:pPr>
              <w:spacing w:after="40"/>
            </w:pPr>
            <w:r/>
            <w:r>
              <w:rPr>
                <w:rFonts w:ascii="Times New Roman" w:hAnsi="Times New Roman" w:cs="Times New Roman" w:eastAsia="Times New Roman"/>
                <w:sz w:val="17"/>
              </w:rPr>
              <w:t>dim_commune</w:t>
            </w:r>
          </w:p>
        </w:tc>
        <w:tc>
          <w:tcPr>
            <w:tcW w:type="dxa" w:w="2041"/>
          </w:tcPr>
          <w:p>
            <w:pPr>
              <w:spacing w:after="40"/>
            </w:pPr>
            <w:r/>
            <w:r>
              <w:rPr>
                <w:rFonts w:ascii="Times New Roman" w:hAnsi="Times New Roman" w:cs="Times New Roman" w:eastAsia="Times New Roman"/>
                <w:sz w:val="17"/>
              </w:rPr>
              <w:t>cle_commune</w:t>
            </w:r>
          </w:p>
        </w:tc>
      </w:tr>
      <w:tr>
        <w:tc>
          <w:tcPr>
            <w:tcW w:type="dxa" w:w="3402"/>
          </w:tcPr>
          <w:p>
            <w:pPr>
              <w:spacing w:after="40"/>
            </w:pPr>
            <w:r/>
            <w:r>
              <w:rPr>
                <w:rFonts w:ascii="Times New Roman" w:hAnsi="Times New Roman" w:cs="Times New Roman" w:eastAsia="Times New Roman"/>
                <w:b w:val="0"/>
                <w:sz w:val="17"/>
              </w:rPr>
              <w:t>FK_agrege_dim_nature_mutation</w:t>
            </w:r>
          </w:p>
        </w:tc>
        <w:tc>
          <w:tcPr>
            <w:tcW w:type="dxa" w:w="2041"/>
          </w:tcPr>
          <w:p>
            <w:pPr>
              <w:spacing w:after="40"/>
            </w:pPr>
            <w:r/>
            <w:r>
              <w:rPr>
                <w:rFonts w:ascii="Times New Roman" w:hAnsi="Times New Roman" w:cs="Times New Roman" w:eastAsia="Times New Roman"/>
                <w:sz w:val="17"/>
              </w:rPr>
              <w:t>fait_marche_agrege</w:t>
            </w:r>
          </w:p>
        </w:tc>
        <w:tc>
          <w:tcPr>
            <w:tcW w:type="dxa" w:w="2041"/>
          </w:tcPr>
          <w:p>
            <w:pPr>
              <w:spacing w:after="40"/>
            </w:pPr>
            <w:r/>
            <w:r>
              <w:rPr>
                <w:rFonts w:ascii="Times New Roman" w:hAnsi="Times New Roman" w:cs="Times New Roman" w:eastAsia="Times New Roman"/>
                <w:sz w:val="17"/>
              </w:rPr>
              <w:t>dim_nature_mutation</w:t>
            </w:r>
          </w:p>
        </w:tc>
        <w:tc>
          <w:tcPr>
            <w:tcW w:type="dxa" w:w="2041"/>
          </w:tcPr>
          <w:p>
            <w:pPr>
              <w:spacing w:after="40"/>
            </w:pPr>
            <w:r/>
            <w:r>
              <w:rPr>
                <w:rFonts w:ascii="Times New Roman" w:hAnsi="Times New Roman" w:cs="Times New Roman" w:eastAsia="Times New Roman"/>
                <w:sz w:val="17"/>
              </w:rPr>
              <w:t>cle_nature_mutation</w:t>
            </w:r>
          </w:p>
        </w:tc>
      </w:tr>
      <w:tr>
        <w:tc>
          <w:tcPr>
            <w:tcW w:type="dxa" w:w="3402"/>
          </w:tcPr>
          <w:p>
            <w:pPr>
              <w:spacing w:after="40"/>
            </w:pPr>
            <w:r/>
            <w:r>
              <w:rPr>
                <w:rFonts w:ascii="Times New Roman" w:hAnsi="Times New Roman" w:cs="Times New Roman" w:eastAsia="Times New Roman"/>
                <w:b w:val="0"/>
                <w:sz w:val="17"/>
              </w:rPr>
              <w:t>FK_dim_commune_dim_departement</w:t>
            </w:r>
          </w:p>
        </w:tc>
        <w:tc>
          <w:tcPr>
            <w:tcW w:type="dxa" w:w="2041"/>
          </w:tcPr>
          <w:p>
            <w:pPr>
              <w:spacing w:after="40"/>
            </w:pPr>
            <w:r/>
            <w:r>
              <w:rPr>
                <w:rFonts w:ascii="Times New Roman" w:hAnsi="Times New Roman" w:cs="Times New Roman" w:eastAsia="Times New Roman"/>
                <w:sz w:val="17"/>
              </w:rPr>
              <w:t>dim_commune</w:t>
            </w:r>
          </w:p>
        </w:tc>
        <w:tc>
          <w:tcPr>
            <w:tcW w:type="dxa" w:w="2041"/>
          </w:tcPr>
          <w:p>
            <w:pPr>
              <w:spacing w:after="40"/>
            </w:pPr>
            <w:r/>
            <w:r>
              <w:rPr>
                <w:rFonts w:ascii="Times New Roman" w:hAnsi="Times New Roman" w:cs="Times New Roman" w:eastAsia="Times New Roman"/>
                <w:sz w:val="17"/>
              </w:rPr>
              <w:t>dim_departement</w:t>
            </w:r>
          </w:p>
        </w:tc>
        <w:tc>
          <w:tcPr>
            <w:tcW w:type="dxa" w:w="2041"/>
          </w:tcPr>
          <w:p>
            <w:pPr>
              <w:spacing w:after="40"/>
            </w:pPr>
            <w:r/>
            <w:r>
              <w:rPr>
                <w:rFonts w:ascii="Times New Roman" w:hAnsi="Times New Roman" w:cs="Times New Roman" w:eastAsia="Times New Roman"/>
                <w:sz w:val="17"/>
              </w:rPr>
              <w:t>code_departement</w:t>
            </w:r>
          </w:p>
        </w:tc>
      </w:tr>
      <w:tr>
        <w:tc>
          <w:tcPr>
            <w:tcW w:type="dxa" w:w="3402"/>
          </w:tcPr>
          <w:p>
            <w:pPr>
              <w:spacing w:after="40"/>
            </w:pPr>
            <w:r/>
            <w:r>
              <w:rPr>
                <w:rFonts w:ascii="Times New Roman" w:hAnsi="Times New Roman" w:cs="Times New Roman" w:eastAsia="Times New Roman"/>
                <w:b w:val="0"/>
                <w:sz w:val="17"/>
              </w:rPr>
              <w:t>FK_dim_departement_dim_region</w:t>
            </w:r>
          </w:p>
        </w:tc>
        <w:tc>
          <w:tcPr>
            <w:tcW w:type="dxa" w:w="2041"/>
          </w:tcPr>
          <w:p>
            <w:pPr>
              <w:spacing w:after="40"/>
            </w:pPr>
            <w:r/>
            <w:r>
              <w:rPr>
                <w:rFonts w:ascii="Times New Roman" w:hAnsi="Times New Roman" w:cs="Times New Roman" w:eastAsia="Times New Roman"/>
                <w:sz w:val="17"/>
              </w:rPr>
              <w:t>dim_departement</w:t>
            </w:r>
          </w:p>
        </w:tc>
        <w:tc>
          <w:tcPr>
            <w:tcW w:type="dxa" w:w="2041"/>
          </w:tcPr>
          <w:p>
            <w:pPr>
              <w:spacing w:after="40"/>
            </w:pPr>
            <w:r/>
            <w:r>
              <w:rPr>
                <w:rFonts w:ascii="Times New Roman" w:hAnsi="Times New Roman" w:cs="Times New Roman" w:eastAsia="Times New Roman"/>
                <w:sz w:val="17"/>
              </w:rPr>
              <w:t>dim_region</w:t>
            </w:r>
          </w:p>
        </w:tc>
        <w:tc>
          <w:tcPr>
            <w:tcW w:type="dxa" w:w="2041"/>
          </w:tcPr>
          <w:p>
            <w:pPr>
              <w:spacing w:after="40"/>
            </w:pPr>
            <w:r/>
            <w:r>
              <w:rPr>
                <w:rFonts w:ascii="Times New Roman" w:hAnsi="Times New Roman" w:cs="Times New Roman" w:eastAsia="Times New Roman"/>
                <w:sz w:val="17"/>
              </w:rPr>
              <w:t>cle_region</w:t>
            </w:r>
          </w:p>
        </w:tc>
      </w:tr>
      <w:tr>
        <w:tc>
          <w:tcPr>
            <w:tcW w:type="dxa" w:w="3402"/>
          </w:tcPr>
          <w:p>
            <w:pPr>
              <w:spacing w:after="40"/>
            </w:pPr>
            <w:r/>
            <w:r>
              <w:rPr>
                <w:rFonts w:ascii="Times New Roman" w:hAnsi="Times New Roman" w:cs="Times New Roman" w:eastAsia="Times New Roman"/>
                <w:b w:val="0"/>
                <w:sz w:val="17"/>
              </w:rPr>
              <w:t>FK_dim_type_local_dim_categorie_local</w:t>
            </w:r>
          </w:p>
        </w:tc>
        <w:tc>
          <w:tcPr>
            <w:tcW w:type="dxa" w:w="2041"/>
          </w:tcPr>
          <w:p>
            <w:pPr>
              <w:spacing w:after="40"/>
            </w:pPr>
            <w:r/>
            <w:r>
              <w:rPr>
                <w:rFonts w:ascii="Times New Roman" w:hAnsi="Times New Roman" w:cs="Times New Roman" w:eastAsia="Times New Roman"/>
                <w:sz w:val="17"/>
              </w:rPr>
              <w:t>dim_type_local</w:t>
            </w:r>
          </w:p>
        </w:tc>
        <w:tc>
          <w:tcPr>
            <w:tcW w:type="dxa" w:w="2041"/>
          </w:tcPr>
          <w:p>
            <w:pPr>
              <w:spacing w:after="40"/>
            </w:pPr>
            <w:r/>
            <w:r>
              <w:rPr>
                <w:rFonts w:ascii="Times New Roman" w:hAnsi="Times New Roman" w:cs="Times New Roman" w:eastAsia="Times New Roman"/>
                <w:sz w:val="17"/>
              </w:rPr>
              <w:t>dim_categorie_local</w:t>
            </w:r>
          </w:p>
        </w:tc>
        <w:tc>
          <w:tcPr>
            <w:tcW w:type="dxa" w:w="2041"/>
          </w:tcPr>
          <w:p>
            <w:pPr>
              <w:spacing w:after="40"/>
            </w:pPr>
            <w:r/>
            <w:r>
              <w:rPr>
                <w:rFonts w:ascii="Times New Roman" w:hAnsi="Times New Roman" w:cs="Times New Roman" w:eastAsia="Times New Roman"/>
                <w:sz w:val="17"/>
              </w:rPr>
              <w:t>cle_categorie_local</w:t>
            </w:r>
          </w:p>
        </w:tc>
      </w:tr>
    </w:tbl>
    <w:p>
      <w:pPr>
        <w:spacing w:after="40"/>
      </w:pPr>
    </w:p>
    <w:p>
      <w:pPr>
        <w:pStyle w:val="Heading1"/>
      </w:pPr>
      <w:r>
        <w:t>4. Préparation des données dans Power Query</w:t>
      </w:r>
    </w:p>
    <w:p>
      <w:pPr>
        <w:pStyle w:val="Heading2"/>
      </w:pPr>
      <w:r>
        <w:t>4.1 Une requête source unique</w:t>
      </w:r>
    </w:p>
    <w:p>
      <w:pPr>
        <w:spacing w:after="120"/>
      </w:pPr>
      <w:r>
        <w:rPr>
          <w:rFonts w:ascii="Times New Roman" w:hAnsi="Times New Roman" w:cs="Times New Roman" w:eastAsia="Times New Roman"/>
          <w:b w:val="0"/>
          <w:i w:val="0"/>
          <w:sz w:val="21"/>
        </w:rPr>
        <w:t>Toutes les tables sont construites en Power Query, à partir d'une seule requête partagée, DVF_Brut. Celle-ci :</w:t>
      </w:r>
    </w:p>
    <w:p>
      <w:pPr>
        <w:pStyle w:val="ListBullet"/>
        <w:spacing w:after="40"/>
      </w:pPr>
      <w:r>
        <w:rPr>
          <w:rFonts w:ascii="Times New Roman" w:hAnsi="Times New Roman" w:cs="Times New Roman" w:eastAsia="Times New Roman"/>
          <w:b w:val="0"/>
          <w:sz w:val="21"/>
        </w:rPr>
        <w:t>liste les fichiers du dossier et ne conserve que ceux dont le nom correspond à une année de la liste Annees (2024 et 2025) ;</w:t>
      </w:r>
    </w:p>
    <w:p>
      <w:pPr>
        <w:pStyle w:val="ListBullet"/>
        <w:spacing w:after="40"/>
      </w:pPr>
      <w:r>
        <w:rPr>
          <w:rFonts w:ascii="Times New Roman" w:hAnsi="Times New Roman" w:cs="Times New Roman" w:eastAsia="Times New Roman"/>
          <w:b w:val="0"/>
          <w:sz w:val="21"/>
        </w:rPr>
        <w:t>lit chaque fichier (séparateur « | »), conserve 20 colonnes sur 43, renomme les colonnes en français technique et convertit les types avec la locale fr-FR ;</w:t>
      </w:r>
    </w:p>
    <w:p>
      <w:pPr>
        <w:pStyle w:val="ListBullet"/>
        <w:spacing w:after="40"/>
      </w:pPr>
      <w:r>
        <w:rPr>
          <w:rFonts w:ascii="Times New Roman" w:hAnsi="Times New Roman" w:cs="Times New Roman" w:eastAsia="Times New Roman"/>
          <w:b w:val="0"/>
          <w:sz w:val="21"/>
        </w:rPr>
        <w:t>reconstruit les zéros de tête perdus des codes INSEE et postaux (1550 devient 01550, 158 devient 00158) ;</w:t>
      </w:r>
    </w:p>
    <w:p>
      <w:pPr>
        <w:pStyle w:val="ListBullet"/>
        <w:spacing w:after="40"/>
      </w:pPr>
      <w:r>
        <w:rPr>
          <w:rFonts w:ascii="Times New Roman" w:hAnsi="Times New Roman" w:cs="Times New Roman" w:eastAsia="Times New Roman"/>
          <w:b w:val="0"/>
          <w:sz w:val="21"/>
        </w:rPr>
        <w:t>combine les fichiers en une seule table.</w:t>
      </w:r>
    </w:p>
    <w:p>
      <w:pPr>
        <w:spacing w:after="120"/>
      </w:pPr>
      <w:r>
        <w:rPr>
          <w:rFonts w:ascii="Times New Roman" w:hAnsi="Times New Roman" w:cs="Times New Roman" w:eastAsia="Times New Roman"/>
          <w:b w:val="0"/>
          <w:i w:val="0"/>
          <w:sz w:val="21"/>
        </w:rPr>
        <w:t>Les autres requêtes référencent DVF_Brut par son nom : les fichiers ne sont donc lus qu'une seule fois par actualisation. Les colonnes « Identifiant de document » et « Reference document » sont vides sur 100 % des lignes : elles ne sont pas chargées.</w:t>
      </w:r>
    </w:p>
    <w:p>
      <w:pPr>
        <w:pStyle w:val="Heading2"/>
      </w:pPr>
      <w:r>
        <w:t>4.2 Les six transformations mises en œuvre</w:t>
      </w:r>
    </w:p>
    <w:p>
      <w:pPr>
        <w:spacing w:after="120"/>
      </w:pPr>
      <w:r>
        <w:rPr>
          <w:rFonts w:ascii="Times New Roman" w:hAnsi="Times New Roman" w:cs="Times New Roman" w:eastAsia="Times New Roman"/>
          <w:b w:val="0"/>
          <w:i w:val="0"/>
          <w:sz w:val="21"/>
        </w:rPr>
        <w:t>Le sujet en demandait trois ; six sont réalisées, toutes dans Power Query :</w:t>
      </w:r>
    </w:p>
    <w:tbl>
      <w:tblPr>
        <w:tblStyle w:val="TableGrid"/>
        <w:tblW w:type="auto" w:w="0"/>
        <w:jc w:val="center"/>
        <w:tblLook w:firstColumn="1" w:firstRow="1" w:lastColumn="0" w:lastRow="0" w:noHBand="0" w:noVBand="1" w:val="04A0"/>
      </w:tblPr>
      <w:tblGrid>
        <w:gridCol w:w="3286"/>
        <w:gridCol w:w="3286"/>
        <w:gridCol w:w="3286"/>
      </w:tblGrid>
      <w:tr>
        <w:tc>
          <w:tcPr>
            <w:tcW w:type="dxa" w:w="567"/>
            <w:shd w:val="clear" w:color="auto" w:fill="DCE6F1"/>
          </w:tcPr>
          <w:p>
            <w:pPr>
              <w:spacing w:after="40"/>
            </w:pPr>
            <w:r/>
            <w:r>
              <w:rPr>
                <w:rFonts w:ascii="Times New Roman" w:hAnsi="Times New Roman" w:cs="Times New Roman" w:eastAsia="Times New Roman"/>
                <w:b/>
                <w:color w:val="1F4E79"/>
                <w:sz w:val="18"/>
              </w:rPr>
              <w:t>#</w:t>
            </w:r>
          </w:p>
        </w:tc>
        <w:tc>
          <w:tcPr>
            <w:tcW w:type="dxa" w:w="2551"/>
            <w:shd w:val="clear" w:color="auto" w:fill="DCE6F1"/>
          </w:tcPr>
          <w:p>
            <w:pPr>
              <w:spacing w:after="40"/>
            </w:pPr>
            <w:r/>
            <w:r>
              <w:rPr>
                <w:rFonts w:ascii="Times New Roman" w:hAnsi="Times New Roman" w:cs="Times New Roman" w:eastAsia="Times New Roman"/>
                <w:b/>
                <w:color w:val="1F4E79"/>
                <w:sz w:val="18"/>
              </w:rPr>
              <w:t>Transformation</w:t>
            </w:r>
          </w:p>
        </w:tc>
        <w:tc>
          <w:tcPr>
            <w:tcW w:type="dxa" w:w="6236"/>
            <w:shd w:val="clear" w:color="auto" w:fill="DCE6F1"/>
          </w:tcPr>
          <w:p>
            <w:pPr>
              <w:spacing w:after="40"/>
            </w:pPr>
            <w:r/>
            <w:r>
              <w:rPr>
                <w:rFonts w:ascii="Times New Roman" w:hAnsi="Times New Roman" w:cs="Times New Roman" w:eastAsia="Times New Roman"/>
                <w:b/>
                <w:color w:val="1F4E79"/>
                <w:sz w:val="18"/>
              </w:rPr>
              <w:t>Mise en œuvre</w:t>
            </w:r>
          </w:p>
        </w:tc>
      </w:tr>
      <w:tr>
        <w:tc>
          <w:tcPr>
            <w:tcW w:type="dxa" w:w="567"/>
          </w:tcPr>
          <w:p>
            <w:pPr>
              <w:spacing w:after="40"/>
            </w:pPr>
            <w:r/>
            <w:r>
              <w:rPr>
                <w:rFonts w:ascii="Times New Roman" w:hAnsi="Times New Roman" w:cs="Times New Roman" w:eastAsia="Times New Roman"/>
                <w:b w:val="0"/>
                <w:sz w:val="17"/>
              </w:rPr>
              <w:t>1</w:t>
            </w:r>
          </w:p>
        </w:tc>
        <w:tc>
          <w:tcPr>
            <w:tcW w:type="dxa" w:w="2551"/>
          </w:tcPr>
          <w:p>
            <w:pPr>
              <w:spacing w:after="40"/>
            </w:pPr>
            <w:r/>
            <w:r>
              <w:rPr>
                <w:rFonts w:ascii="Times New Roman" w:hAnsi="Times New Roman" w:cs="Times New Roman" w:eastAsia="Times New Roman"/>
                <w:sz w:val="17"/>
              </w:rPr>
              <w:t>Séparation d'une table en plusieurs</w:t>
            </w:r>
          </w:p>
        </w:tc>
        <w:tc>
          <w:tcPr>
            <w:tcW w:type="dxa" w:w="6236"/>
          </w:tcPr>
          <w:p>
            <w:pPr>
              <w:spacing w:after="40"/>
            </w:pPr>
            <w:r/>
            <w:r>
              <w:rPr>
                <w:rFonts w:ascii="Times New Roman" w:hAnsi="Times New Roman" w:cs="Times New Roman" w:eastAsia="Times New Roman"/>
                <w:sz w:val="17"/>
              </w:rPr>
              <w:t>DVF_Brut (43 colonnes) alimente 1 table de faits détaillée et les dimensions via Table.SelectColumns</w:t>
            </w:r>
          </w:p>
        </w:tc>
      </w:tr>
      <w:tr>
        <w:tc>
          <w:tcPr>
            <w:tcW w:type="dxa" w:w="567"/>
          </w:tcPr>
          <w:p>
            <w:pPr>
              <w:spacing w:after="40"/>
            </w:pPr>
            <w:r/>
            <w:r>
              <w:rPr>
                <w:rFonts w:ascii="Times New Roman" w:hAnsi="Times New Roman" w:cs="Times New Roman" w:eastAsia="Times New Roman"/>
                <w:b w:val="0"/>
                <w:sz w:val="17"/>
              </w:rPr>
              <w:t>2</w:t>
            </w:r>
          </w:p>
        </w:tc>
        <w:tc>
          <w:tcPr>
            <w:tcW w:type="dxa" w:w="2551"/>
          </w:tcPr>
          <w:p>
            <w:pPr>
              <w:spacing w:after="40"/>
            </w:pPr>
            <w:r/>
            <w:r>
              <w:rPr>
                <w:rFonts w:ascii="Times New Roman" w:hAnsi="Times New Roman" w:cs="Times New Roman" w:eastAsia="Times New Roman"/>
                <w:sz w:val="17"/>
              </w:rPr>
              <w:t>Colonnes calculées</w:t>
            </w:r>
          </w:p>
        </w:tc>
        <w:tc>
          <w:tcPr>
            <w:tcW w:type="dxa" w:w="6236"/>
          </w:tcPr>
          <w:p>
            <w:pPr>
              <w:spacing w:after="40"/>
            </w:pPr>
            <w:r/>
            <w:r>
              <w:rPr>
                <w:rFonts w:ascii="Times New Roman" w:hAnsi="Times New Roman" w:cs="Times New Roman" w:eastAsia="Times New Roman"/>
                <w:sz w:val="17"/>
              </w:rPr>
              <w:t>cle_temps, annee, trimestre, mois, jour_semaine (q_dim_temps) ; cle_commune ; cle_nature_culture ; cle_categorie_local ; cle_mutation ; prix_moyen_m2 (q_fait_agrege)</w:t>
            </w:r>
          </w:p>
        </w:tc>
      </w:tr>
      <w:tr>
        <w:tc>
          <w:tcPr>
            <w:tcW w:type="dxa" w:w="567"/>
          </w:tcPr>
          <w:p>
            <w:pPr>
              <w:spacing w:after="40"/>
            </w:pPr>
            <w:r/>
            <w:r>
              <w:rPr>
                <w:rFonts w:ascii="Times New Roman" w:hAnsi="Times New Roman" w:cs="Times New Roman" w:eastAsia="Times New Roman"/>
                <w:b w:val="0"/>
                <w:sz w:val="17"/>
              </w:rPr>
              <w:t>3</w:t>
            </w:r>
          </w:p>
        </w:tc>
        <w:tc>
          <w:tcPr>
            <w:tcW w:type="dxa" w:w="2551"/>
          </w:tcPr>
          <w:p>
            <w:pPr>
              <w:spacing w:after="40"/>
            </w:pPr>
            <w:r/>
            <w:r>
              <w:rPr>
                <w:rFonts w:ascii="Times New Roman" w:hAnsi="Times New Roman" w:cs="Times New Roman" w:eastAsia="Times New Roman"/>
                <w:sz w:val="17"/>
              </w:rPr>
              <w:t>Modification de clé</w:t>
            </w:r>
          </w:p>
        </w:tc>
        <w:tc>
          <w:tcPr>
            <w:tcW w:type="dxa" w:w="6236"/>
          </w:tcPr>
          <w:p>
            <w:pPr>
              <w:spacing w:after="40"/>
            </w:pPr>
            <w:r/>
            <w:r>
              <w:rPr>
                <w:rFonts w:ascii="Times New Roman" w:hAnsi="Times New Roman" w:cs="Times New Roman" w:eastAsia="Times New Roman"/>
                <w:sz w:val="17"/>
              </w:rPr>
              <w:t>reconstruction des codes INSEE et postaux à zéros de tête (Text.PadStart) ; création des clés de substitution cle_temps, cle_commune, cle_departement, cle_region, cle_type_local, cle_nature_culture, cle_mutation</w:t>
            </w:r>
          </w:p>
        </w:tc>
      </w:tr>
      <w:tr>
        <w:tc>
          <w:tcPr>
            <w:tcW w:type="dxa" w:w="567"/>
          </w:tcPr>
          <w:p>
            <w:pPr>
              <w:spacing w:after="40"/>
            </w:pPr>
            <w:r/>
            <w:r>
              <w:rPr>
                <w:rFonts w:ascii="Times New Roman" w:hAnsi="Times New Roman" w:cs="Times New Roman" w:eastAsia="Times New Roman"/>
                <w:b w:val="0"/>
                <w:sz w:val="17"/>
              </w:rPr>
              <w:t>4</w:t>
            </w:r>
          </w:p>
        </w:tc>
        <w:tc>
          <w:tcPr>
            <w:tcW w:type="dxa" w:w="2551"/>
          </w:tcPr>
          <w:p>
            <w:pPr>
              <w:spacing w:after="40"/>
            </w:pPr>
            <w:r/>
            <w:r>
              <w:rPr>
                <w:rFonts w:ascii="Times New Roman" w:hAnsi="Times New Roman" w:cs="Times New Roman" w:eastAsia="Times New Roman"/>
                <w:sz w:val="17"/>
              </w:rPr>
              <w:t>Dédoublonnage</w:t>
            </w:r>
          </w:p>
        </w:tc>
        <w:tc>
          <w:tcPr>
            <w:tcW w:type="dxa" w:w="6236"/>
          </w:tcPr>
          <w:p>
            <w:pPr>
              <w:spacing w:after="40"/>
            </w:pPr>
            <w:r/>
            <w:r>
              <w:rPr>
                <w:rFonts w:ascii="Times New Roman" w:hAnsi="Times New Roman" w:cs="Times New Roman" w:eastAsia="Times New Roman"/>
                <w:sz w:val="17"/>
              </w:rPr>
              <w:t>Table.Distinct sur chaque dimension et sur les clés pour garantir l'unicité du côté « 1 » (cle_commune, cle_nature_culture, cle_mutation)</w:t>
            </w:r>
          </w:p>
        </w:tc>
      </w:tr>
      <w:tr>
        <w:tc>
          <w:tcPr>
            <w:tcW w:type="dxa" w:w="567"/>
          </w:tcPr>
          <w:p>
            <w:pPr>
              <w:spacing w:after="40"/>
            </w:pPr>
            <w:r/>
            <w:r>
              <w:rPr>
                <w:rFonts w:ascii="Times New Roman" w:hAnsi="Times New Roman" w:cs="Times New Roman" w:eastAsia="Times New Roman"/>
                <w:b w:val="0"/>
                <w:sz w:val="17"/>
              </w:rPr>
              <w:t>5</w:t>
            </w:r>
          </w:p>
        </w:tc>
        <w:tc>
          <w:tcPr>
            <w:tcW w:type="dxa" w:w="2551"/>
          </w:tcPr>
          <w:p>
            <w:pPr>
              <w:spacing w:after="40"/>
            </w:pPr>
            <w:r/>
            <w:r>
              <w:rPr>
                <w:rFonts w:ascii="Times New Roman" w:hAnsi="Times New Roman" w:cs="Times New Roman" w:eastAsia="Times New Roman"/>
                <w:sz w:val="17"/>
              </w:rPr>
              <w:t>Agrégation</w:t>
            </w:r>
          </w:p>
        </w:tc>
        <w:tc>
          <w:tcPr>
            <w:tcW w:type="dxa" w:w="6236"/>
          </w:tcPr>
          <w:p>
            <w:pPr>
              <w:spacing w:after="40"/>
            </w:pPr>
            <w:r/>
            <w:r>
              <w:rPr>
                <w:rFonts w:ascii="Times New Roman" w:hAnsi="Times New Roman" w:cs="Times New Roman" w:eastAsia="Times New Roman"/>
                <w:sz w:val="17"/>
              </w:rPr>
              <w:t>q_fait_agrege : Table.Group par cle_temps + cle_commune + cle_nature_mutation (nombre de mutations, valeur totale, surface bâtie, prix moyen au m²)</w:t>
            </w:r>
          </w:p>
        </w:tc>
      </w:tr>
      <w:tr>
        <w:tc>
          <w:tcPr>
            <w:tcW w:type="dxa" w:w="567"/>
          </w:tcPr>
          <w:p>
            <w:pPr>
              <w:spacing w:after="40"/>
            </w:pPr>
            <w:r/>
            <w:r>
              <w:rPr>
                <w:rFonts w:ascii="Times New Roman" w:hAnsi="Times New Roman" w:cs="Times New Roman" w:eastAsia="Times New Roman"/>
                <w:b w:val="0"/>
                <w:sz w:val="17"/>
              </w:rPr>
              <w:t>6</w:t>
            </w:r>
          </w:p>
        </w:tc>
        <w:tc>
          <w:tcPr>
            <w:tcW w:type="dxa" w:w="2551"/>
          </w:tcPr>
          <w:p>
            <w:pPr>
              <w:spacing w:after="40"/>
            </w:pPr>
            <w:r/>
            <w:r>
              <w:rPr>
                <w:rFonts w:ascii="Times New Roman" w:hAnsi="Times New Roman" w:cs="Times New Roman" w:eastAsia="Times New Roman"/>
                <w:sz w:val="17"/>
              </w:rPr>
              <w:t>Fusion de référentiels (merge)</w:t>
            </w:r>
          </w:p>
        </w:tc>
        <w:tc>
          <w:tcPr>
            <w:tcW w:type="dxa" w:w="6236"/>
          </w:tcPr>
          <w:p>
            <w:pPr>
              <w:spacing w:after="40"/>
            </w:pPr>
            <w:r/>
            <w:r>
              <w:rPr>
                <w:rFonts w:ascii="Times New Roman" w:hAnsi="Times New Roman" w:cs="Times New Roman" w:eastAsia="Times New Roman"/>
                <w:sz w:val="17"/>
              </w:rPr>
              <w:t>q_dim_departement fusionne q_ref_departement (nom du département, région) ; q_dim_region fusionne q_ref_region (libellé des régions)</w:t>
            </w:r>
          </w:p>
        </w:tc>
      </w:tr>
    </w:tbl>
    <w:p>
      <w:pPr>
        <w:spacing w:after="40"/>
      </w:pPr>
    </w:p>
    <w:p>
      <w:pPr>
        <w:pStyle w:val="Heading2"/>
      </w:pPr>
      <w:r>
        <w:t>4.3 Inventaire des requêtes Power Query</w:t>
      </w:r>
    </w:p>
    <w:tbl>
      <w:tblPr>
        <w:tblStyle w:val="TableGrid"/>
        <w:tblW w:type="auto" w:w="0"/>
        <w:jc w:val="center"/>
        <w:tblLook w:firstColumn="1" w:firstRow="1" w:lastColumn="0" w:lastRow="0" w:noHBand="0" w:noVBand="1" w:val="04A0"/>
      </w:tblPr>
      <w:tblGrid>
        <w:gridCol w:w="3286"/>
        <w:gridCol w:w="3286"/>
        <w:gridCol w:w="3286"/>
      </w:tblGrid>
      <w:tr>
        <w:tc>
          <w:tcPr>
            <w:tcW w:type="dxa" w:w="2551"/>
            <w:shd w:val="clear" w:color="auto" w:fill="DCE6F1"/>
          </w:tcPr>
          <w:p>
            <w:pPr>
              <w:spacing w:after="40"/>
            </w:pPr>
            <w:r/>
            <w:r>
              <w:rPr>
                <w:rFonts w:ascii="Times New Roman" w:hAnsi="Times New Roman" w:cs="Times New Roman" w:eastAsia="Times New Roman"/>
                <w:b/>
                <w:color w:val="1F4E79"/>
                <w:sz w:val="18"/>
              </w:rPr>
              <w:t>Requête</w:t>
            </w:r>
          </w:p>
        </w:tc>
        <w:tc>
          <w:tcPr>
            <w:tcW w:type="dxa" w:w="5953"/>
            <w:shd w:val="clear" w:color="auto" w:fill="DCE6F1"/>
          </w:tcPr>
          <w:p>
            <w:pPr>
              <w:spacing w:after="40"/>
            </w:pPr>
            <w:r/>
            <w:r>
              <w:rPr>
                <w:rFonts w:ascii="Times New Roman" w:hAnsi="Times New Roman" w:cs="Times New Roman" w:eastAsia="Times New Roman"/>
                <w:b/>
                <w:color w:val="1F4E79"/>
                <w:sz w:val="18"/>
              </w:rPr>
              <w:t>Rôle</w:t>
            </w:r>
          </w:p>
        </w:tc>
        <w:tc>
          <w:tcPr>
            <w:tcW w:type="dxa" w:w="1247"/>
            <w:shd w:val="clear" w:color="auto" w:fill="DCE6F1"/>
          </w:tcPr>
          <w:p>
            <w:pPr>
              <w:spacing w:after="40"/>
            </w:pPr>
            <w:r/>
            <w:r>
              <w:rPr>
                <w:rFonts w:ascii="Times New Roman" w:hAnsi="Times New Roman" w:cs="Times New Roman" w:eastAsia="Times New Roman"/>
                <w:b/>
                <w:color w:val="1F4E79"/>
                <w:sz w:val="18"/>
              </w:rPr>
              <w:t>Lignes</w:t>
            </w:r>
          </w:p>
        </w:tc>
      </w:tr>
      <w:tr>
        <w:tc>
          <w:tcPr>
            <w:tcW w:type="dxa" w:w="2551"/>
          </w:tcPr>
          <w:p>
            <w:pPr>
              <w:spacing w:after="40"/>
            </w:pPr>
            <w:r/>
            <w:r>
              <w:rPr>
                <w:rFonts w:ascii="Times New Roman" w:hAnsi="Times New Roman" w:cs="Times New Roman" w:eastAsia="Times New Roman"/>
                <w:b w:val="0"/>
                <w:sz w:val="17"/>
              </w:rPr>
              <w:t>DVF_Brut</w:t>
            </w:r>
          </w:p>
        </w:tc>
        <w:tc>
          <w:tcPr>
            <w:tcW w:type="dxa" w:w="5953"/>
          </w:tcPr>
          <w:p>
            <w:pPr>
              <w:spacing w:after="40"/>
            </w:pPr>
            <w:r/>
            <w:r>
              <w:rPr>
                <w:rFonts w:ascii="Times New Roman" w:hAnsi="Times New Roman" w:cs="Times New Roman" w:eastAsia="Times New Roman"/>
                <w:sz w:val="17"/>
              </w:rPr>
              <w:t>lecture des fichiers des années retenues, renommage, typage, reconstruction des zéros de tête</w:t>
            </w:r>
          </w:p>
        </w:tc>
        <w:tc>
          <w:tcPr>
            <w:tcW w:type="dxa" w:w="1247"/>
          </w:tcPr>
          <w:p>
            <w:pPr>
              <w:spacing w:after="40"/>
            </w:pPr>
            <w:r/>
            <w:r>
              <w:rPr>
                <w:rFonts w:ascii="Times New Roman" w:hAnsi="Times New Roman" w:cs="Times New Roman" w:eastAsia="Times New Roman"/>
                <w:sz w:val="17"/>
              </w:rPr>
              <w:t>7 214 760</w:t>
            </w:r>
          </w:p>
        </w:tc>
      </w:tr>
      <w:tr>
        <w:tc>
          <w:tcPr>
            <w:tcW w:type="dxa" w:w="2551"/>
          </w:tcPr>
          <w:p>
            <w:pPr>
              <w:spacing w:after="40"/>
            </w:pPr>
            <w:r/>
            <w:r>
              <w:rPr>
                <w:rFonts w:ascii="Times New Roman" w:hAnsi="Times New Roman" w:cs="Times New Roman" w:eastAsia="Times New Roman"/>
                <w:b w:val="0"/>
                <w:sz w:val="17"/>
              </w:rPr>
              <w:t>q_fait_mutation</w:t>
            </w:r>
          </w:p>
        </w:tc>
        <w:tc>
          <w:tcPr>
            <w:tcW w:type="dxa" w:w="5953"/>
          </w:tcPr>
          <w:p>
            <w:pPr>
              <w:spacing w:after="40"/>
            </w:pPr>
            <w:r/>
            <w:r>
              <w:rPr>
                <w:rFonts w:ascii="Times New Roman" w:hAnsi="Times New Roman" w:cs="Times New Roman" w:eastAsia="Times New Roman"/>
                <w:sz w:val="17"/>
              </w:rPr>
              <w:t>table de faits détaillée : construction de cle_mutation et des 5 clés étrangères</w:t>
            </w:r>
          </w:p>
        </w:tc>
        <w:tc>
          <w:tcPr>
            <w:tcW w:type="dxa" w:w="1247"/>
          </w:tcPr>
          <w:p>
            <w:pPr>
              <w:spacing w:after="40"/>
            </w:pPr>
            <w:r/>
            <w:r>
              <w:rPr>
                <w:rFonts w:ascii="Times New Roman" w:hAnsi="Times New Roman" w:cs="Times New Roman" w:eastAsia="Times New Roman"/>
                <w:sz w:val="17"/>
              </w:rPr>
              <w:t>7 214 760</w:t>
            </w:r>
          </w:p>
        </w:tc>
      </w:tr>
      <w:tr>
        <w:tc>
          <w:tcPr>
            <w:tcW w:type="dxa" w:w="2551"/>
          </w:tcPr>
          <w:p>
            <w:pPr>
              <w:spacing w:after="40"/>
            </w:pPr>
            <w:r/>
            <w:r>
              <w:rPr>
                <w:rFonts w:ascii="Times New Roman" w:hAnsi="Times New Roman" w:cs="Times New Roman" w:eastAsia="Times New Roman"/>
                <w:b w:val="0"/>
                <w:sz w:val="17"/>
              </w:rPr>
              <w:t>q_fait_agrege</w:t>
            </w:r>
          </w:p>
        </w:tc>
        <w:tc>
          <w:tcPr>
            <w:tcW w:type="dxa" w:w="5953"/>
          </w:tcPr>
          <w:p>
            <w:pPr>
              <w:spacing w:after="40"/>
            </w:pPr>
            <w:r/>
            <w:r>
              <w:rPr>
                <w:rFonts w:ascii="Times New Roman" w:hAnsi="Times New Roman" w:cs="Times New Roman" w:eastAsia="Times New Roman"/>
                <w:sz w:val="17"/>
              </w:rPr>
              <w:t>table de faits agrégée (datamart)</w:t>
            </w:r>
          </w:p>
        </w:tc>
        <w:tc>
          <w:tcPr>
            <w:tcW w:type="dxa" w:w="1247"/>
          </w:tcPr>
          <w:p>
            <w:pPr>
              <w:spacing w:after="40"/>
            </w:pPr>
            <w:r/>
            <w:r>
              <w:rPr>
                <w:rFonts w:ascii="Times New Roman" w:hAnsi="Times New Roman" w:cs="Times New Roman" w:eastAsia="Times New Roman"/>
                <w:sz w:val="17"/>
              </w:rPr>
              <w:t>1 614 973</w:t>
            </w:r>
          </w:p>
        </w:tc>
      </w:tr>
      <w:tr>
        <w:tc>
          <w:tcPr>
            <w:tcW w:type="dxa" w:w="2551"/>
          </w:tcPr>
          <w:p>
            <w:pPr>
              <w:spacing w:after="40"/>
            </w:pPr>
            <w:r/>
            <w:r>
              <w:rPr>
                <w:rFonts w:ascii="Times New Roman" w:hAnsi="Times New Roman" w:cs="Times New Roman" w:eastAsia="Times New Roman"/>
                <w:b w:val="0"/>
                <w:sz w:val="17"/>
              </w:rPr>
              <w:t>q_dim_temps</w:t>
            </w:r>
          </w:p>
        </w:tc>
        <w:tc>
          <w:tcPr>
            <w:tcW w:type="dxa" w:w="5953"/>
          </w:tcPr>
          <w:p>
            <w:pPr>
              <w:spacing w:after="40"/>
            </w:pPr>
            <w:r/>
            <w:r>
              <w:rPr>
                <w:rFonts w:ascii="Times New Roman" w:hAnsi="Times New Roman" w:cs="Times New Roman" w:eastAsia="Times New Roman"/>
                <w:sz w:val="17"/>
              </w:rPr>
              <w:t>calendrier</w:t>
            </w:r>
          </w:p>
        </w:tc>
        <w:tc>
          <w:tcPr>
            <w:tcW w:type="dxa" w:w="1247"/>
          </w:tcPr>
          <w:p>
            <w:pPr>
              <w:spacing w:after="40"/>
            </w:pPr>
            <w:r/>
            <w:r>
              <w:rPr>
                <w:rFonts w:ascii="Times New Roman" w:hAnsi="Times New Roman" w:cs="Times New Roman" w:eastAsia="Times New Roman"/>
                <w:sz w:val="17"/>
              </w:rPr>
              <w:t>724</w:t>
            </w:r>
          </w:p>
        </w:tc>
      </w:tr>
      <w:tr>
        <w:tc>
          <w:tcPr>
            <w:tcW w:type="dxa" w:w="2551"/>
          </w:tcPr>
          <w:p>
            <w:pPr>
              <w:spacing w:after="40"/>
            </w:pPr>
            <w:r/>
            <w:r>
              <w:rPr>
                <w:rFonts w:ascii="Times New Roman" w:hAnsi="Times New Roman" w:cs="Times New Roman" w:eastAsia="Times New Roman"/>
                <w:b w:val="0"/>
                <w:sz w:val="17"/>
              </w:rPr>
              <w:t>q_dim_commune</w:t>
            </w:r>
          </w:p>
        </w:tc>
        <w:tc>
          <w:tcPr>
            <w:tcW w:type="dxa" w:w="5953"/>
          </w:tcPr>
          <w:p>
            <w:pPr>
              <w:spacing w:after="40"/>
            </w:pPr>
            <w:r/>
            <w:r>
              <w:rPr>
                <w:rFonts w:ascii="Times New Roman" w:hAnsi="Times New Roman" w:cs="Times New Roman" w:eastAsia="Times New Roman"/>
                <w:sz w:val="17"/>
              </w:rPr>
              <w:t>communes</w:t>
            </w:r>
          </w:p>
        </w:tc>
        <w:tc>
          <w:tcPr>
            <w:tcW w:type="dxa" w:w="1247"/>
          </w:tcPr>
          <w:p>
            <w:pPr>
              <w:spacing w:after="40"/>
            </w:pPr>
            <w:r/>
            <w:r>
              <w:rPr>
                <w:rFonts w:ascii="Times New Roman" w:hAnsi="Times New Roman" w:cs="Times New Roman" w:eastAsia="Times New Roman"/>
                <w:sz w:val="17"/>
              </w:rPr>
              <w:t>33 218</w:t>
            </w:r>
          </w:p>
        </w:tc>
      </w:tr>
      <w:tr>
        <w:tc>
          <w:tcPr>
            <w:tcW w:type="dxa" w:w="2551"/>
          </w:tcPr>
          <w:p>
            <w:pPr>
              <w:spacing w:after="40"/>
            </w:pPr>
            <w:r/>
            <w:r>
              <w:rPr>
                <w:rFonts w:ascii="Times New Roman" w:hAnsi="Times New Roman" w:cs="Times New Roman" w:eastAsia="Times New Roman"/>
                <w:b w:val="0"/>
                <w:sz w:val="17"/>
              </w:rPr>
              <w:t>q_dim_departement</w:t>
            </w:r>
          </w:p>
        </w:tc>
        <w:tc>
          <w:tcPr>
            <w:tcW w:type="dxa" w:w="5953"/>
          </w:tcPr>
          <w:p>
            <w:pPr>
              <w:spacing w:after="40"/>
            </w:pPr>
            <w:r/>
            <w:r>
              <w:rPr>
                <w:rFonts w:ascii="Times New Roman" w:hAnsi="Times New Roman" w:cs="Times New Roman" w:eastAsia="Times New Roman"/>
                <w:sz w:val="17"/>
              </w:rPr>
              <w:t>départements enrichis par q_ref_departement</w:t>
            </w:r>
          </w:p>
        </w:tc>
        <w:tc>
          <w:tcPr>
            <w:tcW w:type="dxa" w:w="1247"/>
          </w:tcPr>
          <w:p>
            <w:pPr>
              <w:spacing w:after="40"/>
            </w:pPr>
            <w:r/>
            <w:r>
              <w:rPr>
                <w:rFonts w:ascii="Times New Roman" w:hAnsi="Times New Roman" w:cs="Times New Roman" w:eastAsia="Times New Roman"/>
                <w:sz w:val="17"/>
              </w:rPr>
              <w:t>97</w:t>
            </w:r>
          </w:p>
        </w:tc>
      </w:tr>
      <w:tr>
        <w:tc>
          <w:tcPr>
            <w:tcW w:type="dxa" w:w="2551"/>
          </w:tcPr>
          <w:p>
            <w:pPr>
              <w:spacing w:after="40"/>
            </w:pPr>
            <w:r/>
            <w:r>
              <w:rPr>
                <w:rFonts w:ascii="Times New Roman" w:hAnsi="Times New Roman" w:cs="Times New Roman" w:eastAsia="Times New Roman"/>
                <w:b w:val="0"/>
                <w:sz w:val="17"/>
              </w:rPr>
              <w:t>q_dim_region</w:t>
            </w:r>
          </w:p>
        </w:tc>
        <w:tc>
          <w:tcPr>
            <w:tcW w:type="dxa" w:w="5953"/>
          </w:tcPr>
          <w:p>
            <w:pPr>
              <w:spacing w:after="40"/>
            </w:pPr>
            <w:r/>
            <w:r>
              <w:rPr>
                <w:rFonts w:ascii="Times New Roman" w:hAnsi="Times New Roman" w:cs="Times New Roman" w:eastAsia="Times New Roman"/>
                <w:sz w:val="17"/>
              </w:rPr>
              <w:t>régions enrichies par q_ref_region</w:t>
            </w:r>
          </w:p>
        </w:tc>
        <w:tc>
          <w:tcPr>
            <w:tcW w:type="dxa" w:w="1247"/>
          </w:tcPr>
          <w:p>
            <w:pPr>
              <w:spacing w:after="40"/>
            </w:pPr>
            <w:r/>
            <w:r>
              <w:rPr>
                <w:rFonts w:ascii="Times New Roman" w:hAnsi="Times New Roman" w:cs="Times New Roman" w:eastAsia="Times New Roman"/>
                <w:sz w:val="17"/>
              </w:rPr>
              <w:t>17</w:t>
            </w:r>
          </w:p>
        </w:tc>
      </w:tr>
      <w:tr>
        <w:tc>
          <w:tcPr>
            <w:tcW w:type="dxa" w:w="2551"/>
          </w:tcPr>
          <w:p>
            <w:pPr>
              <w:spacing w:after="40"/>
            </w:pPr>
            <w:r/>
            <w:r>
              <w:rPr>
                <w:rFonts w:ascii="Times New Roman" w:hAnsi="Times New Roman" w:cs="Times New Roman" w:eastAsia="Times New Roman"/>
                <w:b w:val="0"/>
                <w:sz w:val="17"/>
              </w:rPr>
              <w:t>q_dim_nature_mutation</w:t>
            </w:r>
          </w:p>
        </w:tc>
        <w:tc>
          <w:tcPr>
            <w:tcW w:type="dxa" w:w="5953"/>
          </w:tcPr>
          <w:p>
            <w:pPr>
              <w:spacing w:after="40"/>
            </w:pPr>
            <w:r/>
            <w:r>
              <w:rPr>
                <w:rFonts w:ascii="Times New Roman" w:hAnsi="Times New Roman" w:cs="Times New Roman" w:eastAsia="Times New Roman"/>
                <w:sz w:val="17"/>
              </w:rPr>
              <w:t>natures de mutation</w:t>
            </w:r>
          </w:p>
        </w:tc>
        <w:tc>
          <w:tcPr>
            <w:tcW w:type="dxa" w:w="1247"/>
          </w:tcPr>
          <w:p>
            <w:pPr>
              <w:spacing w:after="40"/>
            </w:pPr>
            <w:r/>
            <w:r>
              <w:rPr>
                <w:rFonts w:ascii="Times New Roman" w:hAnsi="Times New Roman" w:cs="Times New Roman" w:eastAsia="Times New Roman"/>
                <w:sz w:val="17"/>
              </w:rPr>
              <w:t>6</w:t>
            </w:r>
          </w:p>
        </w:tc>
      </w:tr>
      <w:tr>
        <w:tc>
          <w:tcPr>
            <w:tcW w:type="dxa" w:w="2551"/>
          </w:tcPr>
          <w:p>
            <w:pPr>
              <w:spacing w:after="40"/>
            </w:pPr>
            <w:r/>
            <w:r>
              <w:rPr>
                <w:rFonts w:ascii="Times New Roman" w:hAnsi="Times New Roman" w:cs="Times New Roman" w:eastAsia="Times New Roman"/>
                <w:b w:val="0"/>
                <w:sz w:val="17"/>
              </w:rPr>
              <w:t>q_dim_type_local</w:t>
            </w:r>
          </w:p>
        </w:tc>
        <w:tc>
          <w:tcPr>
            <w:tcW w:type="dxa" w:w="5953"/>
          </w:tcPr>
          <w:p>
            <w:pPr>
              <w:spacing w:after="40"/>
            </w:pPr>
            <w:r/>
            <w:r>
              <w:rPr>
                <w:rFonts w:ascii="Times New Roman" w:hAnsi="Times New Roman" w:cs="Times New Roman" w:eastAsia="Times New Roman"/>
                <w:sz w:val="17"/>
              </w:rPr>
              <w:t>types de local</w:t>
            </w:r>
          </w:p>
        </w:tc>
        <w:tc>
          <w:tcPr>
            <w:tcW w:type="dxa" w:w="1247"/>
          </w:tcPr>
          <w:p>
            <w:pPr>
              <w:spacing w:after="40"/>
            </w:pPr>
            <w:r/>
            <w:r>
              <w:rPr>
                <w:rFonts w:ascii="Times New Roman" w:hAnsi="Times New Roman" w:cs="Times New Roman" w:eastAsia="Times New Roman"/>
                <w:sz w:val="17"/>
              </w:rPr>
              <w:t>5</w:t>
            </w:r>
          </w:p>
        </w:tc>
      </w:tr>
      <w:tr>
        <w:tc>
          <w:tcPr>
            <w:tcW w:type="dxa" w:w="2551"/>
          </w:tcPr>
          <w:p>
            <w:pPr>
              <w:spacing w:after="40"/>
            </w:pPr>
            <w:r/>
            <w:r>
              <w:rPr>
                <w:rFonts w:ascii="Times New Roman" w:hAnsi="Times New Roman" w:cs="Times New Roman" w:eastAsia="Times New Roman"/>
                <w:b w:val="0"/>
                <w:sz w:val="17"/>
              </w:rPr>
              <w:t>q_dim_categorie_local</w:t>
            </w:r>
          </w:p>
        </w:tc>
        <w:tc>
          <w:tcPr>
            <w:tcW w:type="dxa" w:w="5953"/>
          </w:tcPr>
          <w:p>
            <w:pPr>
              <w:spacing w:after="40"/>
            </w:pPr>
            <w:r/>
            <w:r>
              <w:rPr>
                <w:rFonts w:ascii="Times New Roman" w:hAnsi="Times New Roman" w:cs="Times New Roman" w:eastAsia="Times New Roman"/>
                <w:sz w:val="17"/>
              </w:rPr>
              <w:t>catégories de local</w:t>
            </w:r>
          </w:p>
        </w:tc>
        <w:tc>
          <w:tcPr>
            <w:tcW w:type="dxa" w:w="1247"/>
          </w:tcPr>
          <w:p>
            <w:pPr>
              <w:spacing w:after="40"/>
            </w:pPr>
            <w:r/>
            <w:r>
              <w:rPr>
                <w:rFonts w:ascii="Times New Roman" w:hAnsi="Times New Roman" w:cs="Times New Roman" w:eastAsia="Times New Roman"/>
                <w:sz w:val="17"/>
              </w:rPr>
              <w:t>5</w:t>
            </w:r>
          </w:p>
        </w:tc>
      </w:tr>
      <w:tr>
        <w:tc>
          <w:tcPr>
            <w:tcW w:type="dxa" w:w="2551"/>
          </w:tcPr>
          <w:p>
            <w:pPr>
              <w:spacing w:after="40"/>
            </w:pPr>
            <w:r/>
            <w:r>
              <w:rPr>
                <w:rFonts w:ascii="Times New Roman" w:hAnsi="Times New Roman" w:cs="Times New Roman" w:eastAsia="Times New Roman"/>
                <w:b w:val="0"/>
                <w:sz w:val="17"/>
              </w:rPr>
              <w:t>q_dim_nature_culture</w:t>
            </w:r>
          </w:p>
        </w:tc>
        <w:tc>
          <w:tcPr>
            <w:tcW w:type="dxa" w:w="5953"/>
          </w:tcPr>
          <w:p>
            <w:pPr>
              <w:spacing w:after="40"/>
            </w:pPr>
            <w:r/>
            <w:r>
              <w:rPr>
                <w:rFonts w:ascii="Times New Roman" w:hAnsi="Times New Roman" w:cs="Times New Roman" w:eastAsia="Times New Roman"/>
                <w:sz w:val="17"/>
              </w:rPr>
              <w:t>natures de culture</w:t>
            </w:r>
          </w:p>
        </w:tc>
        <w:tc>
          <w:tcPr>
            <w:tcW w:type="dxa" w:w="1247"/>
          </w:tcPr>
          <w:p>
            <w:pPr>
              <w:spacing w:after="40"/>
            </w:pPr>
            <w:r/>
            <w:r>
              <w:rPr>
                <w:rFonts w:ascii="Times New Roman" w:hAnsi="Times New Roman" w:cs="Times New Roman" w:eastAsia="Times New Roman"/>
                <w:sz w:val="17"/>
              </w:rPr>
              <w:t>246</w:t>
            </w:r>
          </w:p>
        </w:tc>
      </w:tr>
      <w:tr>
        <w:tc>
          <w:tcPr>
            <w:tcW w:type="dxa" w:w="2551"/>
          </w:tcPr>
          <w:p>
            <w:pPr>
              <w:spacing w:after="40"/>
            </w:pPr>
            <w:r/>
            <w:r>
              <w:rPr>
                <w:rFonts w:ascii="Times New Roman" w:hAnsi="Times New Roman" w:cs="Times New Roman" w:eastAsia="Times New Roman"/>
                <w:b w:val="0"/>
                <w:sz w:val="17"/>
              </w:rPr>
              <w:t>q_ref_departement</w:t>
            </w:r>
          </w:p>
        </w:tc>
        <w:tc>
          <w:tcPr>
            <w:tcW w:type="dxa" w:w="5953"/>
          </w:tcPr>
          <w:p>
            <w:pPr>
              <w:spacing w:after="40"/>
            </w:pPr>
            <w:r/>
            <w:r>
              <w:rPr>
                <w:rFonts w:ascii="Times New Roman" w:hAnsi="Times New Roman" w:cs="Times New Roman" w:eastAsia="Times New Roman"/>
                <w:sz w:val="17"/>
              </w:rPr>
              <w:t>référentiel des 101 départements (nom + région), table écrite en M, non chargée</w:t>
            </w:r>
          </w:p>
        </w:tc>
        <w:tc>
          <w:tcPr>
            <w:tcW w:type="dxa" w:w="1247"/>
          </w:tcPr>
          <w:p>
            <w:pPr>
              <w:spacing w:after="40"/>
            </w:pPr>
            <w:r/>
            <w:r>
              <w:rPr>
                <w:rFonts w:ascii="Times New Roman" w:hAnsi="Times New Roman" w:cs="Times New Roman" w:eastAsia="Times New Roman"/>
                <w:sz w:val="17"/>
              </w:rPr>
              <w:t>101</w:t>
            </w:r>
          </w:p>
        </w:tc>
      </w:tr>
      <w:tr>
        <w:tc>
          <w:tcPr>
            <w:tcW w:type="dxa" w:w="2551"/>
          </w:tcPr>
          <w:p>
            <w:pPr>
              <w:spacing w:after="40"/>
            </w:pPr>
            <w:r/>
            <w:r>
              <w:rPr>
                <w:rFonts w:ascii="Times New Roman" w:hAnsi="Times New Roman" w:cs="Times New Roman" w:eastAsia="Times New Roman"/>
                <w:b w:val="0"/>
                <w:sz w:val="17"/>
              </w:rPr>
              <w:t>q_ref_region</w:t>
            </w:r>
          </w:p>
        </w:tc>
        <w:tc>
          <w:tcPr>
            <w:tcW w:type="dxa" w:w="5953"/>
          </w:tcPr>
          <w:p>
            <w:pPr>
              <w:spacing w:after="40"/>
            </w:pPr>
            <w:r/>
            <w:r>
              <w:rPr>
                <w:rFonts w:ascii="Times New Roman" w:hAnsi="Times New Roman" w:cs="Times New Roman" w:eastAsia="Times New Roman"/>
                <w:sz w:val="17"/>
              </w:rPr>
              <w:t>référentiel des 18 régions, table écrite en M, non chargée</w:t>
            </w:r>
          </w:p>
        </w:tc>
        <w:tc>
          <w:tcPr>
            <w:tcW w:type="dxa" w:w="1247"/>
          </w:tcPr>
          <w:p>
            <w:pPr>
              <w:spacing w:after="40"/>
            </w:pPr>
            <w:r/>
            <w:r>
              <w:rPr>
                <w:rFonts w:ascii="Times New Roman" w:hAnsi="Times New Roman" w:cs="Times New Roman" w:eastAsia="Times New Roman"/>
                <w:sz w:val="17"/>
              </w:rPr>
              <w:t>18</w:t>
            </w:r>
          </w:p>
        </w:tc>
      </w:tr>
    </w:tbl>
    <w:p>
      <w:pPr>
        <w:spacing w:after="40"/>
      </w:pPr>
    </w:p>
    <w:p>
      <w:pPr>
        <w:spacing w:after="120"/>
      </w:pPr>
      <w:r>
        <w:rPr>
          <w:rFonts w:ascii="Times New Roman" w:hAnsi="Times New Roman" w:cs="Times New Roman" w:eastAsia="Times New Roman"/>
          <w:b w:val="0"/>
          <w:i/>
          <w:sz w:val="21"/>
        </w:rPr>
        <w:t>Les deux requêtes q_ref_departement et q_ref_region sont des tables de référence : elles ne sont pas chargées dans le modèle, elles servent uniquement à enrichir les dimensions département et région.</w:t>
      </w:r>
    </w:p>
    <w:p>
      <w:pPr>
        <w:pStyle w:val="Heading1"/>
      </w:pPr>
      <w:r>
        <w:t>5. Le piège de la valeur foncière répétée</w:t>
      </w:r>
    </w:p>
    <w:p>
      <w:pPr>
        <w:spacing w:after="120"/>
      </w:pPr>
      <w:r>
        <w:rPr>
          <w:rFonts w:ascii="Times New Roman" w:hAnsi="Times New Roman" w:cs="Times New Roman" w:eastAsia="Times New Roman"/>
          <w:b w:val="0"/>
          <w:i w:val="0"/>
          <w:sz w:val="21"/>
        </w:rPr>
        <w:t>Les fichiers DVF ne contiennent aucun identifiant de document (les colonnes prévues à cet effet sont vides à 100 %). Une mutation (une vente) est donc éclatée en plusieurs lignes - une par bien - et la valeur foncière est répétée sur chacune de ces lignes.</w:t>
      </w:r>
    </w:p>
    <w:p>
      <w:pPr>
        <w:spacing w:after="120"/>
      </w:pPr>
      <w:r>
        <w:rPr>
          <w:rFonts w:ascii="Times New Roman" w:hAnsi="Times New Roman" w:cs="Times New Roman" w:eastAsia="Times New Roman"/>
          <w:b/>
          <w:i w:val="0"/>
          <w:sz w:val="21"/>
        </w:rPr>
        <w:t xml:space="preserve">Conséquence : </w:t>
      </w:r>
      <w:r>
        <w:rPr>
          <w:rFonts w:ascii="Times New Roman" w:hAnsi="Times New Roman" w:cs="Times New Roman" w:eastAsia="Times New Roman"/>
          <w:b w:val="0"/>
          <w:i w:val="0"/>
          <w:sz w:val="21"/>
        </w:rPr>
        <w:t>la somme brute de la colonne valeur_fonciere donne 6 075 010 413 359 €, soit environ 10 fois la réalité. La valeur correcte, obtenue en ne comptant la valeur qu'une fois par mutation, est de 604 914 936 592 €.</w:t>
      </w:r>
    </w:p>
    <w:p>
      <w:pPr>
        <w:spacing w:after="120"/>
      </w:pPr>
      <w:r>
        <w:rPr>
          <w:rFonts w:ascii="Times New Roman" w:hAnsi="Times New Roman" w:cs="Times New Roman" w:eastAsia="Times New Roman"/>
          <w:b w:val="0"/>
          <w:i w:val="0"/>
          <w:sz w:val="21"/>
        </w:rPr>
        <w:t>Deux mesures DAX ont été écrites pour cela. La colonne cle_mutation regroupe les lignes contiguës qui partagent la date, la commune, la nature et la valeur : c'est la seule façon d'obtenir un nombre de ventes et un montant total justes.</w:t>
      </w:r>
    </w:p>
    <w:p>
      <w:pPr>
        <w:spacing w:after="0" w:before="0"/>
        <w:ind w:left="340"/>
        <w:shd w:val="clear" w:color="auto" w:fill="F2F2F2"/>
      </w:pPr>
      <w:r>
        <w:rPr>
          <w:rFonts w:ascii="Times New Roman" w:hAnsi="Times New Roman" w:cs="Times New Roman" w:eastAsia="Times New Roman"/>
          <w:color w:val="202020"/>
          <w:sz w:val="20"/>
        </w:rPr>
        <w:t>Nombre de mutations = DISTINCTCOUNT ( fait_mutation[cle_mutation] )</w:t>
      </w:r>
    </w:p>
    <w:p>
      <w:pPr>
        <w:spacing w:after="0" w:before="0"/>
        <w:ind w:left="340"/>
        <w:shd w:val="clear" w:color="auto" w:fill="F2F2F2"/>
      </w:pPr>
      <w:r>
        <w:rPr>
          <w:rFonts w:ascii="Times New Roman" w:hAnsi="Times New Roman" w:cs="Times New Roman" w:eastAsia="Times New Roman"/>
          <w:color w:val="202020"/>
          <w:sz w:val="20"/>
        </w:rPr>
      </w:r>
    </w:p>
    <w:p>
      <w:pPr>
        <w:spacing w:after="0" w:before="0"/>
        <w:ind w:left="340"/>
        <w:shd w:val="clear" w:color="auto" w:fill="F2F2F2"/>
      </w:pPr>
      <w:r>
        <w:rPr>
          <w:rFonts w:ascii="Times New Roman" w:hAnsi="Times New Roman" w:cs="Times New Roman" w:eastAsia="Times New Roman"/>
          <w:color w:val="202020"/>
          <w:sz w:val="20"/>
        </w:rPr>
        <w:t>Valeur fonciere totale =</w:t>
      </w:r>
    </w:p>
    <w:p>
      <w:pPr>
        <w:spacing w:after="0" w:before="0"/>
        <w:ind w:left="340"/>
        <w:shd w:val="clear" w:color="auto" w:fill="F2F2F2"/>
      </w:pPr>
      <w:r>
        <w:rPr>
          <w:rFonts w:ascii="Times New Roman" w:hAnsi="Times New Roman" w:cs="Times New Roman" w:eastAsia="Times New Roman"/>
          <w:color w:val="202020"/>
          <w:sz w:val="20"/>
        </w:rPr>
        <w:t xml:space="preserve">    SUMX (</w:t>
      </w:r>
    </w:p>
    <w:p>
      <w:pPr>
        <w:spacing w:after="0" w:before="0"/>
        <w:ind w:left="340"/>
        <w:shd w:val="clear" w:color="auto" w:fill="F2F2F2"/>
      </w:pPr>
      <w:r>
        <w:rPr>
          <w:rFonts w:ascii="Times New Roman" w:hAnsi="Times New Roman" w:cs="Times New Roman" w:eastAsia="Times New Roman"/>
          <w:color w:val="202020"/>
          <w:sz w:val="20"/>
        </w:rPr>
        <w:t xml:space="preserve">        VALUES ( fait_mutation[cle_mutation] ),</w:t>
      </w:r>
    </w:p>
    <w:p>
      <w:pPr>
        <w:spacing w:after="0" w:before="0"/>
        <w:ind w:left="340"/>
        <w:shd w:val="clear" w:color="auto" w:fill="F2F2F2"/>
      </w:pPr>
      <w:r>
        <w:rPr>
          <w:rFonts w:ascii="Times New Roman" w:hAnsi="Times New Roman" w:cs="Times New Roman" w:eastAsia="Times New Roman"/>
          <w:color w:val="202020"/>
          <w:sz w:val="20"/>
        </w:rPr>
        <w:t xml:space="preserve">        CALCULATE ( AVERAGE ( fait_mutation[valeur_fonciere] ) )</w:t>
      </w:r>
    </w:p>
    <w:p>
      <w:pPr>
        <w:spacing w:after="0" w:before="0"/>
        <w:ind w:left="340"/>
        <w:shd w:val="clear" w:color="auto" w:fill="F2F2F2"/>
      </w:pPr>
      <w:r>
        <w:rPr>
          <w:rFonts w:ascii="Times New Roman" w:hAnsi="Times New Roman" w:cs="Times New Roman" w:eastAsia="Times New Roman"/>
          <w:color w:val="202020"/>
          <w:sz w:val="20"/>
        </w:rPr>
        <w:t xml:space="preserve">    )</w:t>
      </w:r>
    </w:p>
    <w:p>
      <w:pPr>
        <w:spacing w:after="0" w:before="0"/>
        <w:ind w:left="340"/>
        <w:shd w:val="clear" w:color="auto" w:fill="F2F2F2"/>
      </w:pPr>
      <w:r>
        <w:rPr>
          <w:rFonts w:ascii="Times New Roman" w:hAnsi="Times New Roman" w:cs="Times New Roman" w:eastAsia="Times New Roman"/>
          <w:color w:val="202020"/>
          <w:sz w:val="20"/>
        </w:rPr>
      </w:r>
    </w:p>
    <w:p>
      <w:pPr>
        <w:spacing w:after="0" w:before="0"/>
        <w:ind w:left="340"/>
        <w:shd w:val="clear" w:color="auto" w:fill="F2F2F2"/>
      </w:pPr>
      <w:r>
        <w:rPr>
          <w:rFonts w:ascii="Times New Roman" w:hAnsi="Times New Roman" w:cs="Times New Roman" w:eastAsia="Times New Roman"/>
          <w:color w:val="202020"/>
          <w:sz w:val="20"/>
        </w:rPr>
        <w:t>Valeur fonciere moyenne = DIVIDE ( [Valeur fonciere totale], [Nombre de mutations] )</w:t>
      </w:r>
    </w:p>
    <w:p>
      <w:pPr>
        <w:spacing w:after="0" w:before="0"/>
        <w:ind w:left="340"/>
        <w:shd w:val="clear" w:color="auto" w:fill="F2F2F2"/>
      </w:pPr>
      <w:r>
        <w:rPr>
          <w:rFonts w:ascii="Times New Roman" w:hAnsi="Times New Roman" w:cs="Times New Roman" w:eastAsia="Times New Roman"/>
          <w:color w:val="202020"/>
          <w:sz w:val="20"/>
        </w:rPr>
        <w:t>Prix moyen m2         = DIVIDE ( [Valeur fonciere totale], [Surface batie totale] )</w:t>
      </w:r>
    </w:p>
    <w:p>
      <w:pPr>
        <w:spacing w:after="80"/>
      </w:pPr>
    </w:p>
    <w:p>
      <w:pPr>
        <w:spacing w:after="120"/>
      </w:pPr>
      <w:r>
        <w:rPr>
          <w:rFonts w:ascii="Times New Roman" w:hAnsi="Times New Roman" w:cs="Times New Roman" w:eastAsia="Times New Roman"/>
          <w:b w:val="0"/>
          <w:i/>
          <w:sz w:val="21"/>
        </w:rPr>
        <w:t>La fonction AVERAGE (et non MAX) est utilisée volontairement : si la valeur n'est renseignée que sur une des lignes d'une mutation, la moyenne la retrouve au lieu de renvoyer 0.</w:t>
      </w:r>
    </w:p>
    <w:p>
      <w:pPr>
        <w:spacing w:after="120"/>
      </w:pPr>
      <w:r>
        <w:rPr>
          <w:rFonts w:ascii="Times New Roman" w:hAnsi="Times New Roman" w:cs="Times New Roman" w:eastAsia="Times New Roman"/>
          <w:b w:val="0"/>
          <w:i w:val="0"/>
          <w:sz w:val="21"/>
        </w:rPr>
        <w:t>C'est aussi la raison d'être de la table de faits agrégée : elle stocke la valeur correcte, une seule fois par mutation, et permet de contrôler la cohérence des deux tables de faits (§8.6).</w:t>
      </w:r>
    </w:p>
    <w:p>
      <w:pPr>
        <w:pStyle w:val="Heading1"/>
      </w:pPr>
      <w:r>
        <w:t>6. Les mesures DAX du modèle</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DCE6F1"/>
          </w:tcPr>
          <w:p>
            <w:pPr>
              <w:spacing w:after="40"/>
            </w:pPr>
            <w:r/>
            <w:r>
              <w:rPr>
                <w:rFonts w:ascii="Times New Roman" w:hAnsi="Times New Roman" w:cs="Times New Roman" w:eastAsia="Times New Roman"/>
                <w:b/>
                <w:color w:val="1F4E79"/>
                <w:sz w:val="18"/>
              </w:rPr>
              <w:t>Mesure</w:t>
            </w:r>
          </w:p>
        </w:tc>
        <w:tc>
          <w:tcPr>
            <w:tcW w:type="dxa" w:w="2041"/>
            <w:shd w:val="clear" w:color="auto" w:fill="DCE6F1"/>
          </w:tcPr>
          <w:p>
            <w:pPr>
              <w:spacing w:after="40"/>
            </w:pPr>
            <w:r/>
            <w:r>
              <w:rPr>
                <w:rFonts w:ascii="Times New Roman" w:hAnsi="Times New Roman" w:cs="Times New Roman" w:eastAsia="Times New Roman"/>
                <w:b/>
                <w:color w:val="1F4E79"/>
                <w:sz w:val="18"/>
              </w:rPr>
              <w:t>Table</w:t>
            </w:r>
          </w:p>
        </w:tc>
        <w:tc>
          <w:tcPr>
            <w:tcW w:type="dxa" w:w="5443"/>
            <w:shd w:val="clear" w:color="auto" w:fill="DCE6F1"/>
          </w:tcPr>
          <w:p>
            <w:pPr>
              <w:spacing w:after="40"/>
            </w:pPr>
            <w:r/>
            <w:r>
              <w:rPr>
                <w:rFonts w:ascii="Times New Roman" w:hAnsi="Times New Roman" w:cs="Times New Roman" w:eastAsia="Times New Roman"/>
                <w:b/>
                <w:color w:val="1F4E79"/>
                <w:sz w:val="18"/>
              </w:rPr>
              <w:t>Formule</w:t>
            </w:r>
          </w:p>
        </w:tc>
      </w:tr>
      <w:tr>
        <w:tc>
          <w:tcPr>
            <w:tcW w:type="dxa" w:w="2608"/>
          </w:tcPr>
          <w:p>
            <w:pPr>
              <w:spacing w:after="40"/>
            </w:pPr>
            <w:r/>
            <w:r>
              <w:rPr>
                <w:rFonts w:ascii="Times New Roman" w:hAnsi="Times New Roman" w:cs="Times New Roman" w:eastAsia="Times New Roman"/>
                <w:b w:val="0"/>
                <w:sz w:val="17"/>
              </w:rPr>
              <w:t>Nombre de mutations</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DISTINCTCOUNT(cle_mutation) - 2 558 598</w:t>
            </w:r>
          </w:p>
        </w:tc>
      </w:tr>
      <w:tr>
        <w:tc>
          <w:tcPr>
            <w:tcW w:type="dxa" w:w="2608"/>
          </w:tcPr>
          <w:p>
            <w:pPr>
              <w:spacing w:after="40"/>
            </w:pPr>
            <w:r/>
            <w:r>
              <w:rPr>
                <w:rFonts w:ascii="Times New Roman" w:hAnsi="Times New Roman" w:cs="Times New Roman" w:eastAsia="Times New Roman"/>
                <w:b w:val="0"/>
                <w:sz w:val="17"/>
              </w:rPr>
              <w:t>Valeur fonciere totale</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SUMX(VALUES(cle_mutation), CALCULATE(AVERAGE(valeur_fonciere)))</w:t>
            </w:r>
          </w:p>
        </w:tc>
      </w:tr>
      <w:tr>
        <w:tc>
          <w:tcPr>
            <w:tcW w:type="dxa" w:w="2608"/>
          </w:tcPr>
          <w:p>
            <w:pPr>
              <w:spacing w:after="40"/>
            </w:pPr>
            <w:r/>
            <w:r>
              <w:rPr>
                <w:rFonts w:ascii="Times New Roman" w:hAnsi="Times New Roman" w:cs="Times New Roman" w:eastAsia="Times New Roman"/>
                <w:b w:val="0"/>
                <w:sz w:val="17"/>
              </w:rPr>
              <w:t>Valeur fonciere moyenne</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DIVIDE([Valeur fonciere totale], [Nombre de mutations])</w:t>
            </w:r>
          </w:p>
        </w:tc>
      </w:tr>
      <w:tr>
        <w:tc>
          <w:tcPr>
            <w:tcW w:type="dxa" w:w="2608"/>
          </w:tcPr>
          <w:p>
            <w:pPr>
              <w:spacing w:after="40"/>
            </w:pPr>
            <w:r/>
            <w:r>
              <w:rPr>
                <w:rFonts w:ascii="Times New Roman" w:hAnsi="Times New Roman" w:cs="Times New Roman" w:eastAsia="Times New Roman"/>
                <w:b w:val="0"/>
                <w:sz w:val="17"/>
              </w:rPr>
              <w:t>Surface batie totale</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SUM(surface_reelle_bati)</w:t>
            </w:r>
          </w:p>
        </w:tc>
      </w:tr>
      <w:tr>
        <w:tc>
          <w:tcPr>
            <w:tcW w:type="dxa" w:w="2608"/>
          </w:tcPr>
          <w:p>
            <w:pPr>
              <w:spacing w:after="40"/>
            </w:pPr>
            <w:r/>
            <w:r>
              <w:rPr>
                <w:rFonts w:ascii="Times New Roman" w:hAnsi="Times New Roman" w:cs="Times New Roman" w:eastAsia="Times New Roman"/>
                <w:b w:val="0"/>
                <w:sz w:val="17"/>
              </w:rPr>
              <w:t>Surface terrain totale</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SUM(surface_terrain)</w:t>
            </w:r>
          </w:p>
        </w:tc>
      </w:tr>
      <w:tr>
        <w:tc>
          <w:tcPr>
            <w:tcW w:type="dxa" w:w="2608"/>
          </w:tcPr>
          <w:p>
            <w:pPr>
              <w:spacing w:after="40"/>
            </w:pPr>
            <w:r/>
            <w:r>
              <w:rPr>
                <w:rFonts w:ascii="Times New Roman" w:hAnsi="Times New Roman" w:cs="Times New Roman" w:eastAsia="Times New Roman"/>
                <w:b w:val="0"/>
                <w:sz w:val="17"/>
              </w:rPr>
              <w:t>Nombre de locaux</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COUNTROWS(fait_mutation)</w:t>
            </w:r>
          </w:p>
        </w:tc>
      </w:tr>
      <w:tr>
        <w:tc>
          <w:tcPr>
            <w:tcW w:type="dxa" w:w="2608"/>
          </w:tcPr>
          <w:p>
            <w:pPr>
              <w:spacing w:after="40"/>
            </w:pPr>
            <w:r/>
            <w:r>
              <w:rPr>
                <w:rFonts w:ascii="Times New Roman" w:hAnsi="Times New Roman" w:cs="Times New Roman" w:eastAsia="Times New Roman"/>
                <w:b w:val="0"/>
                <w:sz w:val="17"/>
              </w:rPr>
              <w:t>Prix moyen m2</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DIVIDE([Valeur fonciere totale], [Surface batie totale])</w:t>
            </w:r>
          </w:p>
        </w:tc>
      </w:tr>
      <w:tr>
        <w:tc>
          <w:tcPr>
            <w:tcW w:type="dxa" w:w="2608"/>
          </w:tcPr>
          <w:p>
            <w:pPr>
              <w:spacing w:after="40"/>
            </w:pPr>
            <w:r/>
            <w:r>
              <w:rPr>
                <w:rFonts w:ascii="Times New Roman" w:hAnsi="Times New Roman" w:cs="Times New Roman" w:eastAsia="Times New Roman"/>
                <w:b w:val="0"/>
                <w:sz w:val="17"/>
              </w:rPr>
              <w:t>Prix moyen m2 habitation</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DIVIDE(valeur des maisons et appartements, surface bâtie des maisons et appartements)</w:t>
            </w:r>
          </w:p>
        </w:tc>
      </w:tr>
      <w:tr>
        <w:tc>
          <w:tcPr>
            <w:tcW w:type="dxa" w:w="2608"/>
          </w:tcPr>
          <w:p>
            <w:pPr>
              <w:spacing w:after="40"/>
            </w:pPr>
            <w:r/>
            <w:r>
              <w:rPr>
                <w:rFonts w:ascii="Times New Roman" w:hAnsi="Times New Roman" w:cs="Times New Roman" w:eastAsia="Times New Roman"/>
                <w:b w:val="0"/>
                <w:sz w:val="17"/>
              </w:rPr>
              <w:t>Prix moyen m2 terrain</w:t>
            </w:r>
          </w:p>
        </w:tc>
        <w:tc>
          <w:tcPr>
            <w:tcW w:type="dxa" w:w="2041"/>
          </w:tcPr>
          <w:p>
            <w:pPr>
              <w:spacing w:after="40"/>
            </w:pPr>
            <w:r/>
            <w:r>
              <w:rPr>
                <w:rFonts w:ascii="Times New Roman" w:hAnsi="Times New Roman" w:cs="Times New Roman" w:eastAsia="Times New Roman"/>
                <w:sz w:val="17"/>
              </w:rPr>
              <w:t>fait_mutation</w:t>
            </w:r>
          </w:p>
        </w:tc>
        <w:tc>
          <w:tcPr>
            <w:tcW w:type="dxa" w:w="5443"/>
          </w:tcPr>
          <w:p>
            <w:pPr>
              <w:spacing w:after="40"/>
            </w:pPr>
            <w:r/>
            <w:r>
              <w:rPr>
                <w:rFonts w:ascii="Times New Roman" w:hAnsi="Times New Roman" w:cs="Times New Roman" w:eastAsia="Times New Roman"/>
                <w:sz w:val="17"/>
              </w:rPr>
              <w:t>DIVIDE(valeur des terrains, surface de terrain)</w:t>
            </w:r>
          </w:p>
        </w:tc>
      </w:tr>
      <w:tr>
        <w:tc>
          <w:tcPr>
            <w:tcW w:type="dxa" w:w="2608"/>
          </w:tcPr>
          <w:p>
            <w:pPr>
              <w:spacing w:after="40"/>
            </w:pPr>
            <w:r/>
            <w:r>
              <w:rPr>
                <w:rFonts w:ascii="Times New Roman" w:hAnsi="Times New Roman" w:cs="Times New Roman" w:eastAsia="Times New Roman"/>
                <w:b w:val="0"/>
                <w:sz w:val="17"/>
              </w:rPr>
              <w:t>Nb mutations agrege</w:t>
            </w:r>
          </w:p>
        </w:tc>
        <w:tc>
          <w:tcPr>
            <w:tcW w:type="dxa" w:w="2041"/>
          </w:tcPr>
          <w:p>
            <w:pPr>
              <w:spacing w:after="40"/>
            </w:pPr>
            <w:r/>
            <w:r>
              <w:rPr>
                <w:rFonts w:ascii="Times New Roman" w:hAnsi="Times New Roman" w:cs="Times New Roman" w:eastAsia="Times New Roman"/>
                <w:sz w:val="17"/>
              </w:rPr>
              <w:t>fait_marche_agrege</w:t>
            </w:r>
          </w:p>
        </w:tc>
        <w:tc>
          <w:tcPr>
            <w:tcW w:type="dxa" w:w="5443"/>
          </w:tcPr>
          <w:p>
            <w:pPr>
              <w:spacing w:after="40"/>
            </w:pPr>
            <w:r/>
            <w:r>
              <w:rPr>
                <w:rFonts w:ascii="Times New Roman" w:hAnsi="Times New Roman" w:cs="Times New Roman" w:eastAsia="Times New Roman"/>
                <w:sz w:val="17"/>
              </w:rPr>
              <w:t>SUM(nombre_de_mutations)</w:t>
            </w:r>
          </w:p>
        </w:tc>
      </w:tr>
      <w:tr>
        <w:tc>
          <w:tcPr>
            <w:tcW w:type="dxa" w:w="2608"/>
          </w:tcPr>
          <w:p>
            <w:pPr>
              <w:spacing w:after="40"/>
            </w:pPr>
            <w:r/>
            <w:r>
              <w:rPr>
                <w:rFonts w:ascii="Times New Roman" w:hAnsi="Times New Roman" w:cs="Times New Roman" w:eastAsia="Times New Roman"/>
                <w:b w:val="0"/>
                <w:sz w:val="17"/>
              </w:rPr>
              <w:t>Nb locaux agrege</w:t>
            </w:r>
          </w:p>
        </w:tc>
        <w:tc>
          <w:tcPr>
            <w:tcW w:type="dxa" w:w="2041"/>
          </w:tcPr>
          <w:p>
            <w:pPr>
              <w:spacing w:after="40"/>
            </w:pPr>
            <w:r/>
            <w:r>
              <w:rPr>
                <w:rFonts w:ascii="Times New Roman" w:hAnsi="Times New Roman" w:cs="Times New Roman" w:eastAsia="Times New Roman"/>
                <w:sz w:val="17"/>
              </w:rPr>
              <w:t>fait_marche_agrege</w:t>
            </w:r>
          </w:p>
        </w:tc>
        <w:tc>
          <w:tcPr>
            <w:tcW w:type="dxa" w:w="5443"/>
          </w:tcPr>
          <w:p>
            <w:pPr>
              <w:spacing w:after="40"/>
            </w:pPr>
            <w:r/>
            <w:r>
              <w:rPr>
                <w:rFonts w:ascii="Times New Roman" w:hAnsi="Times New Roman" w:cs="Times New Roman" w:eastAsia="Times New Roman"/>
                <w:sz w:val="17"/>
              </w:rPr>
              <w:t>SUM(nombre_de_locaux)</w:t>
            </w:r>
          </w:p>
        </w:tc>
      </w:tr>
      <w:tr>
        <w:tc>
          <w:tcPr>
            <w:tcW w:type="dxa" w:w="2608"/>
          </w:tcPr>
          <w:p>
            <w:pPr>
              <w:spacing w:after="40"/>
            </w:pPr>
            <w:r/>
            <w:r>
              <w:rPr>
                <w:rFonts w:ascii="Times New Roman" w:hAnsi="Times New Roman" w:cs="Times New Roman" w:eastAsia="Times New Roman"/>
                <w:b w:val="0"/>
                <w:sz w:val="17"/>
              </w:rPr>
              <w:t>Valeur agregee</w:t>
            </w:r>
          </w:p>
        </w:tc>
        <w:tc>
          <w:tcPr>
            <w:tcW w:type="dxa" w:w="2041"/>
          </w:tcPr>
          <w:p>
            <w:pPr>
              <w:spacing w:after="40"/>
            </w:pPr>
            <w:r/>
            <w:r>
              <w:rPr>
                <w:rFonts w:ascii="Times New Roman" w:hAnsi="Times New Roman" w:cs="Times New Roman" w:eastAsia="Times New Roman"/>
                <w:sz w:val="17"/>
              </w:rPr>
              <w:t>fait_marche_agrege</w:t>
            </w:r>
          </w:p>
        </w:tc>
        <w:tc>
          <w:tcPr>
            <w:tcW w:type="dxa" w:w="5443"/>
          </w:tcPr>
          <w:p>
            <w:pPr>
              <w:spacing w:after="40"/>
            </w:pPr>
            <w:r/>
            <w:r>
              <w:rPr>
                <w:rFonts w:ascii="Times New Roman" w:hAnsi="Times New Roman" w:cs="Times New Roman" w:eastAsia="Times New Roman"/>
                <w:sz w:val="17"/>
              </w:rPr>
              <w:t>SUM(valeur_fonciere_totale)</w:t>
            </w:r>
          </w:p>
        </w:tc>
      </w:tr>
      <w:tr>
        <w:tc>
          <w:tcPr>
            <w:tcW w:type="dxa" w:w="2608"/>
          </w:tcPr>
          <w:p>
            <w:pPr>
              <w:spacing w:after="40"/>
            </w:pPr>
            <w:r/>
            <w:r>
              <w:rPr>
                <w:rFonts w:ascii="Times New Roman" w:hAnsi="Times New Roman" w:cs="Times New Roman" w:eastAsia="Times New Roman"/>
                <w:b w:val="0"/>
                <w:sz w:val="17"/>
              </w:rPr>
              <w:t>Valeur moyenne agregee</w:t>
            </w:r>
          </w:p>
        </w:tc>
        <w:tc>
          <w:tcPr>
            <w:tcW w:type="dxa" w:w="2041"/>
          </w:tcPr>
          <w:p>
            <w:pPr>
              <w:spacing w:after="40"/>
            </w:pPr>
            <w:r/>
            <w:r>
              <w:rPr>
                <w:rFonts w:ascii="Times New Roman" w:hAnsi="Times New Roman" w:cs="Times New Roman" w:eastAsia="Times New Roman"/>
                <w:sz w:val="17"/>
              </w:rPr>
              <w:t>fait_marche_agrege</w:t>
            </w:r>
          </w:p>
        </w:tc>
        <w:tc>
          <w:tcPr>
            <w:tcW w:type="dxa" w:w="5443"/>
          </w:tcPr>
          <w:p>
            <w:pPr>
              <w:spacing w:after="40"/>
            </w:pPr>
            <w:r/>
            <w:r>
              <w:rPr>
                <w:rFonts w:ascii="Times New Roman" w:hAnsi="Times New Roman" w:cs="Times New Roman" w:eastAsia="Times New Roman"/>
                <w:sz w:val="17"/>
              </w:rPr>
              <w:t>DIVIDE([Valeur agregee], [Nb mutations agrege])</w:t>
            </w:r>
          </w:p>
        </w:tc>
      </w:tr>
      <w:tr>
        <w:tc>
          <w:tcPr>
            <w:tcW w:type="dxa" w:w="2608"/>
          </w:tcPr>
          <w:p>
            <w:pPr>
              <w:spacing w:after="40"/>
            </w:pPr>
            <w:r/>
            <w:r>
              <w:rPr>
                <w:rFonts w:ascii="Times New Roman" w:hAnsi="Times New Roman" w:cs="Times New Roman" w:eastAsia="Times New Roman"/>
                <w:b w:val="0"/>
                <w:sz w:val="17"/>
              </w:rPr>
              <w:t>Surface agregee</w:t>
            </w:r>
          </w:p>
        </w:tc>
        <w:tc>
          <w:tcPr>
            <w:tcW w:type="dxa" w:w="2041"/>
          </w:tcPr>
          <w:p>
            <w:pPr>
              <w:spacing w:after="40"/>
            </w:pPr>
            <w:r/>
            <w:r>
              <w:rPr>
                <w:rFonts w:ascii="Times New Roman" w:hAnsi="Times New Roman" w:cs="Times New Roman" w:eastAsia="Times New Roman"/>
                <w:sz w:val="17"/>
              </w:rPr>
              <w:t>fait_marche_agrege</w:t>
            </w:r>
          </w:p>
        </w:tc>
        <w:tc>
          <w:tcPr>
            <w:tcW w:type="dxa" w:w="5443"/>
          </w:tcPr>
          <w:p>
            <w:pPr>
              <w:spacing w:after="40"/>
            </w:pPr>
            <w:r/>
            <w:r>
              <w:rPr>
                <w:rFonts w:ascii="Times New Roman" w:hAnsi="Times New Roman" w:cs="Times New Roman" w:eastAsia="Times New Roman"/>
                <w:sz w:val="17"/>
              </w:rPr>
              <w:t>SUM(surface_batie_totale)</w:t>
            </w:r>
          </w:p>
        </w:tc>
      </w:tr>
      <w:tr>
        <w:tc>
          <w:tcPr>
            <w:tcW w:type="dxa" w:w="2608"/>
          </w:tcPr>
          <w:p>
            <w:pPr>
              <w:spacing w:after="40"/>
            </w:pPr>
            <w:r/>
            <w:r>
              <w:rPr>
                <w:rFonts w:ascii="Times New Roman" w:hAnsi="Times New Roman" w:cs="Times New Roman" w:eastAsia="Times New Roman"/>
                <w:b w:val="0"/>
                <w:sz w:val="17"/>
              </w:rPr>
              <w:t>Prix moyen m2 agrege</w:t>
            </w:r>
          </w:p>
        </w:tc>
        <w:tc>
          <w:tcPr>
            <w:tcW w:type="dxa" w:w="2041"/>
          </w:tcPr>
          <w:p>
            <w:pPr>
              <w:spacing w:after="40"/>
            </w:pPr>
            <w:r/>
            <w:r>
              <w:rPr>
                <w:rFonts w:ascii="Times New Roman" w:hAnsi="Times New Roman" w:cs="Times New Roman" w:eastAsia="Times New Roman"/>
                <w:sz w:val="17"/>
              </w:rPr>
              <w:t>fait_marche_agrege</w:t>
            </w:r>
          </w:p>
        </w:tc>
        <w:tc>
          <w:tcPr>
            <w:tcW w:type="dxa" w:w="5443"/>
          </w:tcPr>
          <w:p>
            <w:pPr>
              <w:spacing w:after="40"/>
            </w:pPr>
            <w:r/>
            <w:r>
              <w:rPr>
                <w:rFonts w:ascii="Times New Roman" w:hAnsi="Times New Roman" w:cs="Times New Roman" w:eastAsia="Times New Roman"/>
                <w:sz w:val="17"/>
              </w:rPr>
              <w:t>DIVIDE([Valeur agregee], [Surface agregee])</w:t>
            </w:r>
          </w:p>
        </w:tc>
      </w:tr>
    </w:tbl>
    <w:p>
      <w:pPr>
        <w:spacing w:after="40"/>
      </w:pPr>
    </w:p>
    <w:p>
      <w:pPr>
        <w:spacing w:after="120"/>
      </w:pPr>
      <w:r>
        <w:rPr>
          <w:rFonts w:ascii="Times New Roman" w:hAnsi="Times New Roman" w:cs="Times New Roman" w:eastAsia="Times New Roman"/>
          <w:b w:val="0"/>
          <w:i w:val="0"/>
          <w:sz w:val="21"/>
        </w:rPr>
        <w:t>Les deux mesures Prix moyen m2 habitation et Prix moyen m2 terrain ont été ajoutées pour répondre au §9.1 : elles distinguent les logements (maisons et appartements, pour lesquels la surface bâtie est renseignée) des terrains (pour lesquels seule la surface de terrain existe).</w:t>
      </w:r>
    </w:p>
    <w:p>
      <w:pPr>
        <w:pStyle w:val="Heading1"/>
      </w:pPr>
      <w:r>
        <w:t>7. Le rapport Power BI</w:t>
      </w:r>
    </w:p>
    <w:p>
      <w:pPr>
        <w:pStyle w:val="Heading2"/>
      </w:pPr>
      <w:r>
        <w:t>7.1 Quatre pages, une par année</w:t>
      </w:r>
    </w:p>
    <w:p>
      <w:pPr>
        <w:spacing w:after="120"/>
      </w:pPr>
      <w:r>
        <w:rPr>
          <w:rFonts w:ascii="Times New Roman" w:hAnsi="Times New Roman" w:cs="Times New Roman" w:eastAsia="Times New Roman"/>
          <w:b w:val="0"/>
          <w:i w:val="0"/>
          <w:sz w:val="21"/>
        </w:rPr>
        <w:t>Le rapport comporte quatre pages. Chaque page porte un filtre de page sur dim_temps[annee] (sélection « est » sur une seule valeur, par exemple 2025) : toutes les analyses de la page sont donc déjà restreintes à son année, et les deux années ne sont jamais mélangées dans la même matrice.</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2041"/>
            <w:shd w:val="clear" w:color="auto" w:fill="DCE6F1"/>
          </w:tcPr>
          <w:p>
            <w:pPr>
              <w:spacing w:after="40"/>
            </w:pPr>
            <w:r/>
            <w:r>
              <w:rPr>
                <w:rFonts w:ascii="Times New Roman" w:hAnsi="Times New Roman" w:cs="Times New Roman" w:eastAsia="Times New Roman"/>
                <w:b/>
                <w:color w:val="1F4E79"/>
                <w:sz w:val="18"/>
              </w:rPr>
              <w:t>Page</w:t>
            </w:r>
          </w:p>
        </w:tc>
        <w:tc>
          <w:tcPr>
            <w:tcW w:type="dxa" w:w="1928"/>
            <w:shd w:val="clear" w:color="auto" w:fill="DCE6F1"/>
          </w:tcPr>
          <w:p>
            <w:pPr>
              <w:spacing w:after="40"/>
            </w:pPr>
            <w:r/>
            <w:r>
              <w:rPr>
                <w:rFonts w:ascii="Times New Roman" w:hAnsi="Times New Roman" w:cs="Times New Roman" w:eastAsia="Times New Roman"/>
                <w:b/>
                <w:color w:val="1F4E79"/>
                <w:sz w:val="18"/>
              </w:rPr>
              <w:t>Table de faits</w:t>
            </w:r>
          </w:p>
        </w:tc>
        <w:tc>
          <w:tcPr>
            <w:tcW w:type="dxa" w:w="2041"/>
            <w:shd w:val="clear" w:color="auto" w:fill="DCE6F1"/>
          </w:tcPr>
          <w:p>
            <w:pPr>
              <w:spacing w:after="40"/>
            </w:pPr>
            <w:r/>
            <w:r>
              <w:rPr>
                <w:rFonts w:ascii="Times New Roman" w:hAnsi="Times New Roman" w:cs="Times New Roman" w:eastAsia="Times New Roman"/>
                <w:b/>
                <w:color w:val="1F4E79"/>
                <w:sz w:val="18"/>
              </w:rPr>
              <w:t>Lignes (axe 1)</w:t>
            </w:r>
          </w:p>
        </w:tc>
        <w:tc>
          <w:tcPr>
            <w:tcW w:type="dxa" w:w="2608"/>
            <w:shd w:val="clear" w:color="auto" w:fill="DCE6F1"/>
          </w:tcPr>
          <w:p>
            <w:pPr>
              <w:spacing w:after="40"/>
            </w:pPr>
            <w:r/>
            <w:r>
              <w:rPr>
                <w:rFonts w:ascii="Times New Roman" w:hAnsi="Times New Roman" w:cs="Times New Roman" w:eastAsia="Times New Roman"/>
                <w:b/>
                <w:color w:val="1F4E79"/>
                <w:sz w:val="18"/>
              </w:rPr>
              <w:t>Valeurs</w:t>
            </w:r>
          </w:p>
        </w:tc>
        <w:tc>
          <w:tcPr>
            <w:tcW w:type="dxa" w:w="1361"/>
            <w:shd w:val="clear" w:color="auto" w:fill="DCE6F1"/>
          </w:tcPr>
          <w:p>
            <w:pPr>
              <w:spacing w:after="40"/>
            </w:pPr>
            <w:r/>
            <w:r>
              <w:rPr>
                <w:rFonts w:ascii="Times New Roman" w:hAnsi="Times New Roman" w:cs="Times New Roman" w:eastAsia="Times New Roman"/>
                <w:b/>
                <w:color w:val="1F4E79"/>
                <w:sz w:val="18"/>
              </w:rPr>
              <w:t>Filtre de page</w:t>
            </w:r>
          </w:p>
        </w:tc>
      </w:tr>
      <w:tr>
        <w:tc>
          <w:tcPr>
            <w:tcW w:type="dxa" w:w="2041"/>
          </w:tcPr>
          <w:p>
            <w:pPr>
              <w:spacing w:after="40"/>
            </w:pPr>
            <w:r/>
            <w:r>
              <w:rPr>
                <w:rFonts w:ascii="Times New Roman" w:hAnsi="Times New Roman" w:cs="Times New Roman" w:eastAsia="Times New Roman"/>
                <w:b w:val="0"/>
                <w:sz w:val="17"/>
              </w:rPr>
              <w:t>Marché immobilier 2025</w:t>
            </w:r>
          </w:p>
        </w:tc>
        <w:tc>
          <w:tcPr>
            <w:tcW w:type="dxa" w:w="1928"/>
          </w:tcPr>
          <w:p>
            <w:pPr>
              <w:spacing w:after="40"/>
            </w:pPr>
            <w:r/>
            <w:r>
              <w:rPr>
                <w:rFonts w:ascii="Times New Roman" w:hAnsi="Times New Roman" w:cs="Times New Roman" w:eastAsia="Times New Roman"/>
                <w:sz w:val="17"/>
              </w:rPr>
              <w:t>fait_mutation (détaillée)</w:t>
            </w:r>
          </w:p>
        </w:tc>
        <w:tc>
          <w:tcPr>
            <w:tcW w:type="dxa" w:w="2041"/>
          </w:tcPr>
          <w:p>
            <w:pPr>
              <w:spacing w:after="40"/>
            </w:pPr>
            <w:r/>
            <w:r>
              <w:rPr>
                <w:rFonts w:ascii="Times New Roman" w:hAnsi="Times New Roman" w:cs="Times New Roman" w:eastAsia="Times New Roman"/>
                <w:sz w:val="17"/>
              </w:rPr>
              <w:t>dim_commune[commune]</w:t>
            </w:r>
          </w:p>
        </w:tc>
        <w:tc>
          <w:tcPr>
            <w:tcW w:type="dxa" w:w="2608"/>
          </w:tcPr>
          <w:p>
            <w:pPr>
              <w:spacing w:after="40"/>
            </w:pPr>
            <w:r/>
            <w:r>
              <w:rPr>
                <w:rFonts w:ascii="Times New Roman" w:hAnsi="Times New Roman" w:cs="Times New Roman" w:eastAsia="Times New Roman"/>
                <w:sz w:val="17"/>
              </w:rPr>
              <w:t>Nombre de mutations, Valeur fonciere totale, Prix moyen m2, Prix moyen m2 habitation, Prix moyen m2 terrain</w:t>
            </w:r>
          </w:p>
        </w:tc>
        <w:tc>
          <w:tcPr>
            <w:tcW w:type="dxa" w:w="1361"/>
          </w:tcPr>
          <w:p>
            <w:pPr>
              <w:spacing w:after="40"/>
            </w:pPr>
            <w:r/>
            <w:r>
              <w:rPr>
                <w:rFonts w:ascii="Times New Roman" w:hAnsi="Times New Roman" w:cs="Times New Roman" w:eastAsia="Times New Roman"/>
                <w:sz w:val="17"/>
              </w:rPr>
              <w:t>annee = 2025</w:t>
            </w:r>
          </w:p>
        </w:tc>
      </w:tr>
      <w:tr>
        <w:tc>
          <w:tcPr>
            <w:tcW w:type="dxa" w:w="2041"/>
          </w:tcPr>
          <w:p>
            <w:pPr>
              <w:spacing w:after="40"/>
            </w:pPr>
            <w:r/>
            <w:r>
              <w:rPr>
                <w:rFonts w:ascii="Times New Roman" w:hAnsi="Times New Roman" w:cs="Times New Roman" w:eastAsia="Times New Roman"/>
                <w:b w:val="0"/>
                <w:sz w:val="17"/>
              </w:rPr>
              <w:t>Marché par région et département 2025</w:t>
            </w:r>
          </w:p>
        </w:tc>
        <w:tc>
          <w:tcPr>
            <w:tcW w:type="dxa" w:w="1928"/>
          </w:tcPr>
          <w:p>
            <w:pPr>
              <w:spacing w:after="40"/>
            </w:pPr>
            <w:r/>
            <w:r>
              <w:rPr>
                <w:rFonts w:ascii="Times New Roman" w:hAnsi="Times New Roman" w:cs="Times New Roman" w:eastAsia="Times New Roman"/>
                <w:sz w:val="17"/>
              </w:rPr>
              <w:t>fait_marche_agrege (agrégée)</w:t>
            </w:r>
          </w:p>
        </w:tc>
        <w:tc>
          <w:tcPr>
            <w:tcW w:type="dxa" w:w="2041"/>
          </w:tcPr>
          <w:p>
            <w:pPr>
              <w:spacing w:after="40"/>
            </w:pPr>
            <w:r/>
            <w:r>
              <w:rPr>
                <w:rFonts w:ascii="Times New Roman" w:hAnsi="Times New Roman" w:cs="Times New Roman" w:eastAsia="Times New Roman"/>
                <w:sz w:val="17"/>
              </w:rPr>
              <w:t>dim_region[nom_region] puis dim_departement[nom_departement]</w:t>
            </w:r>
          </w:p>
        </w:tc>
        <w:tc>
          <w:tcPr>
            <w:tcW w:type="dxa" w:w="2608"/>
          </w:tcPr>
          <w:p>
            <w:pPr>
              <w:spacing w:after="40"/>
            </w:pPr>
            <w:r/>
            <w:r>
              <w:rPr>
                <w:rFonts w:ascii="Times New Roman" w:hAnsi="Times New Roman" w:cs="Times New Roman" w:eastAsia="Times New Roman"/>
                <w:sz w:val="17"/>
              </w:rPr>
              <w:t>Nb mutations agrege, Valeur agregee, Prix moyen m2 agrege</w:t>
            </w:r>
          </w:p>
        </w:tc>
        <w:tc>
          <w:tcPr>
            <w:tcW w:type="dxa" w:w="1361"/>
          </w:tcPr>
          <w:p>
            <w:pPr>
              <w:spacing w:after="40"/>
            </w:pPr>
            <w:r/>
            <w:r>
              <w:rPr>
                <w:rFonts w:ascii="Times New Roman" w:hAnsi="Times New Roman" w:cs="Times New Roman" w:eastAsia="Times New Roman"/>
                <w:sz w:val="17"/>
              </w:rPr>
              <w:t>annee = 2025</w:t>
            </w:r>
          </w:p>
        </w:tc>
      </w:tr>
      <w:tr>
        <w:tc>
          <w:tcPr>
            <w:tcW w:type="dxa" w:w="2041"/>
          </w:tcPr>
          <w:p>
            <w:pPr>
              <w:spacing w:after="40"/>
            </w:pPr>
            <w:r/>
            <w:r>
              <w:rPr>
                <w:rFonts w:ascii="Times New Roman" w:hAnsi="Times New Roman" w:cs="Times New Roman" w:eastAsia="Times New Roman"/>
                <w:b w:val="0"/>
                <w:sz w:val="17"/>
              </w:rPr>
              <w:t>Marché immobilier 2024</w:t>
            </w:r>
          </w:p>
        </w:tc>
        <w:tc>
          <w:tcPr>
            <w:tcW w:type="dxa" w:w="1928"/>
          </w:tcPr>
          <w:p>
            <w:pPr>
              <w:spacing w:after="40"/>
            </w:pPr>
            <w:r/>
            <w:r>
              <w:rPr>
                <w:rFonts w:ascii="Times New Roman" w:hAnsi="Times New Roman" w:cs="Times New Roman" w:eastAsia="Times New Roman"/>
                <w:sz w:val="17"/>
              </w:rPr>
              <w:t>fait_mutation (détaillée)</w:t>
            </w:r>
          </w:p>
        </w:tc>
        <w:tc>
          <w:tcPr>
            <w:tcW w:type="dxa" w:w="2041"/>
          </w:tcPr>
          <w:p>
            <w:pPr>
              <w:spacing w:after="40"/>
            </w:pPr>
            <w:r/>
            <w:r>
              <w:rPr>
                <w:rFonts w:ascii="Times New Roman" w:hAnsi="Times New Roman" w:cs="Times New Roman" w:eastAsia="Times New Roman"/>
                <w:sz w:val="17"/>
              </w:rPr>
              <w:t>dim_commune[commune]</w:t>
            </w:r>
          </w:p>
        </w:tc>
        <w:tc>
          <w:tcPr>
            <w:tcW w:type="dxa" w:w="2608"/>
          </w:tcPr>
          <w:p>
            <w:pPr>
              <w:spacing w:after="40"/>
            </w:pPr>
            <w:r/>
            <w:r>
              <w:rPr>
                <w:rFonts w:ascii="Times New Roman" w:hAnsi="Times New Roman" w:cs="Times New Roman" w:eastAsia="Times New Roman"/>
                <w:sz w:val="17"/>
              </w:rPr>
              <w:t>idem page 1</w:t>
            </w:r>
          </w:p>
        </w:tc>
        <w:tc>
          <w:tcPr>
            <w:tcW w:type="dxa" w:w="1361"/>
          </w:tcPr>
          <w:p>
            <w:pPr>
              <w:spacing w:after="40"/>
            </w:pPr>
            <w:r/>
            <w:r>
              <w:rPr>
                <w:rFonts w:ascii="Times New Roman" w:hAnsi="Times New Roman" w:cs="Times New Roman" w:eastAsia="Times New Roman"/>
                <w:sz w:val="17"/>
              </w:rPr>
              <w:t>annee = 2024</w:t>
            </w:r>
          </w:p>
        </w:tc>
      </w:tr>
      <w:tr>
        <w:tc>
          <w:tcPr>
            <w:tcW w:type="dxa" w:w="2041"/>
          </w:tcPr>
          <w:p>
            <w:pPr>
              <w:spacing w:after="40"/>
            </w:pPr>
            <w:r/>
            <w:r>
              <w:rPr>
                <w:rFonts w:ascii="Times New Roman" w:hAnsi="Times New Roman" w:cs="Times New Roman" w:eastAsia="Times New Roman"/>
                <w:b w:val="0"/>
                <w:sz w:val="17"/>
              </w:rPr>
              <w:t>Marché par région et département 2024</w:t>
            </w:r>
          </w:p>
        </w:tc>
        <w:tc>
          <w:tcPr>
            <w:tcW w:type="dxa" w:w="1928"/>
          </w:tcPr>
          <w:p>
            <w:pPr>
              <w:spacing w:after="40"/>
            </w:pPr>
            <w:r/>
            <w:r>
              <w:rPr>
                <w:rFonts w:ascii="Times New Roman" w:hAnsi="Times New Roman" w:cs="Times New Roman" w:eastAsia="Times New Roman"/>
                <w:sz w:val="17"/>
              </w:rPr>
              <w:t>fait_marche_agrege (agrégée)</w:t>
            </w:r>
          </w:p>
        </w:tc>
        <w:tc>
          <w:tcPr>
            <w:tcW w:type="dxa" w:w="2041"/>
          </w:tcPr>
          <w:p>
            <w:pPr>
              <w:spacing w:after="40"/>
            </w:pPr>
            <w:r/>
            <w:r>
              <w:rPr>
                <w:rFonts w:ascii="Times New Roman" w:hAnsi="Times New Roman" w:cs="Times New Roman" w:eastAsia="Times New Roman"/>
                <w:sz w:val="17"/>
              </w:rPr>
              <w:t>dim_region[nom_region] puis dim_departement[nom_departement]</w:t>
            </w:r>
          </w:p>
        </w:tc>
        <w:tc>
          <w:tcPr>
            <w:tcW w:type="dxa" w:w="2608"/>
          </w:tcPr>
          <w:p>
            <w:pPr>
              <w:spacing w:after="40"/>
            </w:pPr>
            <w:r/>
            <w:r>
              <w:rPr>
                <w:rFonts w:ascii="Times New Roman" w:hAnsi="Times New Roman" w:cs="Times New Roman" w:eastAsia="Times New Roman"/>
                <w:sz w:val="17"/>
              </w:rPr>
              <w:t>idem page 2</w:t>
            </w:r>
          </w:p>
        </w:tc>
        <w:tc>
          <w:tcPr>
            <w:tcW w:type="dxa" w:w="1361"/>
          </w:tcPr>
          <w:p>
            <w:pPr>
              <w:spacing w:after="40"/>
            </w:pPr>
            <w:r/>
            <w:r>
              <w:rPr>
                <w:rFonts w:ascii="Times New Roman" w:hAnsi="Times New Roman" w:cs="Times New Roman" w:eastAsia="Times New Roman"/>
                <w:sz w:val="17"/>
              </w:rPr>
              <w:t>annee = 2024</w:t>
            </w:r>
          </w:p>
        </w:tc>
      </w:tr>
    </w:tbl>
    <w:p>
      <w:pPr>
        <w:spacing w:after="40"/>
      </w:pPr>
    </w:p>
    <w:p>
      <w:pPr>
        <w:pStyle w:val="Heading2"/>
      </w:pPr>
      <w:r>
        <w:t>7.2 Page « Marché immobilier 2025 » (table de faits détaillée)</w:t>
      </w:r>
    </w:p>
    <w:p>
      <w:pPr>
        <w:spacing w:after="40"/>
        <w:jc w:val="center"/>
      </w:pPr>
      <w:r>
        <w:drawing>
          <wp:inline xmlns:a="http://schemas.openxmlformats.org/drawingml/2006/main" xmlns:pic="http://schemas.openxmlformats.org/drawingml/2006/picture">
            <wp:extent cx="6035040" cy="2425697"/>
            <wp:docPr id="2" name="Picture 2"/>
            <wp:cNvGraphicFramePr>
              <a:graphicFrameLocks noChangeAspect="1"/>
            </wp:cNvGraphicFramePr>
            <a:graphic>
              <a:graphicData uri="http://schemas.openxmlformats.org/drawingml/2006/picture">
                <pic:pic>
                  <pic:nvPicPr>
                    <pic:cNvPr id="0" name="fig_page1_commune_2025.png"/>
                    <pic:cNvPicPr/>
                  </pic:nvPicPr>
                  <pic:blipFill>
                    <a:blip r:embed="rId11"/>
                    <a:stretch>
                      <a:fillRect/>
                    </a:stretch>
                  </pic:blipFill>
                  <pic:spPr>
                    <a:xfrm>
                      <a:off x="0" y="0"/>
                      <a:ext cx="6035040" cy="2425697"/>
                    </a:xfrm>
                    <a:prstGeom prst="rect"/>
                  </pic:spPr>
                </pic:pic>
              </a:graphicData>
            </a:graphic>
          </wp:inline>
        </w:drawing>
      </w:r>
    </w:p>
    <w:p>
      <w:pPr>
        <w:spacing w:after="200"/>
        <w:jc w:val="center"/>
      </w:pPr>
      <w:r>
        <w:rPr>
          <w:rFonts w:ascii="Times New Roman" w:hAnsi="Times New Roman" w:cs="Times New Roman" w:eastAsia="Times New Roman"/>
          <w:i/>
          <w:color w:val="595959"/>
          <w:sz w:val="17"/>
        </w:rPr>
        <w:t>Figure 2 - Matrice par commune, une ligne par commune : nombre de mutations, valeur foncière et prix au m² (page « Marché immobilier 2025 », filtre de page annee = 2025).</w:t>
      </w:r>
    </w:p>
    <w:p>
      <w:pPr>
        <w:spacing w:after="120"/>
      </w:pPr>
      <w:r>
        <w:rPr>
          <w:rFonts w:ascii="Times New Roman" w:hAnsi="Times New Roman" w:cs="Times New Roman" w:eastAsia="Times New Roman"/>
          <w:b/>
          <w:i w:val="0"/>
          <w:sz w:val="21"/>
        </w:rPr>
        <w:t xml:space="preserve">Lecture : </w:t>
      </w:r>
      <w:r>
        <w:rPr>
          <w:rFonts w:ascii="Times New Roman" w:hAnsi="Times New Roman" w:cs="Times New Roman" w:eastAsia="Times New Roman"/>
          <w:b w:val="0"/>
          <w:i w:val="0"/>
          <w:sz w:val="21"/>
        </w:rPr>
        <w:t>la matrice liste les communes de l'année 2025 (ABERE, ADON, AIBRE…), une ligne par commune, avec le nombre de mutations, la valeur foncière totale, le prix moyen au m² et les deux mesures de prix par type de bien. La colonne Total affichée par Power BI donne le total de l'année : 1 320 973 mutations pour 319 901 489 835 €, soit un prix moyen de 2 187,23 €/m² - ce qui correspond exactement au millésime 2025 du modèle. Le volet de droite liste les filtres de niveau visuel, tous laissés en « Tout » : la restriction à l'année 2025 est portée par le filtre de page, visible à l'écran dans la section « Filtres dans cette page » (figure 3).</w:t>
      </w:r>
    </w:p>
    <w:p>
      <w:pPr>
        <w:spacing w:after="120"/>
      </w:pPr>
      <w:r>
        <w:rPr>
          <w:rFonts w:ascii="Times New Roman" w:hAnsi="Times New Roman" w:cs="Times New Roman" w:eastAsia="Times New Roman"/>
          <w:b w:val="0"/>
          <w:i/>
          <w:sz w:val="21"/>
        </w:rPr>
        <w:t>Certaines cellules de prix au m² sont vides : ce n'est pas une erreur, voir §9.1.</w:t>
      </w:r>
    </w:p>
    <w:p>
      <w:pPr>
        <w:pStyle w:val="Heading2"/>
      </w:pPr>
      <w:r>
        <w:t>7.3 Page « Marché par région et département 2025 » (table de faits agrégée)</w:t>
      </w:r>
    </w:p>
    <w:p>
      <w:pPr>
        <w:spacing w:after="40"/>
        <w:jc w:val="center"/>
      </w:pPr>
      <w:r>
        <w:drawing>
          <wp:inline xmlns:a="http://schemas.openxmlformats.org/drawingml/2006/main" xmlns:pic="http://schemas.openxmlformats.org/drawingml/2006/picture">
            <wp:extent cx="6035040" cy="2425697"/>
            <wp:docPr id="3" name="Picture 3"/>
            <wp:cNvGraphicFramePr>
              <a:graphicFrameLocks noChangeAspect="1"/>
            </wp:cNvGraphicFramePr>
            <a:graphic>
              <a:graphicData uri="http://schemas.openxmlformats.org/drawingml/2006/picture">
                <pic:pic>
                  <pic:nvPicPr>
                    <pic:cNvPr id="0" name="fig_page2_region_dept_2025.png"/>
                    <pic:cNvPicPr/>
                  </pic:nvPicPr>
                  <pic:blipFill>
                    <a:blip r:embed="rId12"/>
                    <a:stretch>
                      <a:fillRect/>
                    </a:stretch>
                  </pic:blipFill>
                  <pic:spPr>
                    <a:xfrm>
                      <a:off x="0" y="0"/>
                      <a:ext cx="6035040" cy="2425697"/>
                    </a:xfrm>
                    <a:prstGeom prst="rect"/>
                  </pic:spPr>
                </pic:pic>
              </a:graphicData>
            </a:graphic>
          </wp:inline>
        </w:drawing>
      </w:r>
    </w:p>
    <w:p>
      <w:pPr>
        <w:spacing w:after="200"/>
        <w:jc w:val="center"/>
      </w:pPr>
      <w:r>
        <w:rPr>
          <w:rFonts w:ascii="Times New Roman" w:hAnsi="Times New Roman" w:cs="Times New Roman" w:eastAsia="Times New Roman"/>
          <w:i/>
          <w:color w:val="595959"/>
          <w:sz w:val="17"/>
        </w:rPr>
        <w:t>Figure 3 - Matrice des régions (avec ligne Total) et matrice des départements, sur la table de faits agrégée (page « Marché par région et département 2025 », filtre de page annee = 2025).</w:t>
      </w:r>
    </w:p>
    <w:p>
      <w:pPr>
        <w:spacing w:after="120"/>
      </w:pPr>
      <w:r>
        <w:rPr>
          <w:rFonts w:ascii="Times New Roman" w:hAnsi="Times New Roman" w:cs="Times New Roman" w:eastAsia="Times New Roman"/>
          <w:b/>
          <w:i w:val="0"/>
          <w:sz w:val="21"/>
        </w:rPr>
        <w:t xml:space="preserve">Lecture : </w:t>
      </w:r>
      <w:r>
        <w:rPr>
          <w:rFonts w:ascii="Times New Roman" w:hAnsi="Times New Roman" w:cs="Times New Roman" w:eastAsia="Times New Roman"/>
          <w:b w:val="0"/>
          <w:i w:val="0"/>
          <w:sz w:val="21"/>
        </w:rPr>
        <w:t>la première matrice agrège par région (Auvergne-Rhône-Alpes, Bourgogne-Franche-Comté, Bretagne…), la seconde descend au département (Ain, Aisne, Allier…). La ligne Total retrouve les 1 320 973 mutations et les 319 901 489 835 € de l'année 2025. Le volet de droite montre le filtre de page au niveau du rapport : « Filtres dans cette page - annee est 2025 ». La hiérarchie région → département → commune est directement exploitable : filtrer une région filtre ses départements puis ses communes.</w:t>
      </w:r>
    </w:p>
    <w:p>
      <w:pPr>
        <w:pStyle w:val="Heading2"/>
      </w:pPr>
      <w:r>
        <w:t>7.4 Les pages 2024</w:t>
      </w:r>
    </w:p>
    <w:p>
      <w:pPr>
        <w:spacing w:after="120"/>
      </w:pPr>
      <w:r>
        <w:rPr>
          <w:rFonts w:ascii="Times New Roman" w:hAnsi="Times New Roman" w:cs="Times New Roman" w:eastAsia="Times New Roman"/>
          <w:b w:val="0"/>
          <w:i w:val="0"/>
          <w:sz w:val="21"/>
        </w:rPr>
        <w:t>Les pages « Marché immobilier 2024 » et « Marché par région et département 2024 » sont la réplique exacte des figures 2 et 3 avec le filtre de page annee = 2024 : mêmes matrices, mêmes mesures, un autre millésime. La page de la table agrégée affiche alors la ligne Total suivante : 1 237 625 mutations et 285 013 446 757 € (voir §8.2 pour la comparaison des deux années).</w:t>
      </w:r>
    </w:p>
    <w:p>
      <w:pPr>
        <w:pStyle w:val="Heading1"/>
      </w:pPr>
      <w:r>
        <w:t>8. Résultats et chiffres de contrôle</w:t>
      </w:r>
    </w:p>
    <w:p>
      <w:pPr>
        <w:pStyle w:val="Heading2"/>
      </w:pPr>
      <w:r>
        <w:t>8.1 Vue globale 2024-2025</w:t>
      </w:r>
    </w:p>
    <w:tbl>
      <w:tblPr>
        <w:tblStyle w:val="TableGrid"/>
        <w:tblW w:type="auto" w:w="0"/>
        <w:jc w:val="center"/>
        <w:tblLook w:firstColumn="1" w:firstRow="1" w:lastColumn="0" w:lastRow="0" w:noHBand="0" w:noVBand="1" w:val="04A0"/>
      </w:tblPr>
      <w:tblGrid>
        <w:gridCol w:w="4929"/>
        <w:gridCol w:w="4929"/>
      </w:tblGrid>
      <w:tr>
        <w:tc>
          <w:tcPr>
            <w:tcW w:type="dxa" w:w="4535"/>
            <w:shd w:val="clear" w:color="auto" w:fill="DCE6F1"/>
          </w:tcPr>
          <w:p>
            <w:pPr>
              <w:spacing w:after="40"/>
            </w:pPr>
            <w:r/>
            <w:r>
              <w:rPr>
                <w:rFonts w:ascii="Times New Roman" w:hAnsi="Times New Roman" w:cs="Times New Roman" w:eastAsia="Times New Roman"/>
                <w:b/>
                <w:color w:val="1F4E79"/>
                <w:sz w:val="19"/>
              </w:rPr>
              <w:t>Indicateur</w:t>
            </w:r>
          </w:p>
        </w:tc>
        <w:tc>
          <w:tcPr>
            <w:tcW w:type="dxa" w:w="3969"/>
            <w:shd w:val="clear" w:color="auto" w:fill="DCE6F1"/>
          </w:tcPr>
          <w:p>
            <w:pPr>
              <w:spacing w:after="40"/>
            </w:pPr>
            <w:r/>
            <w:r>
              <w:rPr>
                <w:rFonts w:ascii="Times New Roman" w:hAnsi="Times New Roman" w:cs="Times New Roman" w:eastAsia="Times New Roman"/>
                <w:b/>
                <w:color w:val="1F4E79"/>
                <w:sz w:val="19"/>
              </w:rPr>
              <w:t>Valeur (2024-2025)</w:t>
            </w:r>
          </w:p>
        </w:tc>
      </w:tr>
      <w:tr>
        <w:tc>
          <w:tcPr>
            <w:tcW w:type="dxa" w:w="4535"/>
          </w:tcPr>
          <w:p>
            <w:pPr>
              <w:spacing w:after="40"/>
            </w:pPr>
            <w:r/>
            <w:r>
              <w:rPr>
                <w:rFonts w:ascii="Times New Roman" w:hAnsi="Times New Roman" w:cs="Times New Roman" w:eastAsia="Times New Roman"/>
                <w:b w:val="0"/>
                <w:sz w:val="19"/>
              </w:rPr>
              <w:t>Nombre de mutations</w:t>
            </w:r>
          </w:p>
        </w:tc>
        <w:tc>
          <w:tcPr>
            <w:tcW w:type="dxa" w:w="3969"/>
          </w:tcPr>
          <w:p>
            <w:pPr>
              <w:spacing w:after="40"/>
            </w:pPr>
            <w:r/>
            <w:r>
              <w:rPr>
                <w:rFonts w:ascii="Times New Roman" w:hAnsi="Times New Roman" w:cs="Times New Roman" w:eastAsia="Times New Roman"/>
                <w:sz w:val="19"/>
              </w:rPr>
              <w:t>2 558 598</w:t>
            </w:r>
          </w:p>
        </w:tc>
      </w:tr>
      <w:tr>
        <w:tc>
          <w:tcPr>
            <w:tcW w:type="dxa" w:w="4535"/>
          </w:tcPr>
          <w:p>
            <w:pPr>
              <w:spacing w:after="40"/>
            </w:pPr>
            <w:r/>
            <w:r>
              <w:rPr>
                <w:rFonts w:ascii="Times New Roman" w:hAnsi="Times New Roman" w:cs="Times New Roman" w:eastAsia="Times New Roman"/>
                <w:b w:val="0"/>
                <w:sz w:val="19"/>
              </w:rPr>
              <w:t>Valeur foncière totale</w:t>
            </w:r>
          </w:p>
        </w:tc>
        <w:tc>
          <w:tcPr>
            <w:tcW w:type="dxa" w:w="3969"/>
          </w:tcPr>
          <w:p>
            <w:pPr>
              <w:spacing w:after="40"/>
            </w:pPr>
            <w:r/>
            <w:r>
              <w:rPr>
                <w:rFonts w:ascii="Times New Roman" w:hAnsi="Times New Roman" w:cs="Times New Roman" w:eastAsia="Times New Roman"/>
                <w:sz w:val="19"/>
              </w:rPr>
              <w:t>604 914 936 592 €</w:t>
            </w:r>
          </w:p>
        </w:tc>
      </w:tr>
      <w:tr>
        <w:tc>
          <w:tcPr>
            <w:tcW w:type="dxa" w:w="4535"/>
          </w:tcPr>
          <w:p>
            <w:pPr>
              <w:spacing w:after="40"/>
            </w:pPr>
            <w:r/>
            <w:r>
              <w:rPr>
                <w:rFonts w:ascii="Times New Roman" w:hAnsi="Times New Roman" w:cs="Times New Roman" w:eastAsia="Times New Roman"/>
                <w:b w:val="0"/>
                <w:sz w:val="19"/>
              </w:rPr>
              <w:t>Prix moyen au m²</w:t>
            </w:r>
          </w:p>
        </w:tc>
        <w:tc>
          <w:tcPr>
            <w:tcW w:type="dxa" w:w="3969"/>
          </w:tcPr>
          <w:p>
            <w:pPr>
              <w:spacing w:after="40"/>
            </w:pPr>
            <w:r/>
            <w:r>
              <w:rPr>
                <w:rFonts w:ascii="Times New Roman" w:hAnsi="Times New Roman" w:cs="Times New Roman" w:eastAsia="Times New Roman"/>
                <w:sz w:val="19"/>
              </w:rPr>
              <w:t>2 172,46 €</w:t>
            </w:r>
          </w:p>
        </w:tc>
      </w:tr>
      <w:tr>
        <w:tc>
          <w:tcPr>
            <w:tcW w:type="dxa" w:w="4535"/>
          </w:tcPr>
          <w:p>
            <w:pPr>
              <w:spacing w:after="40"/>
            </w:pPr>
            <w:r/>
            <w:r>
              <w:rPr>
                <w:rFonts w:ascii="Times New Roman" w:hAnsi="Times New Roman" w:cs="Times New Roman" w:eastAsia="Times New Roman"/>
                <w:b w:val="0"/>
                <w:sz w:val="19"/>
              </w:rPr>
              <w:t>Lignes de la table de faits détaillée</w:t>
            </w:r>
          </w:p>
        </w:tc>
        <w:tc>
          <w:tcPr>
            <w:tcW w:type="dxa" w:w="3969"/>
          </w:tcPr>
          <w:p>
            <w:pPr>
              <w:spacing w:after="40"/>
            </w:pPr>
            <w:r/>
            <w:r>
              <w:rPr>
                <w:rFonts w:ascii="Times New Roman" w:hAnsi="Times New Roman" w:cs="Times New Roman" w:eastAsia="Times New Roman"/>
                <w:sz w:val="19"/>
              </w:rPr>
              <w:t>7 214 760</w:t>
            </w:r>
          </w:p>
        </w:tc>
      </w:tr>
      <w:tr>
        <w:tc>
          <w:tcPr>
            <w:tcW w:type="dxa" w:w="4535"/>
          </w:tcPr>
          <w:p>
            <w:pPr>
              <w:spacing w:after="40"/>
            </w:pPr>
            <w:r/>
            <w:r>
              <w:rPr>
                <w:rFonts w:ascii="Times New Roman" w:hAnsi="Times New Roman" w:cs="Times New Roman" w:eastAsia="Times New Roman"/>
                <w:b w:val="0"/>
                <w:sz w:val="19"/>
              </w:rPr>
              <w:t>Lignes de la table de faits agrégée</w:t>
            </w:r>
          </w:p>
        </w:tc>
        <w:tc>
          <w:tcPr>
            <w:tcW w:type="dxa" w:w="3969"/>
          </w:tcPr>
          <w:p>
            <w:pPr>
              <w:spacing w:after="40"/>
            </w:pPr>
            <w:r/>
            <w:r>
              <w:rPr>
                <w:rFonts w:ascii="Times New Roman" w:hAnsi="Times New Roman" w:cs="Times New Roman" w:eastAsia="Times New Roman"/>
                <w:sz w:val="19"/>
              </w:rPr>
              <w:t>1 614 973</w:t>
            </w:r>
          </w:p>
        </w:tc>
      </w:tr>
    </w:tbl>
    <w:p>
      <w:pPr>
        <w:spacing w:after="40"/>
      </w:pPr>
    </w:p>
    <w:p>
      <w:pPr>
        <w:pStyle w:val="Heading2"/>
      </w:pPr>
      <w:r>
        <w:t>8.2 Évolution annuelle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361"/>
            <w:shd w:val="clear" w:color="auto" w:fill="DCE6F1"/>
          </w:tcPr>
          <w:p>
            <w:pPr>
              <w:spacing w:after="40"/>
            </w:pPr>
            <w:r/>
            <w:r>
              <w:rPr>
                <w:rFonts w:ascii="Times New Roman" w:hAnsi="Times New Roman" w:cs="Times New Roman" w:eastAsia="Times New Roman"/>
                <w:b/>
                <w:color w:val="1F4E79"/>
                <w:sz w:val="19"/>
              </w:rPr>
              <w:t>Année</w:t>
            </w:r>
          </w:p>
        </w:tc>
        <w:tc>
          <w:tcPr>
            <w:tcW w:type="dxa" w:w="2041"/>
            <w:shd w:val="clear" w:color="auto" w:fill="DCE6F1"/>
          </w:tcPr>
          <w:p>
            <w:pPr>
              <w:spacing w:after="40"/>
            </w:pPr>
            <w:r/>
            <w:r>
              <w:rPr>
                <w:rFonts w:ascii="Times New Roman" w:hAnsi="Times New Roman" w:cs="Times New Roman" w:eastAsia="Times New Roman"/>
                <w:b/>
                <w:color w:val="1F4E79"/>
                <w:sz w:val="19"/>
              </w:rPr>
              <w:t>Mutations</w:t>
            </w:r>
          </w:p>
        </w:tc>
        <w:tc>
          <w:tcPr>
            <w:tcW w:type="dxa" w:w="3175"/>
            <w:shd w:val="clear" w:color="auto" w:fill="DCE6F1"/>
          </w:tcPr>
          <w:p>
            <w:pPr>
              <w:spacing w:after="40"/>
            </w:pPr>
            <w:r/>
            <w:r>
              <w:rPr>
                <w:rFonts w:ascii="Times New Roman" w:hAnsi="Times New Roman" w:cs="Times New Roman" w:eastAsia="Times New Roman"/>
                <w:b/>
                <w:color w:val="1F4E79"/>
                <w:sz w:val="19"/>
              </w:rPr>
              <w:t>Valeur foncière totale</w:t>
            </w:r>
          </w:p>
        </w:tc>
        <w:tc>
          <w:tcPr>
            <w:tcW w:type="dxa" w:w="2041"/>
            <w:shd w:val="clear" w:color="auto" w:fill="DCE6F1"/>
          </w:tcPr>
          <w:p>
            <w:pPr>
              <w:spacing w:after="40"/>
            </w:pPr>
            <w:r/>
            <w:r>
              <w:rPr>
                <w:rFonts w:ascii="Times New Roman" w:hAnsi="Times New Roman" w:cs="Times New Roman" w:eastAsia="Times New Roman"/>
                <w:b/>
                <w:color w:val="1F4E79"/>
                <w:sz w:val="19"/>
              </w:rPr>
              <w:t>Prix moyen au m²</w:t>
            </w:r>
          </w:p>
        </w:tc>
      </w:tr>
      <w:tr>
        <w:tc>
          <w:tcPr>
            <w:tcW w:type="dxa" w:w="1361"/>
          </w:tcPr>
          <w:p>
            <w:pPr>
              <w:spacing w:after="40"/>
            </w:pPr>
            <w:r/>
            <w:r>
              <w:rPr>
                <w:rFonts w:ascii="Times New Roman" w:hAnsi="Times New Roman" w:cs="Times New Roman" w:eastAsia="Times New Roman"/>
                <w:b w:val="0"/>
                <w:sz w:val="19"/>
              </w:rPr>
              <w:t>2024</w:t>
            </w:r>
          </w:p>
        </w:tc>
        <w:tc>
          <w:tcPr>
            <w:tcW w:type="dxa" w:w="2041"/>
          </w:tcPr>
          <w:p>
            <w:pPr>
              <w:spacing w:after="40"/>
            </w:pPr>
            <w:r/>
            <w:r>
              <w:rPr>
                <w:rFonts w:ascii="Times New Roman" w:hAnsi="Times New Roman" w:cs="Times New Roman" w:eastAsia="Times New Roman"/>
                <w:sz w:val="19"/>
              </w:rPr>
              <w:t>1 237 625</w:t>
            </w:r>
          </w:p>
        </w:tc>
        <w:tc>
          <w:tcPr>
            <w:tcW w:type="dxa" w:w="3175"/>
          </w:tcPr>
          <w:p>
            <w:pPr>
              <w:spacing w:after="40"/>
            </w:pPr>
            <w:r/>
            <w:r>
              <w:rPr>
                <w:rFonts w:ascii="Times New Roman" w:hAnsi="Times New Roman" w:cs="Times New Roman" w:eastAsia="Times New Roman"/>
                <w:sz w:val="19"/>
              </w:rPr>
              <w:t>285 013 446 757 €</w:t>
            </w:r>
          </w:p>
        </w:tc>
        <w:tc>
          <w:tcPr>
            <w:tcW w:type="dxa" w:w="2041"/>
          </w:tcPr>
          <w:p>
            <w:pPr>
              <w:spacing w:after="40"/>
            </w:pPr>
            <w:r/>
            <w:r>
              <w:rPr>
                <w:rFonts w:ascii="Times New Roman" w:hAnsi="Times New Roman" w:cs="Times New Roman" w:eastAsia="Times New Roman"/>
                <w:sz w:val="19"/>
              </w:rPr>
              <w:t>2 156,13 €</w:t>
            </w:r>
          </w:p>
        </w:tc>
      </w:tr>
      <w:tr>
        <w:tc>
          <w:tcPr>
            <w:tcW w:type="dxa" w:w="1361"/>
          </w:tcPr>
          <w:p>
            <w:pPr>
              <w:spacing w:after="40"/>
            </w:pPr>
            <w:r/>
            <w:r>
              <w:rPr>
                <w:rFonts w:ascii="Times New Roman" w:hAnsi="Times New Roman" w:cs="Times New Roman" w:eastAsia="Times New Roman"/>
                <w:b w:val="0"/>
                <w:sz w:val="19"/>
              </w:rPr>
              <w:t>2025</w:t>
            </w:r>
          </w:p>
        </w:tc>
        <w:tc>
          <w:tcPr>
            <w:tcW w:type="dxa" w:w="2041"/>
          </w:tcPr>
          <w:p>
            <w:pPr>
              <w:spacing w:after="40"/>
            </w:pPr>
            <w:r/>
            <w:r>
              <w:rPr>
                <w:rFonts w:ascii="Times New Roman" w:hAnsi="Times New Roman" w:cs="Times New Roman" w:eastAsia="Times New Roman"/>
                <w:sz w:val="19"/>
              </w:rPr>
              <w:t>1 320 973</w:t>
            </w:r>
          </w:p>
        </w:tc>
        <w:tc>
          <w:tcPr>
            <w:tcW w:type="dxa" w:w="3175"/>
          </w:tcPr>
          <w:p>
            <w:pPr>
              <w:spacing w:after="40"/>
            </w:pPr>
            <w:r/>
            <w:r>
              <w:rPr>
                <w:rFonts w:ascii="Times New Roman" w:hAnsi="Times New Roman" w:cs="Times New Roman" w:eastAsia="Times New Roman"/>
                <w:sz w:val="19"/>
              </w:rPr>
              <w:t>319 901 489 835 €</w:t>
            </w:r>
          </w:p>
        </w:tc>
        <w:tc>
          <w:tcPr>
            <w:tcW w:type="dxa" w:w="2041"/>
          </w:tcPr>
          <w:p>
            <w:pPr>
              <w:spacing w:after="40"/>
            </w:pPr>
            <w:r/>
            <w:r>
              <w:rPr>
                <w:rFonts w:ascii="Times New Roman" w:hAnsi="Times New Roman" w:cs="Times New Roman" w:eastAsia="Times New Roman"/>
                <w:sz w:val="19"/>
              </w:rPr>
              <w:t>2 187,23 €</w:t>
            </w:r>
          </w:p>
        </w:tc>
      </w:tr>
    </w:tbl>
    <w:p>
      <w:pPr>
        <w:spacing w:after="40"/>
      </w:pPr>
    </w:p>
    <w:p>
      <w:pPr>
        <w:spacing w:after="120"/>
      </w:pPr>
      <w:r>
        <w:rPr>
          <w:rFonts w:ascii="Times New Roman" w:hAnsi="Times New Roman" w:cs="Times New Roman" w:eastAsia="Times New Roman"/>
          <w:b w:val="0"/>
          <w:i w:val="0"/>
          <w:sz w:val="21"/>
        </w:rPr>
        <w:t>Entre 2024 et 2025, le nombre de mutations progresse de 6,7 % et le volume financier de 12,2 %, pour un prix moyen au m² en hausse de 1,4 %.</w:t>
      </w:r>
    </w:p>
    <w:p>
      <w:pPr>
        <w:pStyle w:val="Heading2"/>
      </w:pPr>
      <w:r>
        <w:t>8.3 Résultats par région (2024-2025, extrait)</w:t>
      </w:r>
    </w:p>
    <w:tbl>
      <w:tblPr>
        <w:tblStyle w:val="TableGrid"/>
        <w:tblW w:type="auto" w:w="0"/>
        <w:jc w:val="center"/>
        <w:tblLook w:firstColumn="1" w:firstRow="1" w:lastColumn="0" w:lastRow="0" w:noHBand="0" w:noVBand="1" w:val="04A0"/>
      </w:tblPr>
      <w:tblGrid>
        <w:gridCol w:w="3286"/>
        <w:gridCol w:w="3286"/>
        <w:gridCol w:w="3286"/>
      </w:tblGrid>
      <w:tr>
        <w:tc>
          <w:tcPr>
            <w:tcW w:type="dxa" w:w="3402"/>
            <w:shd w:val="clear" w:color="auto" w:fill="DCE6F1"/>
          </w:tcPr>
          <w:p>
            <w:pPr>
              <w:spacing w:after="40"/>
            </w:pPr>
            <w:r/>
            <w:r>
              <w:rPr>
                <w:rFonts w:ascii="Times New Roman" w:hAnsi="Times New Roman" w:cs="Times New Roman" w:eastAsia="Times New Roman"/>
                <w:b/>
                <w:color w:val="1F4E79"/>
                <w:sz w:val="19"/>
              </w:rPr>
              <w:t>Région</w:t>
            </w:r>
          </w:p>
        </w:tc>
        <w:tc>
          <w:tcPr>
            <w:tcW w:type="dxa" w:w="2268"/>
            <w:shd w:val="clear" w:color="auto" w:fill="DCE6F1"/>
          </w:tcPr>
          <w:p>
            <w:pPr>
              <w:spacing w:after="40"/>
            </w:pPr>
            <w:r/>
            <w:r>
              <w:rPr>
                <w:rFonts w:ascii="Times New Roman" w:hAnsi="Times New Roman" w:cs="Times New Roman" w:eastAsia="Times New Roman"/>
                <w:b/>
                <w:color w:val="1F4E79"/>
                <w:sz w:val="19"/>
              </w:rPr>
              <w:t>Mutations</w:t>
            </w:r>
          </w:p>
        </w:tc>
        <w:tc>
          <w:tcPr>
            <w:tcW w:type="dxa" w:w="2268"/>
            <w:shd w:val="clear" w:color="auto" w:fill="DCE6F1"/>
          </w:tcPr>
          <w:p>
            <w:pPr>
              <w:spacing w:after="40"/>
            </w:pPr>
            <w:r/>
            <w:r>
              <w:rPr>
                <w:rFonts w:ascii="Times New Roman" w:hAnsi="Times New Roman" w:cs="Times New Roman" w:eastAsia="Times New Roman"/>
                <w:b/>
                <w:color w:val="1F4E79"/>
                <w:sz w:val="19"/>
              </w:rPr>
              <w:t>Prix moyen au m²</w:t>
            </w:r>
          </w:p>
        </w:tc>
      </w:tr>
      <w:tr>
        <w:tc>
          <w:tcPr>
            <w:tcW w:type="dxa" w:w="3402"/>
          </w:tcPr>
          <w:p>
            <w:pPr>
              <w:spacing w:after="40"/>
            </w:pPr>
            <w:r/>
            <w:r>
              <w:rPr>
                <w:rFonts w:ascii="Times New Roman" w:hAnsi="Times New Roman" w:cs="Times New Roman" w:eastAsia="Times New Roman"/>
                <w:b w:val="0"/>
                <w:sz w:val="19"/>
              </w:rPr>
              <w:t>Auvergne-Rhône-Alpes</w:t>
            </w:r>
          </w:p>
        </w:tc>
        <w:tc>
          <w:tcPr>
            <w:tcW w:type="dxa" w:w="2268"/>
          </w:tcPr>
          <w:p>
            <w:pPr>
              <w:spacing w:after="40"/>
            </w:pPr>
            <w:r/>
            <w:r>
              <w:rPr>
                <w:rFonts w:ascii="Times New Roman" w:hAnsi="Times New Roman" w:cs="Times New Roman" w:eastAsia="Times New Roman"/>
                <w:sz w:val="19"/>
              </w:rPr>
              <w:t>347 443</w:t>
            </w:r>
          </w:p>
        </w:tc>
        <w:tc>
          <w:tcPr>
            <w:tcW w:type="dxa" w:w="2268"/>
          </w:tcPr>
          <w:p>
            <w:pPr>
              <w:spacing w:after="40"/>
            </w:pPr>
            <w:r/>
            <w:r>
              <w:rPr>
                <w:rFonts w:ascii="Times New Roman" w:hAnsi="Times New Roman" w:cs="Times New Roman" w:eastAsia="Times New Roman"/>
                <w:sz w:val="19"/>
              </w:rPr>
              <w:t>2 202,59 €</w:t>
            </w:r>
          </w:p>
        </w:tc>
      </w:tr>
      <w:tr>
        <w:tc>
          <w:tcPr>
            <w:tcW w:type="dxa" w:w="3402"/>
          </w:tcPr>
          <w:p>
            <w:pPr>
              <w:spacing w:after="40"/>
            </w:pPr>
            <w:r/>
            <w:r>
              <w:rPr>
                <w:rFonts w:ascii="Times New Roman" w:hAnsi="Times New Roman" w:cs="Times New Roman" w:eastAsia="Times New Roman"/>
                <w:b w:val="0"/>
                <w:sz w:val="19"/>
              </w:rPr>
              <w:t>Île-de-France</w:t>
            </w:r>
          </w:p>
        </w:tc>
        <w:tc>
          <w:tcPr>
            <w:tcW w:type="dxa" w:w="2268"/>
          </w:tcPr>
          <w:p>
            <w:pPr>
              <w:spacing w:after="40"/>
            </w:pPr>
            <w:r/>
            <w:r>
              <w:rPr>
                <w:rFonts w:ascii="Times New Roman" w:hAnsi="Times New Roman" w:cs="Times New Roman" w:eastAsia="Times New Roman"/>
                <w:sz w:val="19"/>
              </w:rPr>
              <w:t>341 543</w:t>
            </w:r>
          </w:p>
        </w:tc>
        <w:tc>
          <w:tcPr>
            <w:tcW w:type="dxa" w:w="2268"/>
          </w:tcPr>
          <w:p>
            <w:pPr>
              <w:spacing w:after="40"/>
            </w:pPr>
            <w:r/>
            <w:r>
              <w:rPr>
                <w:rFonts w:ascii="Times New Roman" w:hAnsi="Times New Roman" w:cs="Times New Roman" w:eastAsia="Times New Roman"/>
                <w:sz w:val="19"/>
              </w:rPr>
              <w:t>4 640,73 €</w:t>
            </w:r>
          </w:p>
        </w:tc>
      </w:tr>
      <w:tr>
        <w:tc>
          <w:tcPr>
            <w:tcW w:type="dxa" w:w="3402"/>
          </w:tcPr>
          <w:p>
            <w:pPr>
              <w:spacing w:after="40"/>
            </w:pPr>
            <w:r/>
            <w:r>
              <w:rPr>
                <w:rFonts w:ascii="Times New Roman" w:hAnsi="Times New Roman" w:cs="Times New Roman" w:eastAsia="Times New Roman"/>
                <w:b w:val="0"/>
                <w:sz w:val="19"/>
              </w:rPr>
              <w:t>Nouvelle-Aquitaine</w:t>
            </w:r>
          </w:p>
        </w:tc>
        <w:tc>
          <w:tcPr>
            <w:tcW w:type="dxa" w:w="2268"/>
          </w:tcPr>
          <w:p>
            <w:pPr>
              <w:spacing w:after="40"/>
            </w:pPr>
            <w:r/>
            <w:r>
              <w:rPr>
                <w:rFonts w:ascii="Times New Roman" w:hAnsi="Times New Roman" w:cs="Times New Roman" w:eastAsia="Times New Roman"/>
                <w:sz w:val="19"/>
              </w:rPr>
              <w:t>290 617</w:t>
            </w:r>
          </w:p>
        </w:tc>
        <w:tc>
          <w:tcPr>
            <w:tcW w:type="dxa" w:w="2268"/>
          </w:tcPr>
          <w:p>
            <w:pPr>
              <w:spacing w:after="40"/>
            </w:pPr>
            <w:r/>
            <w:r>
              <w:rPr>
                <w:rFonts w:ascii="Times New Roman" w:hAnsi="Times New Roman" w:cs="Times New Roman" w:eastAsia="Times New Roman"/>
                <w:sz w:val="19"/>
              </w:rPr>
              <w:t>1 484,15 €</w:t>
            </w:r>
          </w:p>
        </w:tc>
      </w:tr>
      <w:tr>
        <w:tc>
          <w:tcPr>
            <w:tcW w:type="dxa" w:w="3402"/>
          </w:tcPr>
          <w:p>
            <w:pPr>
              <w:spacing w:after="40"/>
            </w:pPr>
            <w:r/>
            <w:r>
              <w:rPr>
                <w:rFonts w:ascii="Times New Roman" w:hAnsi="Times New Roman" w:cs="Times New Roman" w:eastAsia="Times New Roman"/>
                <w:b w:val="0"/>
                <w:sz w:val="19"/>
              </w:rPr>
              <w:t>Occitanie</w:t>
            </w:r>
          </w:p>
        </w:tc>
        <w:tc>
          <w:tcPr>
            <w:tcW w:type="dxa" w:w="2268"/>
          </w:tcPr>
          <w:p>
            <w:pPr>
              <w:spacing w:after="40"/>
            </w:pPr>
            <w:r/>
            <w:r>
              <w:rPr>
                <w:rFonts w:ascii="Times New Roman" w:hAnsi="Times New Roman" w:cs="Times New Roman" w:eastAsia="Times New Roman"/>
                <w:sz w:val="19"/>
              </w:rPr>
              <w:t>287 550</w:t>
            </w:r>
          </w:p>
        </w:tc>
        <w:tc>
          <w:tcPr>
            <w:tcW w:type="dxa" w:w="2268"/>
          </w:tcPr>
          <w:p>
            <w:pPr>
              <w:spacing w:after="40"/>
            </w:pPr>
            <w:r/>
            <w:r>
              <w:rPr>
                <w:rFonts w:ascii="Times New Roman" w:hAnsi="Times New Roman" w:cs="Times New Roman" w:eastAsia="Times New Roman"/>
                <w:sz w:val="19"/>
              </w:rPr>
              <w:t>1 937,79 €</w:t>
            </w:r>
          </w:p>
        </w:tc>
      </w:tr>
      <w:tr>
        <w:tc>
          <w:tcPr>
            <w:tcW w:type="dxa" w:w="3402"/>
          </w:tcPr>
          <w:p>
            <w:pPr>
              <w:spacing w:after="40"/>
            </w:pPr>
            <w:r/>
            <w:r>
              <w:rPr>
                <w:rFonts w:ascii="Times New Roman" w:hAnsi="Times New Roman" w:cs="Times New Roman" w:eastAsia="Times New Roman"/>
                <w:b w:val="0"/>
                <w:sz w:val="19"/>
              </w:rPr>
              <w:t>Provence-Alpes-Côte d'Azur</w:t>
            </w:r>
          </w:p>
        </w:tc>
        <w:tc>
          <w:tcPr>
            <w:tcW w:type="dxa" w:w="2268"/>
          </w:tcPr>
          <w:p>
            <w:pPr>
              <w:spacing w:after="40"/>
            </w:pPr>
            <w:r/>
            <w:r>
              <w:rPr>
                <w:rFonts w:ascii="Times New Roman" w:hAnsi="Times New Roman" w:cs="Times New Roman" w:eastAsia="Times New Roman"/>
                <w:sz w:val="19"/>
              </w:rPr>
              <w:t>235 774</w:t>
            </w:r>
          </w:p>
        </w:tc>
        <w:tc>
          <w:tcPr>
            <w:tcW w:type="dxa" w:w="2268"/>
          </w:tcPr>
          <w:p>
            <w:pPr>
              <w:spacing w:after="40"/>
            </w:pPr>
            <w:r/>
            <w:r>
              <w:rPr>
                <w:rFonts w:ascii="Times New Roman" w:hAnsi="Times New Roman" w:cs="Times New Roman" w:eastAsia="Times New Roman"/>
                <w:sz w:val="19"/>
              </w:rPr>
              <w:t>3 364,62 €</w:t>
            </w:r>
          </w:p>
        </w:tc>
      </w:tr>
      <w:tr>
        <w:tc>
          <w:tcPr>
            <w:tcW w:type="dxa" w:w="3402"/>
          </w:tcPr>
          <w:p>
            <w:pPr>
              <w:spacing w:after="40"/>
            </w:pPr>
            <w:r/>
            <w:r>
              <w:rPr>
                <w:rFonts w:ascii="Times New Roman" w:hAnsi="Times New Roman" w:cs="Times New Roman" w:eastAsia="Times New Roman"/>
                <w:b w:val="0"/>
                <w:sz w:val="19"/>
              </w:rPr>
              <w:t>Grand Est</w:t>
            </w:r>
          </w:p>
        </w:tc>
        <w:tc>
          <w:tcPr>
            <w:tcW w:type="dxa" w:w="2268"/>
          </w:tcPr>
          <w:p>
            <w:pPr>
              <w:spacing w:after="40"/>
            </w:pPr>
            <w:r/>
            <w:r>
              <w:rPr>
                <w:rFonts w:ascii="Times New Roman" w:hAnsi="Times New Roman" w:cs="Times New Roman" w:eastAsia="Times New Roman"/>
                <w:sz w:val="19"/>
              </w:rPr>
              <w:t>111 370</w:t>
            </w:r>
          </w:p>
        </w:tc>
        <w:tc>
          <w:tcPr>
            <w:tcW w:type="dxa" w:w="2268"/>
          </w:tcPr>
          <w:p>
            <w:pPr>
              <w:spacing w:after="40"/>
            </w:pPr>
            <w:r/>
            <w:r>
              <w:rPr>
                <w:rFonts w:ascii="Times New Roman" w:hAnsi="Times New Roman" w:cs="Times New Roman" w:eastAsia="Times New Roman"/>
                <w:sz w:val="19"/>
              </w:rPr>
              <w:t>1 282 €</w:t>
            </w:r>
          </w:p>
        </w:tc>
      </w:tr>
      <w:tr>
        <w:tc>
          <w:tcPr>
            <w:tcW w:type="dxa" w:w="3402"/>
          </w:tcPr>
          <w:p>
            <w:pPr>
              <w:spacing w:after="40"/>
            </w:pPr>
            <w:r/>
            <w:r>
              <w:rPr>
                <w:rFonts w:ascii="Times New Roman" w:hAnsi="Times New Roman" w:cs="Times New Roman" w:eastAsia="Times New Roman"/>
                <w:b w:val="0"/>
                <w:sz w:val="19"/>
              </w:rPr>
              <w:t>Corse</w:t>
            </w:r>
          </w:p>
        </w:tc>
        <w:tc>
          <w:tcPr>
            <w:tcW w:type="dxa" w:w="2268"/>
          </w:tcPr>
          <w:p>
            <w:pPr>
              <w:spacing w:after="40"/>
            </w:pPr>
            <w:r/>
            <w:r>
              <w:rPr>
                <w:rFonts w:ascii="Times New Roman" w:hAnsi="Times New Roman" w:cs="Times New Roman" w:eastAsia="Times New Roman"/>
                <w:sz w:val="19"/>
              </w:rPr>
              <w:t>15 487</w:t>
            </w:r>
          </w:p>
        </w:tc>
        <w:tc>
          <w:tcPr>
            <w:tcW w:type="dxa" w:w="2268"/>
          </w:tcPr>
          <w:p>
            <w:pPr>
              <w:spacing w:after="40"/>
            </w:pPr>
            <w:r/>
            <w:r>
              <w:rPr>
                <w:rFonts w:ascii="Times New Roman" w:hAnsi="Times New Roman" w:cs="Times New Roman" w:eastAsia="Times New Roman"/>
                <w:sz w:val="19"/>
              </w:rPr>
              <w:t>3 465 €</w:t>
            </w:r>
          </w:p>
        </w:tc>
      </w:tr>
      <w:tr>
        <w:tc>
          <w:tcPr>
            <w:tcW w:type="dxa" w:w="3402"/>
          </w:tcPr>
          <w:p>
            <w:pPr>
              <w:spacing w:after="40"/>
            </w:pPr>
            <w:r/>
            <w:r>
              <w:rPr>
                <w:rFonts w:ascii="Times New Roman" w:hAnsi="Times New Roman" w:cs="Times New Roman" w:eastAsia="Times New Roman"/>
                <w:b w:val="0"/>
                <w:sz w:val="19"/>
              </w:rPr>
              <w:t>Guadeloupe</w:t>
            </w:r>
          </w:p>
        </w:tc>
        <w:tc>
          <w:tcPr>
            <w:tcW w:type="dxa" w:w="2268"/>
          </w:tcPr>
          <w:p>
            <w:pPr>
              <w:spacing w:after="40"/>
            </w:pPr>
            <w:r/>
            <w:r>
              <w:rPr>
                <w:rFonts w:ascii="Times New Roman" w:hAnsi="Times New Roman" w:cs="Times New Roman" w:eastAsia="Times New Roman"/>
                <w:sz w:val="19"/>
              </w:rPr>
              <w:t>6 747</w:t>
            </w:r>
          </w:p>
        </w:tc>
        <w:tc>
          <w:tcPr>
            <w:tcW w:type="dxa" w:w="2268"/>
          </w:tcPr>
          <w:p>
            <w:pPr>
              <w:spacing w:after="40"/>
            </w:pPr>
            <w:r/>
            <w:r>
              <w:rPr>
                <w:rFonts w:ascii="Times New Roman" w:hAnsi="Times New Roman" w:cs="Times New Roman" w:eastAsia="Times New Roman"/>
                <w:sz w:val="19"/>
              </w:rPr>
              <w:t>4 227 €</w:t>
            </w:r>
          </w:p>
        </w:tc>
      </w:tr>
    </w:tbl>
    <w:p>
      <w:pPr>
        <w:spacing w:after="40"/>
      </w:pPr>
    </w:p>
    <w:p>
      <w:pPr>
        <w:pStyle w:val="Heading2"/>
      </w:pPr>
      <w:r>
        <w:t>8.4 Résultats par département (2024-2025, extrait)</w:t>
      </w:r>
    </w:p>
    <w:tbl>
      <w:tblPr>
        <w:tblStyle w:val="TableGrid"/>
        <w:tblW w:type="auto" w:w="0"/>
        <w:jc w:val="center"/>
        <w:tblLook w:firstColumn="1" w:firstRow="1" w:lastColumn="0" w:lastRow="0" w:noHBand="0" w:noVBand="1" w:val="04A0"/>
      </w:tblPr>
      <w:tblGrid>
        <w:gridCol w:w="3286"/>
        <w:gridCol w:w="3286"/>
        <w:gridCol w:w="3286"/>
      </w:tblGrid>
      <w:tr>
        <w:tc>
          <w:tcPr>
            <w:tcW w:type="dxa" w:w="3402"/>
            <w:shd w:val="clear" w:color="auto" w:fill="DCE6F1"/>
          </w:tcPr>
          <w:p>
            <w:pPr>
              <w:spacing w:after="40"/>
            </w:pPr>
            <w:r/>
            <w:r>
              <w:rPr>
                <w:rFonts w:ascii="Times New Roman" w:hAnsi="Times New Roman" w:cs="Times New Roman" w:eastAsia="Times New Roman"/>
                <w:b/>
                <w:color w:val="1F4E79"/>
                <w:sz w:val="19"/>
              </w:rPr>
              <w:t>Département</w:t>
            </w:r>
          </w:p>
        </w:tc>
        <w:tc>
          <w:tcPr>
            <w:tcW w:type="dxa" w:w="2268"/>
            <w:shd w:val="clear" w:color="auto" w:fill="DCE6F1"/>
          </w:tcPr>
          <w:p>
            <w:pPr>
              <w:spacing w:after="40"/>
            </w:pPr>
            <w:r/>
            <w:r>
              <w:rPr>
                <w:rFonts w:ascii="Times New Roman" w:hAnsi="Times New Roman" w:cs="Times New Roman" w:eastAsia="Times New Roman"/>
                <w:b/>
                <w:color w:val="1F4E79"/>
                <w:sz w:val="19"/>
              </w:rPr>
              <w:t>Mutations</w:t>
            </w:r>
          </w:p>
        </w:tc>
        <w:tc>
          <w:tcPr>
            <w:tcW w:type="dxa" w:w="2268"/>
            <w:shd w:val="clear" w:color="auto" w:fill="DCE6F1"/>
          </w:tcPr>
          <w:p>
            <w:pPr>
              <w:spacing w:after="40"/>
            </w:pPr>
            <w:r/>
            <w:r>
              <w:rPr>
                <w:rFonts w:ascii="Times New Roman" w:hAnsi="Times New Roman" w:cs="Times New Roman" w:eastAsia="Times New Roman"/>
                <w:b/>
                <w:color w:val="1F4E79"/>
                <w:sz w:val="19"/>
              </w:rPr>
              <w:t>Prix moyen au m²</w:t>
            </w:r>
          </w:p>
        </w:tc>
      </w:tr>
      <w:tr>
        <w:tc>
          <w:tcPr>
            <w:tcW w:type="dxa" w:w="3402"/>
          </w:tcPr>
          <w:p>
            <w:pPr>
              <w:spacing w:after="40"/>
            </w:pPr>
            <w:r/>
            <w:r>
              <w:rPr>
                <w:rFonts w:ascii="Times New Roman" w:hAnsi="Times New Roman" w:cs="Times New Roman" w:eastAsia="Times New Roman"/>
                <w:b w:val="0"/>
                <w:sz w:val="19"/>
              </w:rPr>
              <w:t>Paris (75)</w:t>
            </w:r>
          </w:p>
        </w:tc>
        <w:tc>
          <w:tcPr>
            <w:tcW w:type="dxa" w:w="2268"/>
          </w:tcPr>
          <w:p>
            <w:pPr>
              <w:spacing w:after="40"/>
            </w:pPr>
            <w:r/>
            <w:r>
              <w:rPr>
                <w:rFonts w:ascii="Times New Roman" w:hAnsi="Times New Roman" w:cs="Times New Roman" w:eastAsia="Times New Roman"/>
                <w:sz w:val="19"/>
              </w:rPr>
              <w:t>76 180</w:t>
            </w:r>
          </w:p>
        </w:tc>
        <w:tc>
          <w:tcPr>
            <w:tcW w:type="dxa" w:w="2268"/>
          </w:tcPr>
          <w:p>
            <w:pPr>
              <w:spacing w:after="40"/>
            </w:pPr>
            <w:r/>
            <w:r>
              <w:rPr>
                <w:rFonts w:ascii="Times New Roman" w:hAnsi="Times New Roman" w:cs="Times New Roman" w:eastAsia="Times New Roman"/>
                <w:sz w:val="19"/>
              </w:rPr>
              <w:t>10 253,06 €</w:t>
            </w:r>
          </w:p>
        </w:tc>
      </w:tr>
      <w:tr>
        <w:tc>
          <w:tcPr>
            <w:tcW w:type="dxa" w:w="3402"/>
          </w:tcPr>
          <w:p>
            <w:pPr>
              <w:spacing w:after="40"/>
            </w:pPr>
            <w:r/>
            <w:r>
              <w:rPr>
                <w:rFonts w:ascii="Times New Roman" w:hAnsi="Times New Roman" w:cs="Times New Roman" w:eastAsia="Times New Roman"/>
                <w:b w:val="0"/>
                <w:sz w:val="19"/>
              </w:rPr>
              <w:t>Nord (59)</w:t>
            </w:r>
          </w:p>
        </w:tc>
        <w:tc>
          <w:tcPr>
            <w:tcW w:type="dxa" w:w="2268"/>
          </w:tcPr>
          <w:p>
            <w:pPr>
              <w:spacing w:after="40"/>
            </w:pPr>
            <w:r/>
            <w:r>
              <w:rPr>
                <w:rFonts w:ascii="Times New Roman" w:hAnsi="Times New Roman" w:cs="Times New Roman" w:eastAsia="Times New Roman"/>
                <w:sz w:val="19"/>
              </w:rPr>
              <w:t>82 025</w:t>
            </w:r>
          </w:p>
        </w:tc>
        <w:tc>
          <w:tcPr>
            <w:tcW w:type="dxa" w:w="2268"/>
          </w:tcPr>
          <w:p>
            <w:pPr>
              <w:spacing w:after="40"/>
            </w:pPr>
            <w:r/>
            <w:r>
              <w:rPr>
                <w:rFonts w:ascii="Times New Roman" w:hAnsi="Times New Roman" w:cs="Times New Roman" w:eastAsia="Times New Roman"/>
                <w:sz w:val="19"/>
              </w:rPr>
              <w:t>1 672,19 €</w:t>
            </w:r>
          </w:p>
        </w:tc>
      </w:tr>
      <w:tr>
        <w:tc>
          <w:tcPr>
            <w:tcW w:type="dxa" w:w="3402"/>
          </w:tcPr>
          <w:p>
            <w:pPr>
              <w:spacing w:after="40"/>
            </w:pPr>
            <w:r/>
            <w:r>
              <w:rPr>
                <w:rFonts w:ascii="Times New Roman" w:hAnsi="Times New Roman" w:cs="Times New Roman" w:eastAsia="Times New Roman"/>
                <w:b w:val="0"/>
                <w:sz w:val="19"/>
              </w:rPr>
              <w:t>Bouches-du-Rhône (13)</w:t>
            </w:r>
          </w:p>
        </w:tc>
        <w:tc>
          <w:tcPr>
            <w:tcW w:type="dxa" w:w="2268"/>
          </w:tcPr>
          <w:p>
            <w:pPr>
              <w:spacing w:after="40"/>
            </w:pPr>
            <w:r/>
            <w:r>
              <w:rPr>
                <w:rFonts w:ascii="Times New Roman" w:hAnsi="Times New Roman" w:cs="Times New Roman" w:eastAsia="Times New Roman"/>
                <w:sz w:val="19"/>
              </w:rPr>
              <w:t>70 429</w:t>
            </w:r>
          </w:p>
        </w:tc>
        <w:tc>
          <w:tcPr>
            <w:tcW w:type="dxa" w:w="2268"/>
          </w:tcPr>
          <w:p>
            <w:pPr>
              <w:spacing w:after="40"/>
            </w:pPr>
            <w:r/>
            <w:r>
              <w:rPr>
                <w:rFonts w:ascii="Times New Roman" w:hAnsi="Times New Roman" w:cs="Times New Roman" w:eastAsia="Times New Roman"/>
                <w:sz w:val="19"/>
              </w:rPr>
              <w:t>3 321,31 €</w:t>
            </w:r>
          </w:p>
        </w:tc>
      </w:tr>
      <w:tr>
        <w:tc>
          <w:tcPr>
            <w:tcW w:type="dxa" w:w="3402"/>
          </w:tcPr>
          <w:p>
            <w:pPr>
              <w:spacing w:after="40"/>
            </w:pPr>
            <w:r/>
            <w:r>
              <w:rPr>
                <w:rFonts w:ascii="Times New Roman" w:hAnsi="Times New Roman" w:cs="Times New Roman" w:eastAsia="Times New Roman"/>
                <w:b w:val="0"/>
                <w:sz w:val="19"/>
              </w:rPr>
              <w:t>Alpes-Maritimes (06)</w:t>
            </w:r>
          </w:p>
        </w:tc>
        <w:tc>
          <w:tcPr>
            <w:tcW w:type="dxa" w:w="2268"/>
          </w:tcPr>
          <w:p>
            <w:pPr>
              <w:spacing w:after="40"/>
            </w:pPr>
            <w:r/>
            <w:r>
              <w:rPr>
                <w:rFonts w:ascii="Times New Roman" w:hAnsi="Times New Roman" w:cs="Times New Roman" w:eastAsia="Times New Roman"/>
                <w:sz w:val="19"/>
              </w:rPr>
              <w:t>64 628</w:t>
            </w:r>
          </w:p>
        </w:tc>
        <w:tc>
          <w:tcPr>
            <w:tcW w:type="dxa" w:w="2268"/>
          </w:tcPr>
          <w:p>
            <w:pPr>
              <w:spacing w:after="40"/>
            </w:pPr>
            <w:r/>
            <w:r>
              <w:rPr>
                <w:rFonts w:ascii="Times New Roman" w:hAnsi="Times New Roman" w:cs="Times New Roman" w:eastAsia="Times New Roman"/>
                <w:sz w:val="19"/>
              </w:rPr>
              <w:t>4 528,38 €</w:t>
            </w:r>
          </w:p>
        </w:tc>
      </w:tr>
      <w:tr>
        <w:tc>
          <w:tcPr>
            <w:tcW w:type="dxa" w:w="3402"/>
          </w:tcPr>
          <w:p>
            <w:pPr>
              <w:spacing w:after="40"/>
            </w:pPr>
            <w:r/>
            <w:r>
              <w:rPr>
                <w:rFonts w:ascii="Times New Roman" w:hAnsi="Times New Roman" w:cs="Times New Roman" w:eastAsia="Times New Roman"/>
                <w:b w:val="0"/>
                <w:sz w:val="19"/>
              </w:rPr>
              <w:t>Gironde (33)</w:t>
            </w:r>
          </w:p>
        </w:tc>
        <w:tc>
          <w:tcPr>
            <w:tcW w:type="dxa" w:w="2268"/>
          </w:tcPr>
          <w:p>
            <w:pPr>
              <w:spacing w:after="40"/>
            </w:pPr>
            <w:r/>
            <w:r>
              <w:rPr>
                <w:rFonts w:ascii="Times New Roman" w:hAnsi="Times New Roman" w:cs="Times New Roman" w:eastAsia="Times New Roman"/>
                <w:sz w:val="19"/>
              </w:rPr>
              <w:t>63 181</w:t>
            </w:r>
          </w:p>
        </w:tc>
        <w:tc>
          <w:tcPr>
            <w:tcW w:type="dxa" w:w="2268"/>
          </w:tcPr>
          <w:p>
            <w:pPr>
              <w:spacing w:after="40"/>
            </w:pPr>
            <w:r/>
            <w:r>
              <w:rPr>
                <w:rFonts w:ascii="Times New Roman" w:hAnsi="Times New Roman" w:cs="Times New Roman" w:eastAsia="Times New Roman"/>
                <w:sz w:val="19"/>
              </w:rPr>
              <w:t>1 523,59 €</w:t>
            </w:r>
          </w:p>
        </w:tc>
      </w:tr>
      <w:tr>
        <w:tc>
          <w:tcPr>
            <w:tcW w:type="dxa" w:w="3402"/>
          </w:tcPr>
          <w:p>
            <w:pPr>
              <w:spacing w:after="40"/>
            </w:pPr>
            <w:r/>
            <w:r>
              <w:rPr>
                <w:rFonts w:ascii="Times New Roman" w:hAnsi="Times New Roman" w:cs="Times New Roman" w:eastAsia="Times New Roman"/>
                <w:b w:val="0"/>
                <w:sz w:val="19"/>
              </w:rPr>
              <w:t>Rhône (69)</w:t>
            </w:r>
          </w:p>
        </w:tc>
        <w:tc>
          <w:tcPr>
            <w:tcW w:type="dxa" w:w="2268"/>
          </w:tcPr>
          <w:p>
            <w:pPr>
              <w:spacing w:after="40"/>
            </w:pPr>
            <w:r/>
            <w:r>
              <w:rPr>
                <w:rFonts w:ascii="Times New Roman" w:hAnsi="Times New Roman" w:cs="Times New Roman" w:eastAsia="Times New Roman"/>
                <w:sz w:val="19"/>
              </w:rPr>
              <w:t>61 698</w:t>
            </w:r>
          </w:p>
        </w:tc>
        <w:tc>
          <w:tcPr>
            <w:tcW w:type="dxa" w:w="2268"/>
          </w:tcPr>
          <w:p>
            <w:pPr>
              <w:spacing w:after="40"/>
            </w:pPr>
            <w:r/>
            <w:r>
              <w:rPr>
                <w:rFonts w:ascii="Times New Roman" w:hAnsi="Times New Roman" w:cs="Times New Roman" w:eastAsia="Times New Roman"/>
                <w:sz w:val="19"/>
              </w:rPr>
              <w:t>2 627,96 €</w:t>
            </w:r>
          </w:p>
        </w:tc>
      </w:tr>
      <w:tr>
        <w:tc>
          <w:tcPr>
            <w:tcW w:type="dxa" w:w="3402"/>
          </w:tcPr>
          <w:p>
            <w:pPr>
              <w:spacing w:after="40"/>
            </w:pPr>
            <w:r/>
            <w:r>
              <w:rPr>
                <w:rFonts w:ascii="Times New Roman" w:hAnsi="Times New Roman" w:cs="Times New Roman" w:eastAsia="Times New Roman"/>
                <w:b w:val="0"/>
                <w:sz w:val="19"/>
              </w:rPr>
              <w:t>Var (83)</w:t>
            </w:r>
          </w:p>
        </w:tc>
        <w:tc>
          <w:tcPr>
            <w:tcW w:type="dxa" w:w="2268"/>
          </w:tcPr>
          <w:p>
            <w:pPr>
              <w:spacing w:after="40"/>
            </w:pPr>
            <w:r/>
            <w:r>
              <w:rPr>
                <w:rFonts w:ascii="Times New Roman" w:hAnsi="Times New Roman" w:cs="Times New Roman" w:eastAsia="Times New Roman"/>
                <w:sz w:val="19"/>
              </w:rPr>
              <w:t>58 126</w:t>
            </w:r>
          </w:p>
        </w:tc>
        <w:tc>
          <w:tcPr>
            <w:tcW w:type="dxa" w:w="2268"/>
          </w:tcPr>
          <w:p>
            <w:pPr>
              <w:spacing w:after="40"/>
            </w:pPr>
            <w:r/>
            <w:r>
              <w:rPr>
                <w:rFonts w:ascii="Times New Roman" w:hAnsi="Times New Roman" w:cs="Times New Roman" w:eastAsia="Times New Roman"/>
                <w:sz w:val="19"/>
              </w:rPr>
              <w:t>3 312 €</w:t>
            </w:r>
          </w:p>
        </w:tc>
      </w:tr>
      <w:tr>
        <w:tc>
          <w:tcPr>
            <w:tcW w:type="dxa" w:w="3402"/>
          </w:tcPr>
          <w:p>
            <w:pPr>
              <w:spacing w:after="40"/>
            </w:pPr>
            <w:r/>
            <w:r>
              <w:rPr>
                <w:rFonts w:ascii="Times New Roman" w:hAnsi="Times New Roman" w:cs="Times New Roman" w:eastAsia="Times New Roman"/>
                <w:b w:val="0"/>
                <w:sz w:val="19"/>
              </w:rPr>
              <w:t>Hauts-de-Seine (92)</w:t>
            </w:r>
          </w:p>
        </w:tc>
        <w:tc>
          <w:tcPr>
            <w:tcW w:type="dxa" w:w="2268"/>
          </w:tcPr>
          <w:p>
            <w:pPr>
              <w:spacing w:after="40"/>
            </w:pPr>
            <w:r/>
            <w:r>
              <w:rPr>
                <w:rFonts w:ascii="Times New Roman" w:hAnsi="Times New Roman" w:cs="Times New Roman" w:eastAsia="Times New Roman"/>
                <w:sz w:val="19"/>
              </w:rPr>
              <w:t>48 202</w:t>
            </w:r>
          </w:p>
        </w:tc>
        <w:tc>
          <w:tcPr>
            <w:tcW w:type="dxa" w:w="2268"/>
          </w:tcPr>
          <w:p>
            <w:pPr>
              <w:spacing w:after="40"/>
            </w:pPr>
            <w:r/>
            <w:r>
              <w:rPr>
                <w:rFonts w:ascii="Times New Roman" w:hAnsi="Times New Roman" w:cs="Times New Roman" w:eastAsia="Times New Roman"/>
                <w:sz w:val="19"/>
              </w:rPr>
              <w:t>6 364 €</w:t>
            </w:r>
          </w:p>
        </w:tc>
      </w:tr>
    </w:tbl>
    <w:p>
      <w:pPr>
        <w:spacing w:after="40"/>
      </w:pPr>
    </w:p>
    <w:p>
      <w:pPr>
        <w:spacing w:after="120"/>
      </w:pPr>
      <w:r>
        <w:rPr>
          <w:rFonts w:ascii="Times New Roman" w:hAnsi="Times New Roman" w:cs="Times New Roman" w:eastAsia="Times New Roman"/>
          <w:b w:val="0"/>
          <w:i/>
          <w:sz w:val="21"/>
        </w:rPr>
        <w:t>Ces deux tableaux sont des extraits de contrôle : le rapport Power BI contient l'ensemble des 17 régions et des 97 départements présents dans les données, avec la même mise en forme et les mêmes mesures, pour chacune des deux années.</w:t>
      </w:r>
    </w:p>
    <w:p>
      <w:pPr>
        <w:pStyle w:val="Heading2"/>
      </w:pPr>
      <w:r>
        <w:t>8.5 Prix au m² selon le type de bien</w:t>
      </w:r>
    </w:p>
    <w:p>
      <w:pPr>
        <w:spacing w:after="120"/>
      </w:pPr>
      <w:r>
        <w:rPr>
          <w:rFonts w:ascii="Times New Roman" w:hAnsi="Times New Roman" w:cs="Times New Roman" w:eastAsia="Times New Roman"/>
          <w:b w:val="0"/>
          <w:i w:val="0"/>
          <w:sz w:val="21"/>
        </w:rPr>
        <w:t>Le prix moyen au m² global mélange deux marchés très différents : les logements (maisons et appartements, dont la surface bâtie est connue) et les terrains (dont seule la surface de terrain est connue). Les trois mesures du modèle permettent de les séparer :</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2381"/>
            <w:shd w:val="clear" w:color="auto" w:fill="DCE6F1"/>
          </w:tcPr>
          <w:p>
            <w:pPr>
              <w:spacing w:after="40"/>
            </w:pPr>
            <w:r/>
            <w:r>
              <w:rPr>
                <w:rFonts w:ascii="Times New Roman" w:hAnsi="Times New Roman" w:cs="Times New Roman" w:eastAsia="Times New Roman"/>
                <w:b/>
                <w:color w:val="1F4E79"/>
                <w:sz w:val="18"/>
              </w:rPr>
              <w:t>Mesure</w:t>
            </w:r>
          </w:p>
        </w:tc>
        <w:tc>
          <w:tcPr>
            <w:tcW w:type="dxa" w:w="2948"/>
            <w:shd w:val="clear" w:color="auto" w:fill="DCE6F1"/>
          </w:tcPr>
          <w:p>
            <w:pPr>
              <w:spacing w:after="40"/>
            </w:pPr>
            <w:r/>
            <w:r>
              <w:rPr>
                <w:rFonts w:ascii="Times New Roman" w:hAnsi="Times New Roman" w:cs="Times New Roman" w:eastAsia="Times New Roman"/>
                <w:b/>
                <w:color w:val="1F4E79"/>
                <w:sz w:val="18"/>
              </w:rPr>
              <w:t>Périmètre</w:t>
            </w:r>
          </w:p>
        </w:tc>
        <w:tc>
          <w:tcPr>
            <w:tcW w:type="dxa" w:w="1701"/>
            <w:shd w:val="clear" w:color="auto" w:fill="DCE6F1"/>
          </w:tcPr>
          <w:p>
            <w:pPr>
              <w:spacing w:after="40"/>
            </w:pPr>
            <w:r/>
            <w:r>
              <w:rPr>
                <w:rFonts w:ascii="Times New Roman" w:hAnsi="Times New Roman" w:cs="Times New Roman" w:eastAsia="Times New Roman"/>
                <w:b/>
                <w:color w:val="1F4E79"/>
                <w:sz w:val="18"/>
              </w:rPr>
              <w:t>2024</w:t>
            </w:r>
          </w:p>
        </w:tc>
        <w:tc>
          <w:tcPr>
            <w:tcW w:type="dxa" w:w="1701"/>
            <w:shd w:val="clear" w:color="auto" w:fill="DCE6F1"/>
          </w:tcPr>
          <w:p>
            <w:pPr>
              <w:spacing w:after="40"/>
            </w:pPr>
            <w:r/>
            <w:r>
              <w:rPr>
                <w:rFonts w:ascii="Times New Roman" w:hAnsi="Times New Roman" w:cs="Times New Roman" w:eastAsia="Times New Roman"/>
                <w:b/>
                <w:color w:val="1F4E79"/>
                <w:sz w:val="18"/>
              </w:rPr>
              <w:t>2025</w:t>
            </w:r>
          </w:p>
        </w:tc>
        <w:tc>
          <w:tcPr>
            <w:tcW w:type="dxa" w:w="1701"/>
            <w:shd w:val="clear" w:color="auto" w:fill="DCE6F1"/>
          </w:tcPr>
          <w:p>
            <w:pPr>
              <w:spacing w:after="40"/>
            </w:pPr>
            <w:r/>
            <w:r>
              <w:rPr>
                <w:rFonts w:ascii="Times New Roman" w:hAnsi="Times New Roman" w:cs="Times New Roman" w:eastAsia="Times New Roman"/>
                <w:b/>
                <w:color w:val="1F4E79"/>
                <w:sz w:val="18"/>
              </w:rPr>
              <w:t>2024-2025</w:t>
            </w:r>
          </w:p>
        </w:tc>
      </w:tr>
      <w:tr>
        <w:tc>
          <w:tcPr>
            <w:tcW w:type="dxa" w:w="2381"/>
          </w:tcPr>
          <w:p>
            <w:pPr>
              <w:spacing w:after="40"/>
            </w:pPr>
            <w:r/>
            <w:r>
              <w:rPr>
                <w:rFonts w:ascii="Times New Roman" w:hAnsi="Times New Roman" w:cs="Times New Roman" w:eastAsia="Times New Roman"/>
                <w:b w:val="0"/>
                <w:sz w:val="17"/>
              </w:rPr>
              <w:t>Prix moyen m2</w:t>
            </w:r>
          </w:p>
        </w:tc>
        <w:tc>
          <w:tcPr>
            <w:tcW w:type="dxa" w:w="2948"/>
          </w:tcPr>
          <w:p>
            <w:pPr>
              <w:spacing w:after="40"/>
            </w:pPr>
            <w:r/>
            <w:r>
              <w:rPr>
                <w:rFonts w:ascii="Times New Roman" w:hAnsi="Times New Roman" w:cs="Times New Roman" w:eastAsia="Times New Roman"/>
                <w:sz w:val="17"/>
              </w:rPr>
              <w:t>tout (terrains compris au numérateur)</w:t>
            </w:r>
          </w:p>
        </w:tc>
        <w:tc>
          <w:tcPr>
            <w:tcW w:type="dxa" w:w="1701"/>
          </w:tcPr>
          <w:p>
            <w:pPr>
              <w:spacing w:after="40"/>
            </w:pPr>
            <w:r/>
            <w:r>
              <w:rPr>
                <w:rFonts w:ascii="Times New Roman" w:hAnsi="Times New Roman" w:cs="Times New Roman" w:eastAsia="Times New Roman"/>
                <w:sz w:val="17"/>
              </w:rPr>
              <w:t>2 156,13 €</w:t>
            </w:r>
          </w:p>
        </w:tc>
        <w:tc>
          <w:tcPr>
            <w:tcW w:type="dxa" w:w="1701"/>
          </w:tcPr>
          <w:p>
            <w:pPr>
              <w:spacing w:after="40"/>
            </w:pPr>
            <w:r/>
            <w:r>
              <w:rPr>
                <w:rFonts w:ascii="Times New Roman" w:hAnsi="Times New Roman" w:cs="Times New Roman" w:eastAsia="Times New Roman"/>
                <w:sz w:val="17"/>
              </w:rPr>
              <w:t>2 187,23 €</w:t>
            </w:r>
          </w:p>
        </w:tc>
        <w:tc>
          <w:tcPr>
            <w:tcW w:type="dxa" w:w="1701"/>
          </w:tcPr>
          <w:p>
            <w:pPr>
              <w:spacing w:after="40"/>
            </w:pPr>
            <w:r/>
            <w:r>
              <w:rPr>
                <w:rFonts w:ascii="Times New Roman" w:hAnsi="Times New Roman" w:cs="Times New Roman" w:eastAsia="Times New Roman"/>
                <w:sz w:val="17"/>
              </w:rPr>
              <w:t>2 172,46 €</w:t>
            </w:r>
          </w:p>
        </w:tc>
      </w:tr>
      <w:tr>
        <w:tc>
          <w:tcPr>
            <w:tcW w:type="dxa" w:w="2381"/>
          </w:tcPr>
          <w:p>
            <w:pPr>
              <w:spacing w:after="40"/>
            </w:pPr>
            <w:r/>
            <w:r>
              <w:rPr>
                <w:rFonts w:ascii="Times New Roman" w:hAnsi="Times New Roman" w:cs="Times New Roman" w:eastAsia="Times New Roman"/>
                <w:b w:val="0"/>
                <w:sz w:val="17"/>
              </w:rPr>
              <w:t>Prix moyen m2 habitation</w:t>
            </w:r>
          </w:p>
        </w:tc>
        <w:tc>
          <w:tcPr>
            <w:tcW w:type="dxa" w:w="2948"/>
          </w:tcPr>
          <w:p>
            <w:pPr>
              <w:spacing w:after="40"/>
            </w:pPr>
            <w:r/>
            <w:r>
              <w:rPr>
                <w:rFonts w:ascii="Times New Roman" w:hAnsi="Times New Roman" w:cs="Times New Roman" w:eastAsia="Times New Roman"/>
                <w:sz w:val="17"/>
              </w:rPr>
              <w:t>maisons et appartements uniquement</w:t>
            </w:r>
          </w:p>
        </w:tc>
        <w:tc>
          <w:tcPr>
            <w:tcW w:type="dxa" w:w="1701"/>
          </w:tcPr>
          <w:p>
            <w:pPr>
              <w:spacing w:after="40"/>
            </w:pPr>
            <w:r/>
            <w:r>
              <w:rPr>
                <w:rFonts w:ascii="Times New Roman" w:hAnsi="Times New Roman" w:cs="Times New Roman" w:eastAsia="Times New Roman"/>
                <w:sz w:val="17"/>
              </w:rPr>
              <w:t>2 494,36 €</w:t>
            </w:r>
          </w:p>
        </w:tc>
        <w:tc>
          <w:tcPr>
            <w:tcW w:type="dxa" w:w="1701"/>
          </w:tcPr>
          <w:p>
            <w:pPr>
              <w:spacing w:after="40"/>
            </w:pPr>
            <w:r/>
            <w:r>
              <w:rPr>
                <w:rFonts w:ascii="Times New Roman" w:hAnsi="Times New Roman" w:cs="Times New Roman" w:eastAsia="Times New Roman"/>
                <w:sz w:val="17"/>
              </w:rPr>
              <w:t>2 540,76 €</w:t>
            </w:r>
          </w:p>
        </w:tc>
        <w:tc>
          <w:tcPr>
            <w:tcW w:type="dxa" w:w="1701"/>
          </w:tcPr>
          <w:p>
            <w:pPr>
              <w:spacing w:after="40"/>
            </w:pPr>
            <w:r/>
            <w:r>
              <w:rPr>
                <w:rFonts w:ascii="Times New Roman" w:hAnsi="Times New Roman" w:cs="Times New Roman" w:eastAsia="Times New Roman"/>
                <w:sz w:val="17"/>
              </w:rPr>
              <w:t>2 518,95 €</w:t>
            </w:r>
          </w:p>
        </w:tc>
      </w:tr>
      <w:tr>
        <w:tc>
          <w:tcPr>
            <w:tcW w:type="dxa" w:w="2381"/>
          </w:tcPr>
          <w:p>
            <w:pPr>
              <w:spacing w:after="40"/>
            </w:pPr>
            <w:r/>
            <w:r>
              <w:rPr>
                <w:rFonts w:ascii="Times New Roman" w:hAnsi="Times New Roman" w:cs="Times New Roman" w:eastAsia="Times New Roman"/>
                <w:b w:val="0"/>
                <w:sz w:val="17"/>
              </w:rPr>
              <w:t>Prix moyen m2 terrain</w:t>
            </w:r>
          </w:p>
        </w:tc>
        <w:tc>
          <w:tcPr>
            <w:tcW w:type="dxa" w:w="2948"/>
          </w:tcPr>
          <w:p>
            <w:pPr>
              <w:spacing w:after="40"/>
            </w:pPr>
            <w:r/>
            <w:r>
              <w:rPr>
                <w:rFonts w:ascii="Times New Roman" w:hAnsi="Times New Roman" w:cs="Times New Roman" w:eastAsia="Times New Roman"/>
                <w:sz w:val="17"/>
              </w:rPr>
              <w:t>terrains (valeur / surface de terrain)</w:t>
            </w:r>
          </w:p>
        </w:tc>
        <w:tc>
          <w:tcPr>
            <w:tcW w:type="dxa" w:w="1701"/>
          </w:tcPr>
          <w:p>
            <w:pPr>
              <w:spacing w:after="40"/>
            </w:pPr>
            <w:r/>
            <w:r>
              <w:rPr>
                <w:rFonts w:ascii="Times New Roman" w:hAnsi="Times New Roman" w:cs="Times New Roman" w:eastAsia="Times New Roman"/>
                <w:sz w:val="17"/>
              </w:rPr>
              <w:t>17,88 €</w:t>
            </w:r>
          </w:p>
        </w:tc>
        <w:tc>
          <w:tcPr>
            <w:tcW w:type="dxa" w:w="1701"/>
          </w:tcPr>
          <w:p>
            <w:pPr>
              <w:spacing w:after="40"/>
            </w:pPr>
            <w:r/>
            <w:r>
              <w:rPr>
                <w:rFonts w:ascii="Times New Roman" w:hAnsi="Times New Roman" w:cs="Times New Roman" w:eastAsia="Times New Roman"/>
                <w:sz w:val="17"/>
              </w:rPr>
              <w:t>18,60 €</w:t>
            </w:r>
          </w:p>
        </w:tc>
        <w:tc>
          <w:tcPr>
            <w:tcW w:type="dxa" w:w="1701"/>
          </w:tcPr>
          <w:p>
            <w:pPr>
              <w:spacing w:after="40"/>
            </w:pPr>
            <w:r/>
            <w:r>
              <w:rPr>
                <w:rFonts w:ascii="Times New Roman" w:hAnsi="Times New Roman" w:cs="Times New Roman" w:eastAsia="Times New Roman"/>
                <w:sz w:val="17"/>
              </w:rPr>
              <w:t>18,25 €</w:t>
            </w:r>
          </w:p>
        </w:tc>
      </w:tr>
    </w:tbl>
    <w:p>
      <w:pPr>
        <w:spacing w:after="40"/>
      </w:pPr>
    </w:p>
    <w:p>
      <w:pPr>
        <w:spacing w:after="120"/>
      </w:pPr>
      <w:r>
        <w:rPr>
          <w:rFonts w:ascii="Times New Roman" w:hAnsi="Times New Roman" w:cs="Times New Roman" w:eastAsia="Times New Roman"/>
          <w:b w:val="0"/>
          <w:i w:val="0"/>
          <w:sz w:val="21"/>
        </w:rPr>
        <w:t>Le prix moyen au m² des logements (2 519 €) est supérieur de 16 % au prix moyen au m² global (2 172 €) : dans le premier cas, seules sont comparées des surfaces habitables ; dans le second, le numérateur comprend aussi la valeur des terrains et des dépendances, alors que le dénominateur ne compte que la surface bâtie. C'est exactement la raison d'être des deux mesures dédiées.</w:t>
      </w:r>
    </w:p>
    <w:p>
      <w:pPr>
        <w:pStyle w:val="Heading2"/>
      </w:pPr>
      <w:r>
        <w:t>8.6 Cohérence des deux tables de faits</w:t>
      </w:r>
    </w:p>
    <w:p>
      <w:pPr>
        <w:spacing w:after="120"/>
      </w:pPr>
      <w:r>
        <w:rPr>
          <w:rFonts w:ascii="Times New Roman" w:hAnsi="Times New Roman" w:cs="Times New Roman" w:eastAsia="Times New Roman"/>
          <w:b w:val="0"/>
          <w:i w:val="0"/>
          <w:sz w:val="21"/>
        </w:rPr>
        <w:t>Les deux tables de faits, construites indépendamment l'une de l'autre, doivent donner les mêmes totaux. C'est le principal contrôle de qualité du modèle :</w:t>
      </w:r>
    </w:p>
    <w:tbl>
      <w:tblPr>
        <w:tblStyle w:val="TableGrid"/>
        <w:tblW w:type="auto" w:w="0"/>
        <w:jc w:val="center"/>
        <w:tblLook w:firstColumn="1" w:firstRow="1" w:lastColumn="0" w:lastRow="0" w:noHBand="0" w:noVBand="1" w:val="04A0"/>
      </w:tblPr>
      <w:tblGrid>
        <w:gridCol w:w="3286"/>
        <w:gridCol w:w="3286"/>
        <w:gridCol w:w="3286"/>
      </w:tblGrid>
      <w:tr>
        <w:tc>
          <w:tcPr>
            <w:tcW w:type="dxa" w:w="2835"/>
            <w:shd w:val="clear" w:color="auto" w:fill="DCE6F1"/>
          </w:tcPr>
          <w:p>
            <w:pPr>
              <w:spacing w:after="40"/>
            </w:pPr>
            <w:r/>
            <w:r>
              <w:rPr>
                <w:rFonts w:ascii="Times New Roman" w:hAnsi="Times New Roman" w:cs="Times New Roman" w:eastAsia="Times New Roman"/>
                <w:b/>
                <w:color w:val="1F4E79"/>
                <w:sz w:val="19"/>
              </w:rPr>
              <w:t>Indicateur</w:t>
            </w:r>
          </w:p>
        </w:tc>
        <w:tc>
          <w:tcPr>
            <w:tcW w:type="dxa" w:w="3118"/>
            <w:shd w:val="clear" w:color="auto" w:fill="DCE6F1"/>
          </w:tcPr>
          <w:p>
            <w:pPr>
              <w:spacing w:after="40"/>
            </w:pPr>
            <w:r/>
            <w:r>
              <w:rPr>
                <w:rFonts w:ascii="Times New Roman" w:hAnsi="Times New Roman" w:cs="Times New Roman" w:eastAsia="Times New Roman"/>
                <w:b/>
                <w:color w:val="1F4E79"/>
                <w:sz w:val="19"/>
              </w:rPr>
              <w:t>Table détaillée (fait_mutation)</w:t>
            </w:r>
          </w:p>
        </w:tc>
        <w:tc>
          <w:tcPr>
            <w:tcW w:type="dxa" w:w="3118"/>
            <w:shd w:val="clear" w:color="auto" w:fill="DCE6F1"/>
          </w:tcPr>
          <w:p>
            <w:pPr>
              <w:spacing w:after="40"/>
            </w:pPr>
            <w:r/>
            <w:r>
              <w:rPr>
                <w:rFonts w:ascii="Times New Roman" w:hAnsi="Times New Roman" w:cs="Times New Roman" w:eastAsia="Times New Roman"/>
                <w:b/>
                <w:color w:val="1F4E79"/>
                <w:sz w:val="19"/>
              </w:rPr>
              <w:t>Table agrégée (fait_marche_agrege)</w:t>
            </w:r>
          </w:p>
        </w:tc>
      </w:tr>
      <w:tr>
        <w:tc>
          <w:tcPr>
            <w:tcW w:type="dxa" w:w="2835"/>
          </w:tcPr>
          <w:p>
            <w:pPr>
              <w:spacing w:after="40"/>
            </w:pPr>
            <w:r/>
            <w:r>
              <w:rPr>
                <w:rFonts w:ascii="Times New Roman" w:hAnsi="Times New Roman" w:cs="Times New Roman" w:eastAsia="Times New Roman"/>
                <w:b w:val="0"/>
                <w:sz w:val="19"/>
              </w:rPr>
              <w:t>Nombre de mutations</w:t>
            </w:r>
          </w:p>
        </w:tc>
        <w:tc>
          <w:tcPr>
            <w:tcW w:type="dxa" w:w="3118"/>
          </w:tcPr>
          <w:p>
            <w:pPr>
              <w:spacing w:after="40"/>
            </w:pPr>
            <w:r/>
            <w:r>
              <w:rPr>
                <w:rFonts w:ascii="Times New Roman" w:hAnsi="Times New Roman" w:cs="Times New Roman" w:eastAsia="Times New Roman"/>
                <w:sz w:val="19"/>
              </w:rPr>
              <w:t>2 558 598</w:t>
            </w:r>
          </w:p>
        </w:tc>
        <w:tc>
          <w:tcPr>
            <w:tcW w:type="dxa" w:w="3118"/>
          </w:tcPr>
          <w:p>
            <w:pPr>
              <w:spacing w:after="40"/>
            </w:pPr>
            <w:r/>
            <w:r>
              <w:rPr>
                <w:rFonts w:ascii="Times New Roman" w:hAnsi="Times New Roman" w:cs="Times New Roman" w:eastAsia="Times New Roman"/>
                <w:sz w:val="19"/>
              </w:rPr>
              <w:t>2 558 598</w:t>
            </w:r>
          </w:p>
        </w:tc>
      </w:tr>
      <w:tr>
        <w:tc>
          <w:tcPr>
            <w:tcW w:type="dxa" w:w="2835"/>
          </w:tcPr>
          <w:p>
            <w:pPr>
              <w:spacing w:after="40"/>
            </w:pPr>
            <w:r/>
            <w:r>
              <w:rPr>
                <w:rFonts w:ascii="Times New Roman" w:hAnsi="Times New Roman" w:cs="Times New Roman" w:eastAsia="Times New Roman"/>
                <w:b w:val="0"/>
                <w:sz w:val="19"/>
              </w:rPr>
              <w:t>Valeur foncière totale</w:t>
            </w:r>
          </w:p>
        </w:tc>
        <w:tc>
          <w:tcPr>
            <w:tcW w:type="dxa" w:w="3118"/>
          </w:tcPr>
          <w:p>
            <w:pPr>
              <w:spacing w:after="40"/>
            </w:pPr>
            <w:r/>
            <w:r>
              <w:rPr>
                <w:rFonts w:ascii="Times New Roman" w:hAnsi="Times New Roman" w:cs="Times New Roman" w:eastAsia="Times New Roman"/>
                <w:sz w:val="19"/>
              </w:rPr>
              <w:t>604 914 936 592 €</w:t>
            </w:r>
          </w:p>
        </w:tc>
        <w:tc>
          <w:tcPr>
            <w:tcW w:type="dxa" w:w="3118"/>
          </w:tcPr>
          <w:p>
            <w:pPr>
              <w:spacing w:after="40"/>
            </w:pPr>
            <w:r/>
            <w:r>
              <w:rPr>
                <w:rFonts w:ascii="Times New Roman" w:hAnsi="Times New Roman" w:cs="Times New Roman" w:eastAsia="Times New Roman"/>
                <w:sz w:val="19"/>
              </w:rPr>
              <w:t>604 914 936 592 €</w:t>
            </w:r>
          </w:p>
        </w:tc>
      </w:tr>
      <w:tr>
        <w:tc>
          <w:tcPr>
            <w:tcW w:type="dxa" w:w="2835"/>
          </w:tcPr>
          <w:p>
            <w:pPr>
              <w:spacing w:after="40"/>
            </w:pPr>
            <w:r/>
            <w:r>
              <w:rPr>
                <w:rFonts w:ascii="Times New Roman" w:hAnsi="Times New Roman" w:cs="Times New Roman" w:eastAsia="Times New Roman"/>
                <w:b w:val="0"/>
                <w:sz w:val="19"/>
              </w:rPr>
              <w:t>Prix moyen au m²</w:t>
            </w:r>
          </w:p>
        </w:tc>
        <w:tc>
          <w:tcPr>
            <w:tcW w:type="dxa" w:w="3118"/>
          </w:tcPr>
          <w:p>
            <w:pPr>
              <w:spacing w:after="40"/>
            </w:pPr>
            <w:r/>
            <w:r>
              <w:rPr>
                <w:rFonts w:ascii="Times New Roman" w:hAnsi="Times New Roman" w:cs="Times New Roman" w:eastAsia="Times New Roman"/>
                <w:sz w:val="19"/>
              </w:rPr>
              <w:t>2 172,46 €</w:t>
            </w:r>
          </w:p>
        </w:tc>
        <w:tc>
          <w:tcPr>
            <w:tcW w:type="dxa" w:w="3118"/>
          </w:tcPr>
          <w:p>
            <w:pPr>
              <w:spacing w:after="40"/>
            </w:pPr>
            <w:r/>
            <w:r>
              <w:rPr>
                <w:rFonts w:ascii="Times New Roman" w:hAnsi="Times New Roman" w:cs="Times New Roman" w:eastAsia="Times New Roman"/>
                <w:sz w:val="19"/>
              </w:rPr>
              <w:t>2 172,46 €</w:t>
            </w:r>
          </w:p>
        </w:tc>
      </w:tr>
    </w:tbl>
    <w:p>
      <w:pPr>
        <w:spacing w:after="40"/>
      </w:pPr>
    </w:p>
    <w:p>
      <w:pPr>
        <w:pStyle w:val="Heading1"/>
      </w:pPr>
      <w:r>
        <w:t>9. Limites et points de vigilance</w:t>
      </w:r>
    </w:p>
    <w:p>
      <w:pPr>
        <w:pStyle w:val="Heading2"/>
      </w:pPr>
      <w:r>
        <w:t>9.1 Des prix au m² vides dans certaines communes</w:t>
      </w:r>
    </w:p>
    <w:p>
      <w:pPr>
        <w:spacing w:after="120"/>
      </w:pPr>
      <w:r>
        <w:rPr>
          <w:rFonts w:ascii="Times New Roman" w:hAnsi="Times New Roman" w:cs="Times New Roman" w:eastAsia="Times New Roman"/>
          <w:b w:val="0"/>
          <w:i w:val="0"/>
          <w:sz w:val="21"/>
        </w:rPr>
        <w:t>La mesure Prix moyen m2 divise la valeur par la surface bâtie. Or la source ne renseigne cette surface que pour les maisons et les appartements :</w:t>
      </w:r>
    </w:p>
    <w:tbl>
      <w:tblPr>
        <w:tblStyle w:val="TableGrid"/>
        <w:tblW w:type="auto" w:w="0"/>
        <w:jc w:val="center"/>
        <w:tblLook w:firstColumn="1" w:firstRow="1" w:lastColumn="0" w:lastRow="0" w:noHBand="0" w:noVBand="1" w:val="04A0"/>
      </w:tblPr>
      <w:tblGrid>
        <w:gridCol w:w="3286"/>
        <w:gridCol w:w="3286"/>
        <w:gridCol w:w="3286"/>
      </w:tblGrid>
      <w:tr>
        <w:tc>
          <w:tcPr>
            <w:tcW w:type="dxa" w:w="3742"/>
            <w:shd w:val="clear" w:color="auto" w:fill="DCE6F1"/>
          </w:tcPr>
          <w:p>
            <w:pPr>
              <w:spacing w:after="40"/>
            </w:pPr>
            <w:r/>
            <w:r>
              <w:rPr>
                <w:rFonts w:ascii="Times New Roman" w:hAnsi="Times New Roman" w:cs="Times New Roman" w:eastAsia="Times New Roman"/>
                <w:b/>
                <w:color w:val="1F4E79"/>
                <w:sz w:val="19"/>
              </w:rPr>
              <w:t>Type de local</w:t>
            </w:r>
          </w:p>
        </w:tc>
        <w:tc>
          <w:tcPr>
            <w:tcW w:type="dxa" w:w="2494"/>
            <w:shd w:val="clear" w:color="auto" w:fill="DCE6F1"/>
          </w:tcPr>
          <w:p>
            <w:pPr>
              <w:spacing w:after="40"/>
            </w:pPr>
            <w:r/>
            <w:r>
              <w:rPr>
                <w:rFonts w:ascii="Times New Roman" w:hAnsi="Times New Roman" w:cs="Times New Roman" w:eastAsia="Times New Roman"/>
                <w:b/>
                <w:color w:val="1F4E79"/>
                <w:sz w:val="19"/>
              </w:rPr>
              <w:t>Lignes</w:t>
            </w:r>
          </w:p>
        </w:tc>
        <w:tc>
          <w:tcPr>
            <w:tcW w:type="dxa" w:w="2835"/>
            <w:shd w:val="clear" w:color="auto" w:fill="DCE6F1"/>
          </w:tcPr>
          <w:p>
            <w:pPr>
              <w:spacing w:after="40"/>
            </w:pPr>
            <w:r/>
            <w:r>
              <w:rPr>
                <w:rFonts w:ascii="Times New Roman" w:hAnsi="Times New Roman" w:cs="Times New Roman" w:eastAsia="Times New Roman"/>
                <w:b/>
                <w:color w:val="1F4E79"/>
                <w:sz w:val="19"/>
              </w:rPr>
              <w:t>Dont surface bâtie absente ou nulle</w:t>
            </w:r>
          </w:p>
        </w:tc>
      </w:tr>
      <w:tr>
        <w:tc>
          <w:tcPr>
            <w:tcW w:type="dxa" w:w="3742"/>
          </w:tcPr>
          <w:p>
            <w:pPr>
              <w:spacing w:after="40"/>
            </w:pPr>
            <w:r/>
            <w:r>
              <w:rPr>
                <w:rFonts w:ascii="Times New Roman" w:hAnsi="Times New Roman" w:cs="Times New Roman" w:eastAsia="Times New Roman"/>
                <w:b w:val="0"/>
                <w:sz w:val="19"/>
              </w:rPr>
              <w:t>Non renseigné (terrain / dépendance)</w:t>
            </w:r>
          </w:p>
        </w:tc>
        <w:tc>
          <w:tcPr>
            <w:tcW w:type="dxa" w:w="2494"/>
          </w:tcPr>
          <w:p>
            <w:pPr>
              <w:spacing w:after="40"/>
            </w:pPr>
            <w:r/>
            <w:r>
              <w:rPr>
                <w:rFonts w:ascii="Times New Roman" w:hAnsi="Times New Roman" w:cs="Times New Roman" w:eastAsia="Times New Roman"/>
                <w:sz w:val="19"/>
              </w:rPr>
              <w:t>2 942 044</w:t>
            </w:r>
          </w:p>
        </w:tc>
        <w:tc>
          <w:tcPr>
            <w:tcW w:type="dxa" w:w="2835"/>
          </w:tcPr>
          <w:p>
            <w:pPr>
              <w:spacing w:after="40"/>
            </w:pPr>
            <w:r/>
            <w:r>
              <w:rPr>
                <w:rFonts w:ascii="Times New Roman" w:hAnsi="Times New Roman" w:cs="Times New Roman" w:eastAsia="Times New Roman"/>
                <w:sz w:val="19"/>
              </w:rPr>
              <w:t>2 942 044 (100 %)</w:t>
            </w:r>
          </w:p>
        </w:tc>
      </w:tr>
      <w:tr>
        <w:tc>
          <w:tcPr>
            <w:tcW w:type="dxa" w:w="3742"/>
          </w:tcPr>
          <w:p>
            <w:pPr>
              <w:spacing w:after="40"/>
            </w:pPr>
            <w:r/>
            <w:r>
              <w:rPr>
                <w:rFonts w:ascii="Times New Roman" w:hAnsi="Times New Roman" w:cs="Times New Roman" w:eastAsia="Times New Roman"/>
                <w:b w:val="0"/>
                <w:sz w:val="19"/>
              </w:rPr>
              <w:t>Dépendance</w:t>
            </w:r>
          </w:p>
        </w:tc>
        <w:tc>
          <w:tcPr>
            <w:tcW w:type="dxa" w:w="2494"/>
          </w:tcPr>
          <w:p>
            <w:pPr>
              <w:spacing w:after="40"/>
            </w:pPr>
            <w:r/>
            <w:r>
              <w:rPr>
                <w:rFonts w:ascii="Times New Roman" w:hAnsi="Times New Roman" w:cs="Times New Roman" w:eastAsia="Times New Roman"/>
                <w:sz w:val="19"/>
              </w:rPr>
              <w:t>1 899 893</w:t>
            </w:r>
          </w:p>
        </w:tc>
        <w:tc>
          <w:tcPr>
            <w:tcW w:type="dxa" w:w="2835"/>
          </w:tcPr>
          <w:p>
            <w:pPr>
              <w:spacing w:after="40"/>
            </w:pPr>
            <w:r/>
            <w:r>
              <w:rPr>
                <w:rFonts w:ascii="Times New Roman" w:hAnsi="Times New Roman" w:cs="Times New Roman" w:eastAsia="Times New Roman"/>
                <w:sz w:val="19"/>
              </w:rPr>
              <w:t>1 899 893 (100 %)</w:t>
            </w:r>
          </w:p>
        </w:tc>
      </w:tr>
      <w:tr>
        <w:tc>
          <w:tcPr>
            <w:tcW w:type="dxa" w:w="3742"/>
          </w:tcPr>
          <w:p>
            <w:pPr>
              <w:spacing w:after="40"/>
            </w:pPr>
            <w:r/>
            <w:r>
              <w:rPr>
                <w:rFonts w:ascii="Times New Roman" w:hAnsi="Times New Roman" w:cs="Times New Roman" w:eastAsia="Times New Roman"/>
                <w:b w:val="0"/>
                <w:sz w:val="19"/>
              </w:rPr>
              <w:t>Local industriel / commercial</w:t>
            </w:r>
          </w:p>
        </w:tc>
        <w:tc>
          <w:tcPr>
            <w:tcW w:type="dxa" w:w="2494"/>
          </w:tcPr>
          <w:p>
            <w:pPr>
              <w:spacing w:after="40"/>
            </w:pPr>
            <w:r/>
            <w:r>
              <w:rPr>
                <w:rFonts w:ascii="Times New Roman" w:hAnsi="Times New Roman" w:cs="Times New Roman" w:eastAsia="Times New Roman"/>
                <w:sz w:val="19"/>
              </w:rPr>
              <w:t>226 931</w:t>
            </w:r>
          </w:p>
        </w:tc>
        <w:tc>
          <w:tcPr>
            <w:tcW w:type="dxa" w:w="2835"/>
          </w:tcPr>
          <w:p>
            <w:pPr>
              <w:spacing w:after="40"/>
            </w:pPr>
            <w:r/>
            <w:r>
              <w:rPr>
                <w:rFonts w:ascii="Times New Roman" w:hAnsi="Times New Roman" w:cs="Times New Roman" w:eastAsia="Times New Roman"/>
                <w:sz w:val="19"/>
              </w:rPr>
              <w:t>13 224 (5,8 %)</w:t>
            </w:r>
          </w:p>
        </w:tc>
      </w:tr>
      <w:tr>
        <w:tc>
          <w:tcPr>
            <w:tcW w:type="dxa" w:w="3742"/>
          </w:tcPr>
          <w:p>
            <w:pPr>
              <w:spacing w:after="40"/>
            </w:pPr>
            <w:r/>
            <w:r>
              <w:rPr>
                <w:rFonts w:ascii="Times New Roman" w:hAnsi="Times New Roman" w:cs="Times New Roman" w:eastAsia="Times New Roman"/>
                <w:b w:val="0"/>
                <w:sz w:val="19"/>
              </w:rPr>
              <w:t>Appartement</w:t>
            </w:r>
          </w:p>
        </w:tc>
        <w:tc>
          <w:tcPr>
            <w:tcW w:type="dxa" w:w="2494"/>
          </w:tcPr>
          <w:p>
            <w:pPr>
              <w:spacing w:after="40"/>
            </w:pPr>
            <w:r/>
            <w:r>
              <w:rPr>
                <w:rFonts w:ascii="Times New Roman" w:hAnsi="Times New Roman" w:cs="Times New Roman" w:eastAsia="Times New Roman"/>
                <w:sz w:val="19"/>
              </w:rPr>
              <w:t>977 258</w:t>
            </w:r>
          </w:p>
        </w:tc>
        <w:tc>
          <w:tcPr>
            <w:tcW w:type="dxa" w:w="2835"/>
          </w:tcPr>
          <w:p>
            <w:pPr>
              <w:spacing w:after="40"/>
            </w:pPr>
            <w:r/>
            <w:r>
              <w:rPr>
                <w:rFonts w:ascii="Times New Roman" w:hAnsi="Times New Roman" w:cs="Times New Roman" w:eastAsia="Times New Roman"/>
                <w:sz w:val="19"/>
              </w:rPr>
              <w:t>148</w:t>
            </w:r>
          </w:p>
        </w:tc>
      </w:tr>
      <w:tr>
        <w:tc>
          <w:tcPr>
            <w:tcW w:type="dxa" w:w="3742"/>
          </w:tcPr>
          <w:p>
            <w:pPr>
              <w:spacing w:after="40"/>
            </w:pPr>
            <w:r/>
            <w:r>
              <w:rPr>
                <w:rFonts w:ascii="Times New Roman" w:hAnsi="Times New Roman" w:cs="Times New Roman" w:eastAsia="Times New Roman"/>
                <w:b w:val="0"/>
                <w:sz w:val="19"/>
              </w:rPr>
              <w:t>Maison</w:t>
            </w:r>
          </w:p>
        </w:tc>
        <w:tc>
          <w:tcPr>
            <w:tcW w:type="dxa" w:w="2494"/>
          </w:tcPr>
          <w:p>
            <w:pPr>
              <w:spacing w:after="40"/>
            </w:pPr>
            <w:r/>
            <w:r>
              <w:rPr>
                <w:rFonts w:ascii="Times New Roman" w:hAnsi="Times New Roman" w:cs="Times New Roman" w:eastAsia="Times New Roman"/>
                <w:sz w:val="19"/>
              </w:rPr>
              <w:t>1 168 634</w:t>
            </w:r>
          </w:p>
        </w:tc>
        <w:tc>
          <w:tcPr>
            <w:tcW w:type="dxa" w:w="2835"/>
          </w:tcPr>
          <w:p>
            <w:pPr>
              <w:spacing w:after="40"/>
            </w:pPr>
            <w:r/>
            <w:r>
              <w:rPr>
                <w:rFonts w:ascii="Times New Roman" w:hAnsi="Times New Roman" w:cs="Times New Roman" w:eastAsia="Times New Roman"/>
                <w:sz w:val="19"/>
              </w:rPr>
              <w:t>53</w:t>
            </w:r>
          </w:p>
        </w:tc>
      </w:tr>
      <w:tr>
        <w:tc>
          <w:tcPr>
            <w:tcW w:type="dxa" w:w="3742"/>
          </w:tcPr>
          <w:p>
            <w:pPr>
              <w:spacing w:after="40"/>
            </w:pPr>
            <w:r/>
            <w:r>
              <w:rPr>
                <w:rFonts w:ascii="Times New Roman" w:hAnsi="Times New Roman" w:cs="Times New Roman" w:eastAsia="Times New Roman"/>
                <w:b w:val="0"/>
                <w:sz w:val="19"/>
              </w:rPr>
              <w:t>Total</w:t>
            </w:r>
          </w:p>
        </w:tc>
        <w:tc>
          <w:tcPr>
            <w:tcW w:type="dxa" w:w="2494"/>
          </w:tcPr>
          <w:p>
            <w:pPr>
              <w:spacing w:after="40"/>
            </w:pPr>
            <w:r/>
            <w:r>
              <w:rPr>
                <w:rFonts w:ascii="Times New Roman" w:hAnsi="Times New Roman" w:cs="Times New Roman" w:eastAsia="Times New Roman"/>
                <w:sz w:val="19"/>
              </w:rPr>
              <w:t>7 214 760</w:t>
            </w:r>
          </w:p>
        </w:tc>
        <w:tc>
          <w:tcPr>
            <w:tcW w:type="dxa" w:w="2835"/>
          </w:tcPr>
          <w:p>
            <w:pPr>
              <w:spacing w:after="40"/>
            </w:pPr>
            <w:r/>
            <w:r>
              <w:rPr>
                <w:rFonts w:ascii="Times New Roman" w:hAnsi="Times New Roman" w:cs="Times New Roman" w:eastAsia="Times New Roman"/>
                <w:sz w:val="19"/>
              </w:rPr>
              <w:t>4 855 362 (67 %)</w:t>
            </w:r>
          </w:p>
        </w:tc>
      </w:tr>
    </w:tbl>
    <w:p>
      <w:pPr>
        <w:spacing w:after="40"/>
      </w:pPr>
    </w:p>
    <w:p>
      <w:pPr>
        <w:spacing w:after="120"/>
      </w:pPr>
      <w:r>
        <w:rPr>
          <w:rFonts w:ascii="Times New Roman" w:hAnsi="Times New Roman" w:cs="Times New Roman" w:eastAsia="Times New Roman"/>
          <w:b w:val="0"/>
          <w:i w:val="0"/>
          <w:sz w:val="21"/>
        </w:rPr>
        <w:t xml:space="preserve">Au total, 4 855 362 lignes (67 % du fichier) n'ont aucune surface bâtie : </w:t>
      </w:r>
      <w:r>
        <w:rPr>
          <w:rFonts w:ascii="Times New Roman" w:hAnsi="Times New Roman" w:cs="Times New Roman" w:eastAsia="Times New Roman"/>
          <w:b/>
          <w:i w:val="0"/>
          <w:sz w:val="21"/>
        </w:rPr>
        <w:t>ce sont les terrains et les dépendances</w:t>
      </w:r>
      <w:r>
        <w:rPr>
          <w:rFonts w:ascii="Times New Roman" w:hAnsi="Times New Roman" w:cs="Times New Roman" w:eastAsia="Times New Roman"/>
          <w:b w:val="0"/>
          <w:i w:val="0"/>
          <w:sz w:val="21"/>
        </w:rPr>
        <w:t xml:space="preserve"> (caves, garages, parkings…). Dans une commune où seuls des terrains ou des dépendances ont été vendus dans l'année, la division n'a pas de dénominateur et DAX renvoie une valeur vide - d'où la cellule blanche. En 2025, 2 056 communes sur 31 148 (6,6 %) sont dans ce cas.</w:t>
      </w:r>
    </w:p>
    <w:p>
      <w:pPr>
        <w:spacing w:after="120"/>
      </w:pPr>
      <w:r>
        <w:rPr>
          <w:rFonts w:ascii="Times New Roman" w:hAnsi="Times New Roman" w:cs="Times New Roman" w:eastAsia="Times New Roman"/>
          <w:b w:val="0"/>
          <w:i w:val="0"/>
          <w:sz w:val="21"/>
        </w:rPr>
        <w:t xml:space="preserve">Mesuré à l'échelle des mutations : </w:t>
      </w:r>
      <w:r>
        <w:rPr>
          <w:rFonts w:ascii="Times New Roman" w:hAnsi="Times New Roman" w:cs="Times New Roman" w:eastAsia="Times New Roman"/>
          <w:b/>
          <w:i w:val="0"/>
          <w:sz w:val="21"/>
        </w:rPr>
        <w:t>794 644 mutations (31 % des 2 558 598 mutations) ne comportent aucun bien dont la surface bâtie soit renseignée ; elles représentent 105,6 Md€, soit 17,5 % de la valeur foncière échangée.</w:t>
      </w:r>
      <w:r>
        <w:rPr>
          <w:rFonts w:ascii="Times New Roman" w:hAnsi="Times New Roman" w:cs="Times New Roman" w:eastAsia="Times New Roman"/>
          <w:b w:val="0"/>
          <w:i w:val="0"/>
          <w:sz w:val="21"/>
        </w:rPr>
        <w:t xml:space="preserve"> Ces lignes ne sont donc pas négligeables, d'où les deux mesures dédiées (Prix moyen m2 habitation et Prix moyen m2 terrain) créées pour séparer les deux marchés.</w:t>
      </w:r>
    </w:p>
    <w:p>
      <w:pPr>
        <w:pStyle w:val="Heading2"/>
      </w:pPr>
      <w:r>
        <w:t>9.2 Un rapprochement de lignes reconstruit, pas identifié par la source</w:t>
      </w:r>
    </w:p>
    <w:p>
      <w:pPr>
        <w:spacing w:after="120"/>
      </w:pPr>
      <w:r>
        <w:rPr>
          <w:rFonts w:ascii="Times New Roman" w:hAnsi="Times New Roman" w:cs="Times New Roman" w:eastAsia="Times New Roman"/>
          <w:b w:val="0"/>
          <w:i w:val="0"/>
          <w:sz w:val="21"/>
        </w:rPr>
        <w:t>Faute d'identifiant de document, la clé cle_mutation est reconstruite en regroupant les lignes contiguës qui partagent la date, la commune, la nature de mutation et la valeur foncière. Deux mutations distinctes présentant exactement ces quatre caractéristiques seraient comptées comme une seule. Le contrôle du §8.6 (concordance entre les deux tables de faits) montre que l'effet reste marginal à l'échelle nationale, mais il faut le garder en tête pour une analyse très locale.</w:t>
      </w:r>
    </w:p>
    <w:p>
      <w:pPr>
        <w:pStyle w:val="Heading2"/>
      </w:pPr>
      <w:r>
        <w:t>9.3 Une profondeur historique limitée par la mémoire du poste</w:t>
      </w:r>
    </w:p>
    <w:p>
      <w:pPr>
        <w:spacing w:after="120"/>
      </w:pPr>
      <w:r>
        <w:rPr>
          <w:rFonts w:ascii="Times New Roman" w:hAnsi="Times New Roman" w:cs="Times New Roman" w:eastAsia="Times New Roman"/>
          <w:b w:val="0"/>
          <w:i w:val="0"/>
          <w:sz w:val="21"/>
        </w:rPr>
        <w:t>Le jeu DVF couvre 2021 à 2025, mais seules 2024 et 2025 sont chargées : sur ce poste (13,9 Go de RAM), l'actualisation des 5 années (environ 20 millions de lignes) épuise la mémoire disponible. Le modèle est prêt pour les 5 années - il suffit d'ajouter les années à la liste Annees de DVF_Brut et d'actualiser - mais l'opération demande un poste mieux doté en mémoire.</w:t>
      </w:r>
    </w:p>
    <w:p>
      <w:pPr>
        <w:pStyle w:val="Heading2"/>
      </w:pPr>
      <w:r>
        <w:t>9.4 Des prix moyens, pas des prix médians</w:t>
      </w:r>
    </w:p>
    <w:p>
      <w:pPr>
        <w:spacing w:after="120"/>
      </w:pPr>
      <w:r>
        <w:rPr>
          <w:rFonts w:ascii="Times New Roman" w:hAnsi="Times New Roman" w:cs="Times New Roman" w:eastAsia="Times New Roman"/>
          <w:b w:val="0"/>
          <w:i w:val="0"/>
          <w:sz w:val="21"/>
        </w:rPr>
        <w:t>Les indicateurs de prix sont des prix moyens (valeur foncière divisée par la surface), pondérés par les surfaces et sensibles aux valeurs extrêmes. Un prix médian par commune serait plus robuste, mais il suppose un calcul ligne à ligne sur les 7 millions de lignes : il n'a pas été retenu ici, par choix de performance.</w:t>
      </w:r>
    </w:p>
    <w:p>
      <w:pPr>
        <w:pStyle w:val="Heading2"/>
      </w:pPr>
      <w:r>
        <w:t>9.5 Périmètre géographique</w:t>
      </w:r>
    </w:p>
    <w:p>
      <w:pPr>
        <w:spacing w:after="120"/>
      </w:pPr>
      <w:r>
        <w:rPr>
          <w:rFonts w:ascii="Times New Roman" w:hAnsi="Times New Roman" w:cs="Times New Roman" w:eastAsia="Times New Roman"/>
          <w:b w:val="0"/>
          <w:i w:val="0"/>
          <w:sz w:val="21"/>
        </w:rPr>
        <w:t>Les données DVF couvrent la France métropolitaine et une partie de l'outre-mer. Les régions présentes dans les données 2024-2025 sont au nombre de 17 : les régions de l'outre-mer qui n'ont pas transmis de données n'apparaissent donc pas dans le rapport. Le tableau de bord décrit ce que contient la source, et non l'ensemble du territoire administratif français.</w:t>
      </w:r>
    </w:p>
    <w:p>
      <w:pPr>
        <w:pStyle w:val="Heading2"/>
      </w:pPr>
      <w:r>
        <w:t>9.6 Les valeurs par type de bien ne s'additionnent pas</w:t>
      </w:r>
    </w:p>
    <w:p>
      <w:pPr>
        <w:spacing w:after="120"/>
      </w:pPr>
      <w:r>
        <w:rPr>
          <w:rFonts w:ascii="Times New Roman" w:hAnsi="Times New Roman" w:cs="Times New Roman" w:eastAsia="Times New Roman"/>
          <w:b w:val="0"/>
          <w:i w:val="0"/>
          <w:sz w:val="21"/>
        </w:rPr>
        <w:t>Une mutation (une vente) peut porter sur plusieurs biens : la valeur foncière est répétée sur chaque ligne (§5) et les mesures par type de bien affectent la valeur de la mutation entière à chacun des types de biens qu'elle contient. La somme des valeurs par type de bien (environ 1 031 Md€) dépasse donc le total national (604 914 936 592 €) : ces montants doivent être lus type par type (maisons, appartements, dépendances, terrains), et jamais additionnés. Le total national, lui, s'obtient avec la mesure Valeur fonciere totale, qui ne compte chaque mutation qu'une seule fois - ne jamais utiliser SUM(valeur_fonciere) (§5).</w:t>
      </w:r>
    </w:p>
    <w:p>
      <w:pPr>
        <w:pStyle w:val="Heading1"/>
      </w:pPr>
      <w:r>
        <w:t>10. Conclusion et perspectives</w:t>
      </w:r>
    </w:p>
    <w:p>
      <w:pPr>
        <w:spacing w:after="120"/>
      </w:pPr>
      <w:r>
        <w:rPr>
          <w:rFonts w:ascii="Times New Roman" w:hAnsi="Times New Roman" w:cs="Times New Roman" w:eastAsia="Times New Roman"/>
          <w:b w:val="0"/>
          <w:i w:val="0"/>
          <w:sz w:val="21"/>
        </w:rPr>
        <w:t>Le modèle construit répond au besoin exprimé : il permet de connaître le prix des biens en France par région, département et commune, et de suivre son évolution entre 2024 et 2025. Il repose sur un schéma en flocon à deux tables de faits (une table détaillée issue du datawarehouse et une table agrégée constituant le datamart), 8 dimensions et 15 mesures DAX, avec deux hiérarchies géographiques et produit permettant de naviguer de la région jusqu'à la commune. Les six transformations demandées ou attendues sont réalisées en Power Query, et la cohérence des deux tables de faits est vérifiée au centime.</w:t>
      </w:r>
    </w:p>
    <w:p>
      <w:pPr>
        <w:spacing w:after="120"/>
      </w:pPr>
      <w:r>
        <w:rPr>
          <w:rFonts w:ascii="Times New Roman" w:hAnsi="Times New Roman" w:cs="Times New Roman" w:eastAsia="Times New Roman"/>
          <w:b w:val="0"/>
          <w:i w:val="0"/>
          <w:sz w:val="21"/>
        </w:rPr>
        <w:t>Pistes d'évolution :</w:t>
      </w:r>
    </w:p>
    <w:p>
      <w:pPr>
        <w:pStyle w:val="ListBullet"/>
        <w:spacing w:after="40"/>
      </w:pPr>
      <w:r>
        <w:rPr>
          <w:rFonts w:ascii="Times New Roman" w:hAnsi="Times New Roman" w:cs="Times New Roman" w:eastAsia="Times New Roman"/>
          <w:b/>
          <w:sz w:val="21"/>
        </w:rPr>
        <w:t>Réintégrer 2021-2023</w:t>
      </w:r>
      <w:r>
        <w:rPr>
          <w:rFonts w:ascii="Times New Roman" w:hAnsi="Times New Roman" w:cs="Times New Roman" w:eastAsia="Times New Roman"/>
          <w:b w:val="0"/>
          <w:sz w:val="21"/>
        </w:rPr>
        <w:t xml:space="preserve"> (et les années suivantes) sur un poste disposant de plus de mémoire, ou passer en mode DirectQuery/agrégations gérées.</w:t>
      </w:r>
    </w:p>
    <w:p>
      <w:pPr>
        <w:pStyle w:val="ListBullet"/>
        <w:spacing w:after="40"/>
      </w:pPr>
      <w:r>
        <w:rPr>
          <w:rFonts w:ascii="Times New Roman" w:hAnsi="Times New Roman" w:cs="Times New Roman" w:eastAsia="Times New Roman"/>
          <w:b/>
          <w:sz w:val="21"/>
        </w:rPr>
        <w:t>Ajouter des prix médians</w:t>
      </w:r>
      <w:r>
        <w:rPr>
          <w:rFonts w:ascii="Times New Roman" w:hAnsi="Times New Roman" w:cs="Times New Roman" w:eastAsia="Times New Roman"/>
          <w:b w:val="0"/>
          <w:sz w:val="21"/>
        </w:rPr>
        <w:t xml:space="preserve"> par commune et par type de bien, plus robustes que les moyennes.</w:t>
      </w:r>
    </w:p>
    <w:p>
      <w:pPr>
        <w:pStyle w:val="ListBullet"/>
        <w:spacing w:after="40"/>
      </w:pPr>
      <w:r>
        <w:rPr>
          <w:rFonts w:ascii="Times New Roman" w:hAnsi="Times New Roman" w:cs="Times New Roman" w:eastAsia="Times New Roman"/>
          <w:b/>
          <w:sz w:val="21"/>
        </w:rPr>
        <w:t>Ajouter une carte</w:t>
      </w:r>
      <w:r>
        <w:rPr>
          <w:rFonts w:ascii="Times New Roman" w:hAnsi="Times New Roman" w:cs="Times New Roman" w:eastAsia="Times New Roman"/>
          <w:b w:val="0"/>
          <w:sz w:val="21"/>
        </w:rPr>
        <w:t xml:space="preserve"> (carte choroplèthe par département) pour visualiser les écarts de prix sur le territoire.</w:t>
      </w:r>
    </w:p>
    <w:p>
      <w:pPr>
        <w:pStyle w:val="ListBullet"/>
        <w:spacing w:after="40"/>
      </w:pPr>
      <w:r>
        <w:rPr>
          <w:rFonts w:ascii="Times New Roman" w:hAnsi="Times New Roman" w:cs="Times New Roman" w:eastAsia="Times New Roman"/>
          <w:b/>
          <w:sz w:val="21"/>
        </w:rPr>
        <w:t>Mettre en place une actualisation incrémentielle</w:t>
      </w:r>
      <w:r>
        <w:rPr>
          <w:rFonts w:ascii="Times New Roman" w:hAnsi="Times New Roman" w:cs="Times New Roman" w:eastAsia="Times New Roman"/>
          <w:b w:val="0"/>
          <w:sz w:val="21"/>
        </w:rPr>
        <w:t xml:space="preserve"> pour ne recharger que les nouvelles mutations.</w:t>
      </w:r>
    </w:p>
    <w:p>
      <w:r>
        <w:br w:type="page"/>
      </w:r>
    </w:p>
    <w:p>
      <w:pPr>
        <w:pStyle w:val="Heading1"/>
      </w:pPr>
      <w:r>
        <w:t>Annexe A - Ouvrir et actualiser le projet</w:t>
      </w:r>
    </w:p>
    <w:p>
      <w:pPr>
        <w:pStyle w:val="ListBullet"/>
        <w:spacing w:after="40"/>
      </w:pPr>
      <w:r>
        <w:rPr>
          <w:rFonts w:ascii="Times New Roman" w:hAnsi="Times New Roman" w:cs="Times New Roman" w:eastAsia="Times New Roman"/>
          <w:b/>
          <w:sz w:val="21"/>
        </w:rPr>
        <w:t xml:space="preserve">1. </w:t>
      </w:r>
      <w:r>
        <w:rPr>
          <w:rFonts w:ascii="Times New Roman" w:hAnsi="Times New Roman" w:cs="Times New Roman" w:eastAsia="Times New Roman"/>
          <w:b w:val="0"/>
          <w:sz w:val="21"/>
        </w:rPr>
        <w:t>Ouvrir le fichier Projet_Solaris.pbip dans Power BI Desktop (le projet contient le modèle et le rapport).</w:t>
      </w:r>
    </w:p>
    <w:p>
      <w:pPr>
        <w:pStyle w:val="ListBullet"/>
        <w:spacing w:after="40"/>
      </w:pPr>
      <w:r>
        <w:rPr>
          <w:rFonts w:ascii="Times New Roman" w:hAnsi="Times New Roman" w:cs="Times New Roman" w:eastAsia="Times New Roman"/>
          <w:b/>
          <w:sz w:val="21"/>
        </w:rPr>
        <w:t xml:space="preserve">2. </w:t>
      </w:r>
      <w:r>
        <w:rPr>
          <w:rFonts w:ascii="Times New Roman" w:hAnsi="Times New Roman" w:cs="Times New Roman" w:eastAsia="Times New Roman"/>
          <w:b w:val="0"/>
          <w:sz w:val="21"/>
        </w:rPr>
        <w:t>Accueil → Actualiser pour reconstruire les tables : Power Query relit les fichiers ValeursFoncieres-*.txt du dossier du projet.</w:t>
      </w:r>
    </w:p>
    <w:p>
      <w:pPr>
        <w:pStyle w:val="ListBullet"/>
        <w:spacing w:after="40"/>
      </w:pPr>
      <w:r>
        <w:rPr>
          <w:rFonts w:ascii="Times New Roman" w:hAnsi="Times New Roman" w:cs="Times New Roman" w:eastAsia="Times New Roman"/>
          <w:b/>
          <w:sz w:val="21"/>
        </w:rPr>
        <w:t xml:space="preserve">3. </w:t>
      </w:r>
      <w:r>
        <w:rPr>
          <w:rFonts w:ascii="Times New Roman" w:hAnsi="Times New Roman" w:cs="Times New Roman" w:eastAsia="Times New Roman"/>
          <w:b w:val="0"/>
          <w:sz w:val="21"/>
        </w:rPr>
        <w:t>Les fichiers source doivent rester dans le dossier du projet, nommés ValeursFoncieres-AAAA.txt : le chemin de ce dossier est codé dans l'étape Dossier de la requête DVF_Brut, il est à mettre à jour si le projet est déplacé sur un autre poste.</w:t>
      </w:r>
    </w:p>
    <w:p>
      <w:pPr>
        <w:pStyle w:val="ListBullet"/>
        <w:spacing w:after="40"/>
      </w:pPr>
      <w:r>
        <w:rPr>
          <w:rFonts w:ascii="Times New Roman" w:hAnsi="Times New Roman" w:cs="Times New Roman" w:eastAsia="Times New Roman"/>
          <w:b/>
          <w:sz w:val="21"/>
        </w:rPr>
        <w:t xml:space="preserve">4. </w:t>
      </w:r>
      <w:r>
        <w:rPr>
          <w:rFonts w:ascii="Times New Roman" w:hAnsi="Times New Roman" w:cs="Times New Roman" w:eastAsia="Times New Roman"/>
          <w:b w:val="0"/>
          <w:sz w:val="21"/>
        </w:rPr>
        <w:t>Un rafraîchissement complet relit environ 920 Mo (2024 + 2025) et reconstruit les agrégats : compter une dizaine de minutes.</w:t>
      </w:r>
    </w:p>
    <w:p>
      <w:pPr>
        <w:pStyle w:val="ListBullet"/>
        <w:spacing w:after="40"/>
      </w:pPr>
      <w:r>
        <w:rPr>
          <w:rFonts w:ascii="Times New Roman" w:hAnsi="Times New Roman" w:cs="Times New Roman" w:eastAsia="Times New Roman"/>
          <w:b/>
          <w:sz w:val="21"/>
        </w:rPr>
        <w:t xml:space="preserve">5. </w:t>
      </w:r>
      <w:r>
        <w:rPr>
          <w:rFonts w:ascii="Times New Roman" w:hAnsi="Times New Roman" w:cs="Times New Roman" w:eastAsia="Times New Roman"/>
          <w:b w:val="0"/>
          <w:sz w:val="21"/>
        </w:rPr>
        <w:t>Pour changer la période couverte, modifier la liste Annees de la requête DVF_Brut, puis actualiser.</w:t>
      </w:r>
    </w:p>
    <w:p>
      <w:pPr>
        <w:spacing w:after="120"/>
      </w:pPr>
      <w:r>
        <w:rPr>
          <w:rFonts w:ascii="Times New Roman" w:hAnsi="Times New Roman" w:cs="Times New Roman" w:eastAsia="Times New Roman"/>
          <w:b w:val="0"/>
          <w:i/>
          <w:sz w:val="21"/>
        </w:rPr>
        <w:t>Le script convert_dvf_to_datamart.py du dépôt a servi de brouillon pour valider le modèle (il produisait des CSV intermédiaires). Il n'est plus utilisé : toutes les transformations sont désormais réalisées dans Power Query.</w:t>
      </w:r>
    </w:p>
    <w:p>
      <w:pPr>
        <w:pStyle w:val="Heading1"/>
      </w:pPr>
      <w:r>
        <w:t>Annexe B - Structure du livrable</w:t>
      </w:r>
    </w:p>
    <w:tbl>
      <w:tblPr>
        <w:tblStyle w:val="TableGrid"/>
        <w:tblW w:type="auto" w:w="0"/>
        <w:jc w:val="center"/>
        <w:tblLook w:firstColumn="1" w:firstRow="1" w:lastColumn="0" w:lastRow="0" w:noHBand="0" w:noVBand="1" w:val="04A0"/>
      </w:tblPr>
      <w:tblGrid>
        <w:gridCol w:w="4929"/>
        <w:gridCol w:w="4929"/>
      </w:tblGrid>
      <w:tr>
        <w:tc>
          <w:tcPr>
            <w:tcW w:type="dxa" w:w="3515"/>
            <w:shd w:val="clear" w:color="auto" w:fill="DCE6F1"/>
          </w:tcPr>
          <w:p>
            <w:pPr>
              <w:spacing w:after="40"/>
            </w:pPr>
            <w:r/>
            <w:r>
              <w:rPr>
                <w:rFonts w:ascii="Times New Roman" w:hAnsi="Times New Roman" w:cs="Times New Roman" w:eastAsia="Times New Roman"/>
                <w:b/>
                <w:color w:val="1F4E79"/>
                <w:sz w:val="18"/>
              </w:rPr>
              <w:t>Élément</w:t>
            </w:r>
          </w:p>
        </w:tc>
        <w:tc>
          <w:tcPr>
            <w:tcW w:type="dxa" w:w="5953"/>
            <w:shd w:val="clear" w:color="auto" w:fill="DCE6F1"/>
          </w:tcPr>
          <w:p>
            <w:pPr>
              <w:spacing w:after="40"/>
            </w:pPr>
            <w:r/>
            <w:r>
              <w:rPr>
                <w:rFonts w:ascii="Times New Roman" w:hAnsi="Times New Roman" w:cs="Times New Roman" w:eastAsia="Times New Roman"/>
                <w:b/>
                <w:color w:val="1F4E79"/>
                <w:sz w:val="18"/>
              </w:rPr>
              <w:t>Rôle</w:t>
            </w:r>
          </w:p>
        </w:tc>
      </w:tr>
      <w:tr>
        <w:tc>
          <w:tcPr>
            <w:tcW w:type="dxa" w:w="3515"/>
          </w:tcPr>
          <w:p>
            <w:pPr>
              <w:spacing w:after="40"/>
            </w:pPr>
            <w:r/>
            <w:r>
              <w:rPr>
                <w:rFonts w:ascii="Times New Roman" w:hAnsi="Times New Roman" w:cs="Times New Roman" w:eastAsia="Times New Roman"/>
                <w:b w:val="0"/>
                <w:sz w:val="17"/>
              </w:rPr>
              <w:t>Projet_Solaris.pbip</w:t>
            </w:r>
          </w:p>
        </w:tc>
        <w:tc>
          <w:tcPr>
            <w:tcW w:type="dxa" w:w="5953"/>
          </w:tcPr>
          <w:p>
            <w:pPr>
              <w:spacing w:after="40"/>
            </w:pPr>
            <w:r/>
            <w:r>
              <w:rPr>
                <w:rFonts w:ascii="Times New Roman" w:hAnsi="Times New Roman" w:cs="Times New Roman" w:eastAsia="Times New Roman"/>
                <w:sz w:val="17"/>
              </w:rPr>
              <w:t>point d'entrée du projet Power BI (modèle + rapport)</w:t>
            </w:r>
          </w:p>
        </w:tc>
      </w:tr>
      <w:tr>
        <w:tc>
          <w:tcPr>
            <w:tcW w:type="dxa" w:w="3515"/>
          </w:tcPr>
          <w:p>
            <w:pPr>
              <w:spacing w:after="40"/>
            </w:pPr>
            <w:r/>
            <w:r>
              <w:rPr>
                <w:rFonts w:ascii="Times New Roman" w:hAnsi="Times New Roman" w:cs="Times New Roman" w:eastAsia="Times New Roman"/>
                <w:b w:val="0"/>
                <w:sz w:val="17"/>
              </w:rPr>
              <w:t>Projet_Solaris.SemanticModel</w:t>
            </w:r>
          </w:p>
        </w:tc>
        <w:tc>
          <w:tcPr>
            <w:tcW w:type="dxa" w:w="5953"/>
          </w:tcPr>
          <w:p>
            <w:pPr>
              <w:spacing w:after="40"/>
            </w:pPr>
            <w:r/>
            <w:r>
              <w:rPr>
                <w:rFonts w:ascii="Times New Roman" w:hAnsi="Times New Roman" w:cs="Times New Roman" w:eastAsia="Times New Roman"/>
                <w:sz w:val="17"/>
              </w:rPr>
              <w:t>définition du modèle décisionnel au format TMDL (tables, relations, mesures, requêtes Power Query)</w:t>
            </w:r>
          </w:p>
        </w:tc>
      </w:tr>
      <w:tr>
        <w:tc>
          <w:tcPr>
            <w:tcW w:type="dxa" w:w="3515"/>
          </w:tcPr>
          <w:p>
            <w:pPr>
              <w:spacing w:after="40"/>
            </w:pPr>
            <w:r/>
            <w:r>
              <w:rPr>
                <w:rFonts w:ascii="Times New Roman" w:hAnsi="Times New Roman" w:cs="Times New Roman" w:eastAsia="Times New Roman"/>
                <w:b w:val="0"/>
                <w:sz w:val="17"/>
              </w:rPr>
              <w:t>Projet_Solaris.Report</w:t>
            </w:r>
          </w:p>
        </w:tc>
        <w:tc>
          <w:tcPr>
            <w:tcW w:type="dxa" w:w="5953"/>
          </w:tcPr>
          <w:p>
            <w:pPr>
              <w:spacing w:after="40"/>
            </w:pPr>
            <w:r/>
            <w:r>
              <w:rPr>
                <w:rFonts w:ascii="Times New Roman" w:hAnsi="Times New Roman" w:cs="Times New Roman" w:eastAsia="Times New Roman"/>
                <w:sz w:val="17"/>
              </w:rPr>
              <w:t>définition du rapport au format PBIR (4 pages, 6 matrices, filtres de page)</w:t>
            </w:r>
          </w:p>
        </w:tc>
      </w:tr>
      <w:tr>
        <w:tc>
          <w:tcPr>
            <w:tcW w:type="dxa" w:w="3515"/>
          </w:tcPr>
          <w:p>
            <w:pPr>
              <w:spacing w:after="40"/>
            </w:pPr>
            <w:r/>
            <w:r>
              <w:rPr>
                <w:rFonts w:ascii="Times New Roman" w:hAnsi="Times New Roman" w:cs="Times New Roman" w:eastAsia="Times New Roman"/>
                <w:b w:val="0"/>
                <w:sz w:val="17"/>
              </w:rPr>
              <w:t>modele_tmdl</w:t>
            </w:r>
          </w:p>
        </w:tc>
        <w:tc>
          <w:tcPr>
            <w:tcW w:type="dxa" w:w="5953"/>
          </w:tcPr>
          <w:p>
            <w:pPr>
              <w:spacing w:after="40"/>
            </w:pPr>
            <w:r/>
            <w:r>
              <w:rPr>
                <w:rFonts w:ascii="Times New Roman" w:hAnsi="Times New Roman" w:cs="Times New Roman" w:eastAsia="Times New Roman"/>
                <w:sz w:val="17"/>
              </w:rPr>
              <w:t>copie de sauvegarde du modèle, au format TMDL</w:t>
            </w:r>
          </w:p>
        </w:tc>
      </w:tr>
      <w:tr>
        <w:tc>
          <w:tcPr>
            <w:tcW w:type="dxa" w:w="3515"/>
          </w:tcPr>
          <w:p>
            <w:pPr>
              <w:spacing w:after="40"/>
            </w:pPr>
            <w:r/>
            <w:r>
              <w:rPr>
                <w:rFonts w:ascii="Times New Roman" w:hAnsi="Times New Roman" w:cs="Times New Roman" w:eastAsia="Times New Roman"/>
                <w:b w:val="0"/>
                <w:sz w:val="17"/>
              </w:rPr>
              <w:t>MODELE_DATAMART.md</w:t>
            </w:r>
          </w:p>
        </w:tc>
        <w:tc>
          <w:tcPr>
            <w:tcW w:type="dxa" w:w="5953"/>
          </w:tcPr>
          <w:p>
            <w:pPr>
              <w:spacing w:after="40"/>
            </w:pPr>
            <w:r/>
            <w:r>
              <w:rPr>
                <w:rFonts w:ascii="Times New Roman" w:hAnsi="Times New Roman" w:cs="Times New Roman" w:eastAsia="Times New Roman"/>
                <w:sz w:val="17"/>
              </w:rPr>
              <w:t>documentation technique du modèle (schéma, requêtes, mesures, chiffres de contrôle)</w:t>
            </w:r>
          </w:p>
        </w:tc>
      </w:tr>
      <w:tr>
        <w:tc>
          <w:tcPr>
            <w:tcW w:type="dxa" w:w="3515"/>
          </w:tcPr>
          <w:p>
            <w:pPr>
              <w:spacing w:after="40"/>
            </w:pPr>
            <w:r/>
            <w:r>
              <w:rPr>
                <w:rFonts w:ascii="Times New Roman" w:hAnsi="Times New Roman" w:cs="Times New Roman" w:eastAsia="Times New Roman"/>
                <w:b w:val="0"/>
                <w:sz w:val="17"/>
              </w:rPr>
              <w:t>ETAPES.md</w:t>
            </w:r>
          </w:p>
        </w:tc>
        <w:tc>
          <w:tcPr>
            <w:tcW w:type="dxa" w:w="5953"/>
          </w:tcPr>
          <w:p>
            <w:pPr>
              <w:spacing w:after="40"/>
            </w:pPr>
            <w:r/>
            <w:r>
              <w:rPr>
                <w:rFonts w:ascii="Times New Roman" w:hAnsi="Times New Roman" w:cs="Times New Roman" w:eastAsia="Times New Roman"/>
                <w:sz w:val="17"/>
              </w:rPr>
              <w:t>état d'avancement et procédure de réouverture du projet</w:t>
            </w:r>
          </w:p>
        </w:tc>
      </w:tr>
      <w:tr>
        <w:tc>
          <w:tcPr>
            <w:tcW w:type="dxa" w:w="3515"/>
          </w:tcPr>
          <w:p>
            <w:pPr>
              <w:spacing w:after="40"/>
            </w:pPr>
            <w:r/>
            <w:r>
              <w:rPr>
                <w:rFonts w:ascii="Times New Roman" w:hAnsi="Times New Roman" w:cs="Times New Roman" w:eastAsia="Times New Roman"/>
                <w:b w:val="0"/>
                <w:sz w:val="17"/>
              </w:rPr>
              <w:t>ValeursFoncieres-2024.txt / -2025.txt</w:t>
            </w:r>
          </w:p>
        </w:tc>
        <w:tc>
          <w:tcPr>
            <w:tcW w:type="dxa" w:w="5953"/>
          </w:tcPr>
          <w:p>
            <w:pPr>
              <w:spacing w:after="40"/>
            </w:pPr>
            <w:r/>
            <w:r>
              <w:rPr>
                <w:rFonts w:ascii="Times New Roman" w:hAnsi="Times New Roman" w:cs="Times New Roman" w:eastAsia="Times New Roman"/>
                <w:sz w:val="17"/>
              </w:rPr>
              <w:t>fichiers source DVF (non versionnés)</w:t>
            </w:r>
          </w:p>
        </w:tc>
      </w:tr>
    </w:tbl>
    <w:p>
      <w:pPr>
        <w:spacing w:after="40"/>
      </w:pPr>
    </w:p>
    <w:sectPr w:rsidR="00FC693F" w:rsidRPr="0006063C" w:rsidSect="00034616">
      <w:footerReference w:type="default" r:id="rId9"/>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color w:val="595959"/>
        <w:sz w:val="16"/>
      </w:rPr>
      <w:t xml:space="preserve">Projet Solaris - Groupe G1 - EFREI   |   </w:t>
    </w:r>
    <w:r>
      <w:rPr>
        <w:rFonts w:ascii="Times New Roman" w:hAnsi="Times New Roman" w:cs="Times New Roman" w:eastAsia="Times New Roman"/>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s="Times New Roman" w:eastAsia="Times New Roman"/>
      <w:sz w:val="21"/>
    </w:rPr>
  </w:style>
  <w:style w:type="paragraph" w:styleId="Header">
    <w:rPr>
      <w:rFonts w:ascii="Times New Roman" w:hAnsi="Times New Roman" w:cs="Times New Roman" w:eastAsia="Times New Roman"/>
    </w:rP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rPr>
      <w:rFonts w:ascii="Times New Roman" w:hAnsi="Times New Roman" w:cs="Times New Roman" w:eastAsia="Times New Roman"/>
    </w:rP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rPr>
      <w:rFonts w:ascii="Times New Roman" w:hAnsi="Times New Roman" w:cs="Times New Roman" w:eastAsia="Times New Roman"/>
    </w:rPr>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rPr>
      <w:rFonts w:ascii="Times New Roman" w:hAnsi="Times New Roman" w:cs="Times New Roman" w:eastAsia="Times New Roman"/>
    </w:rPr>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rPr>
      <w:rFonts w:ascii="Times New Roman" w:hAnsi="Times New Roman" w:cs="Times New Roman" w:eastAsia="Times New Roman"/>
    </w:rPr>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rPr>
      <w:b w:val="0"/>
      <w:sz w:val="21"/>
    </w:rPr>
  </w:style>
  <w:style w:type="paragraph" w:customStyle="1" w:styleId="TOC2">
    <w:name w:val="TOC 2"/>
    <w:basedOn w:val="Normal"/>
    <w:rPr>
      <w:b w:val="0"/>
      <w:sz w:val="21"/>
    </w:rPr>
  </w:style>
  <w:style w:type="paragraph" w:customStyle="1" w:styleId="TOC3">
    <w:name w:val="TOC 3"/>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