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ad1179914c033a3630972111bccd76522e6d0cb"/>
    <w:p>
      <w:pPr>
        <w:pStyle w:val="Heading1"/>
      </w:pPr>
      <w:r>
        <w:t xml:space="preserve">4. Analyses pressenties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2" w:name="occupation-de-lespace-1"/>
    <w:p>
      <w:pPr>
        <w:pStyle w:val="Heading1"/>
      </w:pPr>
      <w:r>
        <w:t xml:space="preserve">5. 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pour chaque individu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tire à nouveau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FirstParagraph"/>
      </w:pPr>
      <w:r>
        <w:t xml:space="preserve">Une fois ces modélisations faites, on dessine pour chaque individus la courbe représentant la taille moyenne du domaine vital en fonction du nombre de localisations.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3"/>
    <w:bookmarkStart w:id="50" w:name="méthodes-utilisées"/>
    <w:p>
      <w:pPr>
        <w:pStyle w:val="Heading2"/>
      </w:pPr>
      <w:r>
        <w:t xml:space="preserve">5.3 Méthodes utilisées</w:t>
      </w:r>
    </w:p>
    <w:bookmarkStart w:id="47" w:name="km-linéaire-tampon"/>
    <w:p>
      <w:pPr>
        <w:pStyle w:val="Heading3"/>
      </w:pPr>
      <w:r>
        <w:t xml:space="preserve">5.3.1 Km linéaire tampon</w:t>
      </w:r>
    </w:p>
    <w:p>
      <w:pPr>
        <w:pStyle w:val="FirstParagraph"/>
      </w:pPr>
      <w:r>
        <w:t xml:space="preserve">Pour chaque individus, on coupe l’ensemble des cours d’eau au niveau des localisations extrêmes (la plus en aval ou la plus en amont). On mesure ensuite la distance entre toutes lesl ocalisations et le cours d’eau le plus proche. On crée ensuite autour des cours d’eau un tampon avec comme valeur la distance maximale entre les localisations et les cours d’eau. Comme le Vison d’Europe peut utiliser l’ensemble de l’espace compris entre les cours d’eau, on crée également un tampon</w:t>
      </w:r>
      <w:r>
        <w:t xml:space="preserve"> </w:t>
      </w:r>
      <w:r>
        <w:t xml:space="preserve">“</w:t>
      </w:r>
      <w:r>
        <w:t xml:space="preserve">rempli</w:t>
      </w:r>
      <w:r>
        <w:t xml:space="preserve">”</w:t>
      </w:r>
      <w:r>
        <w:t xml:space="preserve">.</w:t>
      </w:r>
    </w:p>
    <w:p>
      <w:pPr>
        <w:pStyle w:val="BodyText"/>
      </w:pPr>
      <w:r>
        <w:t xml:space="preserve">En ce qui concerne les zones cœurs, on les crée en utilisant l’axe médian de la zone humide. On projette sur cette axe les localisations. On choisit comme localisation de référence une des deux extrêmes. On mesure la longueur par l’axe médian entre le point de référence et chaque projeté. On modélise la courbe de ces distances, du point de référence jusqu’au projeté le plus éloigné. On identifie les zones cœurs comme des zones où un nombre conséquent de localisations forme un plateau. On coupe ensuite le tampon au niveau des limites des plateaux.</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C:\Users\Poste\AppData\Local\Programs\Quarto\share\formats\docx\warning.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Il y a un problème quant à la construction en zone de marais puisque la zones humide étant elle-même surfacique, comment y construit-on l’axe médian ?</w:t>
            </w:r>
          </w:p>
        </w:tc>
      </w:tr>
    </w:tbl>
    <w:bookmarkEnd w:id="47"/>
    <w:bookmarkStart w:id="48" w:name="kernel"/>
    <w:p>
      <w:pPr>
        <w:pStyle w:val="Heading3"/>
      </w:pPr>
      <w:r>
        <w:t xml:space="preserve">5.3.2 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 La valeur du facteur de lissage est spécifique à chauqe individus et détaillée dans la partie résultat.</w:t>
      </w:r>
    </w:p>
    <w:bookmarkEnd w:id="48"/>
    <w:bookmarkStart w:id="49" w:name="kernel-de-clément"/>
    <w:p>
      <w:pPr>
        <w:pStyle w:val="Heading3"/>
      </w:pPr>
      <w:r>
        <w:t xml:space="preserve">5.3.3 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9"/>
    <w:bookmarkEnd w:id="50"/>
    <w:bookmarkStart w:id="51"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observer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1"/>
    <w:bookmarkEnd w:id="52"/>
    <w:bookmarkStart w:id="53" w:name="utilisation-des-habitats"/>
    <w:p>
      <w:pPr>
        <w:pStyle w:val="Heading1"/>
      </w:pPr>
      <w:r>
        <w:t xml:space="preserve">6. Utilisation des habitats</w:t>
      </w:r>
    </w:p>
    <w:bookmarkEnd w:id="53"/>
    <w:bookmarkStart w:id="55" w:name="X584a159f35b9eb9a12e5e4af0cb4b8834ff06ed"/>
    <w:p>
      <w:pPr>
        <w:pStyle w:val="Heading1"/>
      </w:pPr>
      <w:r>
        <w:t xml:space="preserve">7. Résultats de l’étude de l’occupation de l’espace</w:t>
      </w:r>
    </w:p>
    <w:bookmarkStart w:id="54"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54"/>
    <w:bookmarkEnd w:id="55"/>
    <w:bookmarkStart w:id="79" w:name="references"/>
    <w:p>
      <w:pPr>
        <w:pStyle w:val="Heading1"/>
      </w:pPr>
      <w:r>
        <w:t xml:space="preserve">References</w:t>
      </w:r>
    </w:p>
    <w:bookmarkStart w:id="78" w:name="refs"/>
    <w:bookmarkStart w:id="57"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56">
        <w:r>
          <w:rPr>
            <w:rStyle w:val="Hyperlink"/>
          </w:rPr>
          <w:t xml:space="preserve">https://doi.org/10.1007/BF03195195</w:t>
        </w:r>
      </w:hyperlink>
      <w:r>
        <w:t xml:space="preserve">.</w:t>
      </w:r>
    </w:p>
    <w:bookmarkEnd w:id="57"/>
    <w:bookmarkStart w:id="59"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58">
        <w:r>
          <w:rPr>
            <w:rStyle w:val="Hyperlink"/>
          </w:rPr>
          <w:t xml:space="preserve">https://doi.org/10.1007/BF03194194</w:t>
        </w:r>
      </w:hyperlink>
      <w:r>
        <w:t xml:space="preserve">.</w:t>
      </w:r>
    </w:p>
    <w:bookmarkEnd w:id="59"/>
    <w:bookmarkStart w:id="61"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0">
        <w:r>
          <w:rPr>
            <w:rStyle w:val="Hyperlink"/>
          </w:rPr>
          <w:t xml:space="preserve">https://doi.org/10.1007/BF03193566</w:t>
        </w:r>
      </w:hyperlink>
      <w:r>
        <w:t xml:space="preserve">.</w:t>
      </w:r>
    </w:p>
    <w:bookmarkEnd w:id="61"/>
    <w:bookmarkStart w:id="63"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2">
        <w:r>
          <w:rPr>
            <w:rStyle w:val="Hyperlink"/>
          </w:rPr>
          <w:t xml:space="preserve">https://doi.org/10.1111/j.1469-7998.1998.tb00093.x</w:t>
        </w:r>
      </w:hyperlink>
      <w:r>
        <w:t xml:space="preserve">.</w:t>
      </w:r>
    </w:p>
    <w:bookmarkEnd w:id="63"/>
    <w:bookmarkStart w:id="65"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64">
        <w:r>
          <w:rPr>
            <w:rStyle w:val="Hyperlink"/>
          </w:rPr>
          <w:t xml:space="preserve">https://doi.org/10.1515/mamm.2004.016</w:t>
        </w:r>
      </w:hyperlink>
      <w:r>
        <w:t xml:space="preserve">.</w:t>
      </w:r>
    </w:p>
    <w:bookmarkEnd w:id="65"/>
    <w:bookmarkStart w:id="67"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66">
        <w:r>
          <w:rPr>
            <w:rStyle w:val="Hyperlink"/>
          </w:rPr>
          <w:t xml:space="preserve">https://doi.org/10.1017/CBO9780511721830.007</w:t>
        </w:r>
      </w:hyperlink>
      <w:r>
        <w:t xml:space="preserve">.</w:t>
      </w:r>
    </w:p>
    <w:bookmarkEnd w:id="67"/>
    <w:bookmarkStart w:id="69"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68">
        <w:r>
          <w:rPr>
            <w:rStyle w:val="Hyperlink"/>
          </w:rPr>
          <w:t xml:space="preserve">https://doi.org/10.32800/abc.2008.31.2.0037</w:t>
        </w:r>
      </w:hyperlink>
      <w:r>
        <w:t xml:space="preserve">.</w:t>
      </w:r>
    </w:p>
    <w:bookmarkEnd w:id="69"/>
    <w:bookmarkStart w:id="71"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0">
        <w:r>
          <w:rPr>
            <w:rStyle w:val="Hyperlink"/>
          </w:rPr>
          <w:t xml:space="preserve">https://doi.org/10.4404/hystrix-28.1-12298</w:t>
        </w:r>
      </w:hyperlink>
      <w:r>
        <w:t xml:space="preserve">.</w:t>
      </w:r>
    </w:p>
    <w:bookmarkEnd w:id="71"/>
    <w:bookmarkStart w:id="73"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2">
        <w:r>
          <w:rPr>
            <w:rStyle w:val="Hyperlink"/>
          </w:rPr>
          <w:t xml:space="preserve">https://doi.org/10.1007/s10344-017-1135-0</w:t>
        </w:r>
      </w:hyperlink>
      <w:r>
        <w:t xml:space="preserve">.</w:t>
      </w:r>
    </w:p>
    <w:bookmarkEnd w:id="73"/>
    <w:bookmarkStart w:id="75"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74">
        <w:r>
          <w:rPr>
            <w:rStyle w:val="Hyperlink"/>
          </w:rPr>
          <w:t xml:space="preserve">https://doi.org/10.1017/CBO9780511721830.012</w:t>
        </w:r>
      </w:hyperlink>
      <w:r>
        <w:t xml:space="preserve">.</w:t>
      </w:r>
    </w:p>
    <w:bookmarkEnd w:id="75"/>
    <w:bookmarkStart w:id="77"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76">
        <w:r>
          <w:rPr>
            <w:rStyle w:val="Hyperlink"/>
          </w:rPr>
          <w:t xml:space="preserve">https://doi.org/10.1017/S0952836903003881</w:t>
        </w:r>
      </w:hyperlink>
      <w:r>
        <w:t xml:space="preserve">.</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BF03193566" TargetMode="External" /><Relationship Type="http://schemas.openxmlformats.org/officeDocument/2006/relationships/hyperlink" Id="rId58" Target="https://doi.org/10.1007/BF03194194" TargetMode="External" /><Relationship Type="http://schemas.openxmlformats.org/officeDocument/2006/relationships/hyperlink" Id="rId56" Target="https://doi.org/10.1007/BF03195195" TargetMode="External" /><Relationship Type="http://schemas.openxmlformats.org/officeDocument/2006/relationships/hyperlink" Id="rId72" Target="https://doi.org/10.1007/s10344-017-1135-0" TargetMode="External" /><Relationship Type="http://schemas.openxmlformats.org/officeDocument/2006/relationships/hyperlink" Id="rId66" Target="https://doi.org/10.1017/CBO9780511721830.007" TargetMode="External" /><Relationship Type="http://schemas.openxmlformats.org/officeDocument/2006/relationships/hyperlink" Id="rId74" Target="https://doi.org/10.1017/CBO9780511721830.012" TargetMode="External" /><Relationship Type="http://schemas.openxmlformats.org/officeDocument/2006/relationships/hyperlink" Id="rId76" Target="https://doi.org/10.1017/S0952836903003881" TargetMode="External" /><Relationship Type="http://schemas.openxmlformats.org/officeDocument/2006/relationships/hyperlink" Id="rId62" Target="https://doi.org/10.1111/j.1469-7998.1998.tb00093.x" TargetMode="External" /><Relationship Type="http://schemas.openxmlformats.org/officeDocument/2006/relationships/hyperlink" Id="rId64" Target="https://doi.org/10.1515/mamm.2004.016" TargetMode="External" /><Relationship Type="http://schemas.openxmlformats.org/officeDocument/2006/relationships/hyperlink" Id="rId68" Target="https://doi.org/10.32800/abc.2008.31.2.0037" TargetMode="External" /><Relationship Type="http://schemas.openxmlformats.org/officeDocument/2006/relationships/hyperlink" Id="rId70"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2024-10-09T08:59:37Z</dcterms:created>
  <dcterms:modified xsi:type="dcterms:W3CDTF">2024-10-09T08:59:37Z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2024-10-09</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