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62.png" ContentType="image/png"/>
  <Override PartName="/word/media/rId53.png" ContentType="image/png"/>
  <Override PartName="/word/media/rId49.png" ContentType="image/png"/>
  <Override PartName="/word/media/rId21.jpg" ContentType="image/jpeg"/>
  <Override PartName="/word/media/rId57.png" ContentType="image/png"/>
  <Override PartName="/word/media/rId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2024-10-11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5" w:name="introduction-générale"/>
    <w:p>
      <w:pPr>
        <w:pStyle w:val="Heading1"/>
      </w:pPr>
      <w:r>
        <w:t xml:space="preserve">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w:t>
      </w:r>
      <w:hyperlink w:anchor="fig-declin-fr">
        <w:r>
          <w:rPr>
            <w:rStyle w:val="Hyperlink"/>
          </w:rPr>
          <w:t xml:space="preserve">Figure 1.1</w:t>
        </w:r>
      </w:hyperlink>
      <w:r>
        <w:t xml:space="preserve">)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tbl>
      <w:tblPr>
        <w:tblStyle w:val="Table"/>
        <w:tblW w:type="pct" w:w="5000"/>
        <w:tblLayout w:type="fixed"/>
        <w:tblLook w:firstRow="0" w:lastRow="0" w:firstColumn="0" w:lastColumn="0" w:noHBand="0" w:noVBand="0" w:val="0000"/>
      </w:tblPr>
      <w:tblGrid>
        <w:gridCol w:w="7920"/>
      </w:tblGrid>
      <w:tr>
        <w:tc>
          <w:tcPr/>
          <w:bookmarkStart w:id="24" w:name="fig-declin-fr"/>
          <w:p>
            <w:pPr>
              <w:pStyle w:val="Compact"/>
              <w:jc w:val="center"/>
            </w:pPr>
            <w:r>
              <w:drawing>
                <wp:inline>
                  <wp:extent cx="5334000" cy="2306898"/>
                  <wp:effectExtent b="0" l="0" r="0" t="0"/>
                  <wp:docPr descr=""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Evolution de l’aire de répartition du Vison d’Europe en France (Bellefroid et Rosoux, 1998 ; Maizeret et al., 2002).</w:t>
            </w:r>
          </w:p>
          <w:bookmarkEnd w:id="24"/>
        </w:tc>
      </w:tr>
    </w:tbl>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5"/>
    <w:bookmarkStart w:id="27" w:name="synthèse-bibliographique"/>
    <w:p>
      <w:pPr>
        <w:pStyle w:val="Heading1"/>
      </w:pPr>
      <w:r>
        <w:t xml:space="preserve">Synthèse bibliographique</w:t>
      </w:r>
    </w:p>
    <w:bookmarkStart w:id="26" w:name="domaine-vital"/>
    <w:p>
      <w:pPr>
        <w:pStyle w:val="Heading2"/>
      </w:pPr>
      <w:r>
        <w:t xml:space="preserve">Domaine vital</w:t>
      </w:r>
    </w:p>
    <w:bookmarkEnd w:id="26"/>
    <w:bookmarkEnd w:id="27"/>
    <w:bookmarkStart w:id="36" w:name="etude"/>
    <w:p>
      <w:pPr>
        <w:pStyle w:val="Heading1"/>
      </w:pPr>
      <w:r>
        <w:t xml:space="preserve">Etude</w:t>
      </w:r>
    </w:p>
    <w:bookmarkStart w:id="32" w:name="site-détude"/>
    <w:p>
      <w:pPr>
        <w:pStyle w:val="Heading2"/>
      </w:pPr>
      <w:r>
        <w:t xml:space="preserve">Site d’étude</w:t>
      </w:r>
    </w:p>
    <w:p>
      <w:pPr>
        <w:pStyle w:val="FirstParagraph"/>
      </w:pPr>
      <w:r>
        <w:t xml:space="preserve">Les données proviennent de trois aires d’études différentes (</w:t>
      </w:r>
      <w:hyperlink w:anchor="fig-zone-etude">
        <w:r>
          <w:rPr>
            <w:rStyle w:val="Hyperlink"/>
          </w:rPr>
          <w:t xml:space="preserve">Figure 3.1</w:t>
        </w:r>
      </w:hyperlink>
      <w:r>
        <w:t xml:space="preserve">) :</w:t>
      </w:r>
      <w:r>
        <w:t xml:space="preserve"> </w:t>
      </w:r>
      <w:r>
        <w:t xml:space="preserve">1. la vallée de la Charente en amont et en aval d’Angoulême dans le département de Charente (16), à partir du suivi réalisé dans le cadre du LIFE VISON entre 2020 et 2022 ;</w:t>
      </w:r>
      <w:r>
        <w:t xml:space="preserve"> </w:t>
      </w:r>
      <w:r>
        <w:t xml:space="preserve">2. les marais littoraux de Rochefort dans le département de Charente-Maritime (17) à partir du suivi réalisé dans le cadre du LIFE VISON entre 2020 et 2022 ;</w:t>
      </w:r>
      <w:r>
        <w:t xml:space="preserve"> </w:t>
      </w:r>
      <w:r>
        <w:t xml:space="preserve">3. les rivières des Landes de Gascogne à partir d’individus suivis entre 1996 et 2000.</w:t>
      </w:r>
    </w:p>
    <w:tbl>
      <w:tblPr>
        <w:tblStyle w:val="Table"/>
        <w:tblW w:type="pct" w:w="5000"/>
        <w:tblLayout w:type="fixed"/>
        <w:tblLook w:firstRow="0" w:lastRow="0" w:firstColumn="0" w:lastColumn="0" w:noHBand="0" w:noVBand="0" w:val="0000"/>
      </w:tblPr>
      <w:tblGrid>
        <w:gridCol w:w="7920"/>
      </w:tblGrid>
      <w:tr>
        <w:tc>
          <w:tcPr/>
          <w:bookmarkStart w:id="31" w:name="fig-zone-etude"/>
          <w:p>
            <w:pPr>
              <w:pStyle w:val="Compact"/>
              <w:jc w:val="center"/>
            </w:pPr>
            <w:r>
              <w:drawing>
                <wp:inline>
                  <wp:extent cx="5334000" cy="5566352"/>
                  <wp:effectExtent b="0" l="0" r="0" t="0"/>
                  <wp:docPr descr="" title="" id="29" name="Picture"/>
                  <a:graphic>
                    <a:graphicData uri="http://schemas.openxmlformats.org/drawingml/2006/picture">
                      <pic:pic>
                        <pic:nvPicPr>
                          <pic:cNvPr descr="image/zones_etudes.jpg" id="30" name="Picture"/>
                          <pic:cNvPicPr>
                            <a:picLocks noChangeArrowheads="1" noChangeAspect="1"/>
                          </pic:cNvPicPr>
                        </pic:nvPicPr>
                        <pic:blipFill>
                          <a:blip r:embed="rId28"/>
                          <a:stretch>
                            <a:fillRect/>
                          </a:stretch>
                        </pic:blipFill>
                        <pic:spPr bwMode="auto">
                          <a:xfrm>
                            <a:off x="0" y="0"/>
                            <a:ext cx="5334000" cy="556635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Zones de collecte des données.</w:t>
            </w:r>
          </w:p>
          <w:bookmarkEnd w:id="31"/>
        </w:tc>
      </w:tr>
    </w:tbl>
    <w:bookmarkEnd w:id="32"/>
    <w:bookmarkStart w:id="33" w:name="radiopistage"/>
    <w:p>
      <w:pPr>
        <w:pStyle w:val="Heading2"/>
      </w:pPr>
      <w:r>
        <w:t xml:space="preserve">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3"/>
    <w:bookmarkStart w:id="34" w:name="données-acquises"/>
    <w:p>
      <w:pPr>
        <w:pStyle w:val="Heading2"/>
      </w:pPr>
      <w:r>
        <w:t xml:space="preserve">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4"/>
    <w:bookmarkStart w:id="35" w:name="Xcda98ddd9b74b874e83959f64fc5bbf0fbc30aa"/>
    <w:p>
      <w:pPr>
        <w:pStyle w:val="Heading2"/>
      </w:pPr>
      <w:r>
        <w:t xml:space="preserve">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5"/>
    <w:bookmarkEnd w:id="36"/>
    <w:bookmarkStart w:id="43" w:name="Xad1179914c033a3630972111bccd76522e6d0cb"/>
    <w:p>
      <w:pPr>
        <w:pStyle w:val="Heading1"/>
      </w:pPr>
      <w:r>
        <w:t xml:space="preserve">Analyses pressenties lors de la création de la thèse</w:t>
      </w:r>
    </w:p>
    <w:bookmarkStart w:id="37" w:name="occupation-de-lespace"/>
    <w:p>
      <w:pPr>
        <w:pStyle w:val="Heading2"/>
      </w:pPr>
      <w:r>
        <w:t xml:space="preserve">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7"/>
    <w:bookmarkStart w:id="38" w:name="patrons-de-déplacements"/>
    <w:p>
      <w:pPr>
        <w:pStyle w:val="Heading2"/>
      </w:pPr>
      <w:r>
        <w:t xml:space="preserve">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8"/>
    <w:bookmarkStart w:id="39" w:name="utilisation-de-lhabitat"/>
    <w:p>
      <w:pPr>
        <w:pStyle w:val="Heading2"/>
      </w:pPr>
      <w:r>
        <w:t xml:space="preserve">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9"/>
    <w:bookmarkStart w:id="40" w:name="caractéristiques-des-gîtes"/>
    <w:p>
      <w:pPr>
        <w:pStyle w:val="Heading2"/>
      </w:pPr>
      <w:r>
        <w:t xml:space="preserve">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40"/>
    <w:bookmarkStart w:id="41" w:name="régime-alimentaire"/>
    <w:p>
      <w:pPr>
        <w:pStyle w:val="Heading2"/>
      </w:pPr>
      <w:r>
        <w:t xml:space="preserve">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41"/>
    <w:bookmarkStart w:id="42" w:name="risque-de-collisions-routières"/>
    <w:p>
      <w:pPr>
        <w:pStyle w:val="Heading2"/>
      </w:pPr>
      <w:r>
        <w:t xml:space="preserve">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2"/>
    <w:bookmarkEnd w:id="43"/>
    <w:bookmarkStart w:id="73" w:name="occupation-de-lespace-1"/>
    <w:p>
      <w:pPr>
        <w:pStyle w:val="Heading1"/>
      </w:pPr>
      <w:r>
        <w:t xml:space="preserve">Occupation de l’espace</w:t>
      </w:r>
    </w:p>
    <w:bookmarkStart w:id="44" w:name="objectifs-de-létude"/>
    <w:p>
      <w:pPr>
        <w:pStyle w:val="Heading2"/>
      </w:pPr>
      <w:r>
        <w:t xml:space="preserve">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4"/>
    <w:bookmarkStart w:id="45" w:name="choix-des-individus"/>
    <w:p>
      <w:pPr>
        <w:pStyle w:val="Heading2"/>
      </w:pPr>
      <w:r>
        <w:t xml:space="preserve">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5"/>
    <w:bookmarkStart w:id="71" w:name="méthodes-utilisées"/>
    <w:p>
      <w:pPr>
        <w:pStyle w:val="Heading2"/>
      </w:pPr>
      <w:r>
        <w:t xml:space="preserve">Méthodes utilisées</w:t>
      </w:r>
    </w:p>
    <w:p>
      <w:pPr>
        <w:pStyle w:val="FirstParagraph"/>
      </w:pPr>
      <w:r>
        <w:t xml:space="preserve">Les méthodes sont séparées en deux parties. D’une part les méthodes basées sur les données elles-mêmes, qui seront appelés</w:t>
      </w:r>
      <w:r>
        <w:t xml:space="preserve"> </w:t>
      </w:r>
      <w:r>
        <w:t xml:space="preserve">“</w:t>
      </w:r>
      <w:r>
        <w:t xml:space="preserve">méthodes écologiques</w:t>
      </w:r>
      <w:r>
        <w:t xml:space="preserve">”</w:t>
      </w:r>
      <w:r>
        <w:t xml:space="preserve">. D’autre part les méthodes probabilistes.</w:t>
      </w:r>
    </w:p>
    <w:bookmarkStart w:id="48" w:name="méthodes-probabilistes"/>
    <w:p>
      <w:pPr>
        <w:pStyle w:val="Heading3"/>
      </w:pPr>
      <w:r>
        <w:t xml:space="preserve">Méthodes probabilistes</w:t>
      </w:r>
    </w:p>
    <w:bookmarkStart w:id="46" w:name="kernel"/>
    <w:p>
      <w:pPr>
        <w:pStyle w:val="Heading4"/>
      </w:pPr>
      <w:r>
        <w:t xml:space="preserve">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chaque individus et détaillée dans la partie résultat.</w:t>
      </w:r>
    </w:p>
    <w:p>
      <w:pPr>
        <w:pStyle w:val="BodyText"/>
      </w:pPr>
      <w:r>
        <w:t xml:space="preserve">Les Kernel ont été modélisés sur R en utilisant les packages</w:t>
      </w:r>
      <w:r>
        <w:t xml:space="preserve"> </w:t>
      </w:r>
      <w:r>
        <w:rPr>
          <w:rStyle w:val="VerbatimChar"/>
        </w:rPr>
        <w:t xml:space="preserve">sf</w:t>
      </w:r>
      <w:r>
        <w:t xml:space="preserve">,</w:t>
      </w:r>
      <w:r>
        <w:t xml:space="preserve"> </w:t>
      </w:r>
      <w:r>
        <w:rPr>
          <w:rStyle w:val="VerbatimChar"/>
        </w:rPr>
        <w:t xml:space="preserve">sp</w:t>
      </w:r>
      <w:r>
        <w:t xml:space="preserve">,</w:t>
      </w:r>
      <w:r>
        <w:t xml:space="preserve"> </w:t>
      </w:r>
      <w:r>
        <w:rPr>
          <w:rStyle w:val="VerbatimChar"/>
        </w:rPr>
        <w:t xml:space="preserve">adehabitatHR</w:t>
      </w:r>
      <w:r>
        <w:t xml:space="preserve"> </w:t>
      </w:r>
      <w:r>
        <w:t xml:space="preserve">selon ce script :</w:t>
      </w:r>
    </w:p>
    <w:p>
      <w:pPr>
        <w:pStyle w:val="SourceCode"/>
      </w:pPr>
      <w:r>
        <w:rPr>
          <w:rStyle w:val="NormalTok"/>
        </w:rPr>
        <w:t xml:space="preserve">#Lire le shapefile des points</w:t>
      </w:r>
      <w:r>
        <w:br/>
      </w:r>
      <w:r>
        <w:rPr>
          <w:rStyle w:val="NormalTok"/>
        </w:rPr>
        <w:t xml:space="preserve">pt_indiv &lt;- st_read("Chemin_pour_trouver_ta_couche_de_points/Loc_indiv.shp")</w:t>
      </w:r>
      <w:r>
        <w:br/>
      </w:r>
      <w:r>
        <w:br/>
      </w:r>
      <w:r>
        <w:rPr>
          <w:rStyle w:val="NormalTok"/>
        </w:rPr>
        <w:t xml:space="preserve">#Créer une grille de densité</w:t>
      </w:r>
      <w:r>
        <w:br/>
      </w:r>
      <w:r>
        <w:rPr>
          <w:rStyle w:val="NormalTok"/>
        </w:rPr>
        <w:t xml:space="preserve">grid_indiv &lt;- adehabitatHR:::.makegridUD(st_coordinates(pt_indiv), 1000, 1)</w:t>
      </w:r>
      <w:r>
        <w:br/>
      </w:r>
      <w:r>
        <w:rPr>
          <w:rStyle w:val="NormalTok"/>
        </w:rPr>
        <w:t xml:space="preserve">gri_indiv &lt;- SpatialPixelsDataFrame(grid_indiv,data.frame(distance=1:length(grid_indiv)))</w:t>
      </w:r>
      <w:r>
        <w:br/>
      </w:r>
      <w:r>
        <w:br/>
      </w:r>
      <w:r>
        <w:rPr>
          <w:rStyle w:val="NormalTok"/>
        </w:rPr>
        <w:t xml:space="preserve">#Calculer le Kernel UD avec un facteur de lissage h = 'à définir'</w:t>
      </w:r>
      <w:r>
        <w:br/>
      </w:r>
      <w:r>
        <w:rPr>
          <w:rStyle w:val="NormalTok"/>
        </w:rPr>
        <w:t xml:space="preserve">kuo_indiv &lt;- kernelUD(SpatialPointsDataFrame(SpatialPoints(st_coordinates(pt_indiv)),</w:t>
      </w:r>
      <w:r>
        <w:br/>
      </w:r>
      <w:r>
        <w:rPr>
          <w:rStyle w:val="NormalTok"/>
        </w:rPr>
        <w:t xml:space="preserve">                                            as.data.frame(pt_indiv)</w:t>
      </w:r>
      <w:r>
        <w:rPr>
          <w:rStyle w:val="CommentTok"/>
        </w:rPr>
        <w:t xml:space="preserve">[</w:t>
      </w:r>
      <w:r>
        <w:rPr>
          <w:rStyle w:val="OtherTok"/>
        </w:rPr>
        <w:t xml:space="preserve">,1:2</w:t>
      </w:r>
      <w:r>
        <w:rPr>
          <w:rStyle w:val="CommentTok"/>
        </w:rPr>
        <w:t xml:space="preserve">]</w:t>
      </w:r>
      <w:r>
        <w:rPr>
          <w:rStyle w:val="NormalTok"/>
        </w:rPr>
        <w:t xml:space="preserve">),</w:t>
      </w:r>
      <w:r>
        <w:br/>
      </w:r>
      <w:r>
        <w:rPr>
          <w:rStyle w:val="NormalTok"/>
        </w:rPr>
        <w:t xml:space="preserve">                     grid=as(gri_indiv,"SpatialPixelsDataFrame"), h=)</w:t>
      </w:r>
      <w:r>
        <w:br/>
      </w:r>
      <w:r>
        <w:br/>
      </w:r>
      <w:r>
        <w:rPr>
          <w:rStyle w:val="NormalTok"/>
        </w:rPr>
        <w:t xml:space="preserve">#Calculer le domaine vital à 95% et enregistrer en shapefile</w:t>
      </w:r>
      <w:r>
        <w:br/>
      </w:r>
      <w:r>
        <w:rPr>
          <w:rStyle w:val="NormalTok"/>
        </w:rPr>
        <w:t xml:space="preserve">volo_indiv &lt;- getverticeshr(getvolumeUD(kuo_indiv), 95)</w:t>
      </w:r>
      <w:r>
        <w:br/>
      </w:r>
      <w:r>
        <w:rPr>
          <w:rStyle w:val="NormalTok"/>
        </w:rPr>
        <w:t xml:space="preserve">shpindiv95&lt;- st_as_sf(volo_indiv)</w:t>
      </w:r>
      <w:r>
        <w:br/>
      </w:r>
      <w:r>
        <w:rPr>
          <w:rStyle w:val="NormalTok"/>
        </w:rPr>
        <w:t xml:space="preserve">st_write(shpindiv95, dsn = "Chemin_ou_je_veux_mettre_mon_Kernel95/Kernel95.shp", driver = "ESRI Shapefile")</w:t>
      </w:r>
      <w:r>
        <w:br/>
      </w:r>
      <w:r>
        <w:br/>
      </w:r>
      <w:r>
        <w:rPr>
          <w:rStyle w:val="NormalTok"/>
        </w:rPr>
        <w:t xml:space="preserve">#Calculer le domaine vital à 50% et enregistrer en shapefile</w:t>
      </w:r>
      <w:r>
        <w:br/>
      </w:r>
      <w:r>
        <w:rPr>
          <w:rStyle w:val="NormalTok"/>
        </w:rPr>
        <w:t xml:space="preserve">volb_indiv &lt;- getverticeshr(getvolumeUD(kuo_indiv), 50)</w:t>
      </w:r>
      <w:r>
        <w:br/>
      </w:r>
      <w:r>
        <w:rPr>
          <w:rStyle w:val="NormalTok"/>
        </w:rPr>
        <w:t xml:space="preserve">shpindiv50&lt;- st_as_sf(volb_indiv)</w:t>
      </w:r>
      <w:r>
        <w:br/>
      </w:r>
      <w:r>
        <w:rPr>
          <w:rStyle w:val="NormalTok"/>
        </w:rPr>
        <w:t xml:space="preserve">st_write(shpindiv50, dsn = "Chemin_ou_je_veux_mettre_mon_Kernel50/Kernel50.shp", driver = "ESRI Shapefile")</w:t>
      </w:r>
    </w:p>
    <w:bookmarkEnd w:id="46"/>
    <w:bookmarkStart w:id="47" w:name="kernel-de-clément"/>
    <w:p>
      <w:pPr>
        <w:pStyle w:val="Heading4"/>
      </w:pPr>
      <w:r>
        <w:t xml:space="preserve">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7"/>
    <w:bookmarkEnd w:id="48"/>
    <w:bookmarkStart w:id="70" w:name="méthodes-écologiques"/>
    <w:p>
      <w:pPr>
        <w:pStyle w:val="Heading3"/>
      </w:pPr>
      <w:r>
        <w:t xml:space="preserve">Méthodes écologiques</w:t>
      </w:r>
    </w:p>
    <w:bookmarkStart w:id="68" w:name="km-linéaire-tampon"/>
    <w:p>
      <w:pPr>
        <w:pStyle w:val="Heading4"/>
      </w:pPr>
      <w:r>
        <w:t xml:space="preserve">Km linéaire tampon</w:t>
      </w:r>
    </w:p>
    <w:p>
      <w:pPr>
        <w:pStyle w:val="FirstParagraph"/>
      </w:pPr>
      <w:r>
        <w:t xml:space="preserve">Pour chaque individus, on coupe l’ensemble des cours d’eau au niveau des localisations extrêmes (la plus en aval ou la plus en amont). On mesure ensuite la distance entre toutes les localisations et le cours d’eau le plus proche (</w:t>
      </w:r>
      <w:hyperlink w:anchor="fig-distance">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distance"/>
          <w:p>
            <w:pPr>
              <w:pStyle w:val="Compact"/>
              <w:jc w:val="center"/>
            </w:pPr>
            <w:r>
              <w:drawing>
                <wp:inline>
                  <wp:extent cx="5334000" cy="3545078"/>
                  <wp:effectExtent b="0" l="0" r="0" t="0"/>
                  <wp:docPr descr="" title="" id="50" name="Picture"/>
                  <a:graphic>
                    <a:graphicData uri="http://schemas.openxmlformats.org/drawingml/2006/picture">
                      <pic:pic>
                        <pic:nvPicPr>
                          <pic:cNvPr descr="image/distance_watercourse.png" id="51" name="Picture"/>
                          <pic:cNvPicPr>
                            <a:picLocks noChangeArrowheads="1" noChangeAspect="1"/>
                          </pic:cNvPicPr>
                        </pic:nvPicPr>
                        <pic:blipFill>
                          <a:blip r:embed="rId49"/>
                          <a:stretch>
                            <a:fillRect/>
                          </a:stretch>
                        </pic:blipFill>
                        <pic:spPr bwMode="auto">
                          <a:xfrm>
                            <a:off x="0" y="0"/>
                            <a:ext cx="5334000" cy="3545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Distance entre les localisations et le cours d’eau le plus proche.</w:t>
            </w:r>
          </w:p>
          <w:bookmarkEnd w:id="52"/>
        </w:tc>
      </w:tr>
    </w:tbl>
    <w:p>
      <w:pPr>
        <w:pStyle w:val="BodyText"/>
      </w:pPr>
      <w:r>
        <w:t xml:space="preserve">On crée ensuite autour des cours d’eau un tampon avec comme valeur la distance maximale entre les localisations et les cours d’eau (</w:t>
      </w:r>
      <w:hyperlink w:anchor="fig-ehr-simple">
        <w:r>
          <w:rPr>
            <w:rStyle w:val="Hyperlink"/>
          </w:rPr>
          <w:t xml:space="preserve">Figure 5.2 (a)</w:t>
        </w:r>
      </w:hyperlink>
      <w:r>
        <w:t xml:space="preserve">). Comme le Vison d’Europe peut utiliser l’ensemble de l’espace compris entre les cours d’eau, on crée également un tampon</w:t>
      </w:r>
      <w:r>
        <w:t xml:space="preserve"> </w:t>
      </w:r>
      <w:r>
        <w:t xml:space="preserve">“</w:t>
      </w:r>
      <w:r>
        <w:t xml:space="preserve">rempli</w:t>
      </w:r>
      <w:r>
        <w:t xml:space="preserve">”</w:t>
      </w:r>
      <w:r>
        <w:t xml:space="preserve"> </w:t>
      </w:r>
      <w:r>
        <w:t xml:space="preserve">(</w:t>
      </w:r>
      <w:hyperlink w:anchor="fig-ehr-rempli">
        <w:r>
          <w:rPr>
            <w:rStyle w:val="Hyperlink"/>
          </w:rPr>
          <w:t xml:space="preserve">Figure 5.2 (b)</w:t>
        </w:r>
      </w:hyperlink>
      <w:r>
        <w:t xml:space="preserve">).</w:t>
      </w:r>
    </w:p>
    <w:bookmarkStart w:id="61" w:name="fig-EHR"/>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56" w:name="fig-ehr-simple"/>
                <w:p>
                  <w:pPr>
                    <w:pStyle w:val="Compact"/>
                    <w:jc w:val="center"/>
                    <w:jc w:val="left"/>
                  </w:pPr>
                  <w:r>
                    <w:drawing>
                      <wp:inline>
                        <wp:extent cx="2971800" cy="1728022"/>
                        <wp:effectExtent b="0" l="0" r="0" t="0"/>
                        <wp:docPr descr="" title="" id="54" name="Picture"/>
                        <a:graphic>
                          <a:graphicData uri="http://schemas.openxmlformats.org/drawingml/2006/picture">
                            <pic:pic>
                              <pic:nvPicPr>
                                <pic:cNvPr descr="image/EHR.png" id="55" name="Picture"/>
                                <pic:cNvPicPr>
                                  <a:picLocks noChangeArrowheads="1" noChangeAspect="1"/>
                                </pic:cNvPicPr>
                              </pic:nvPicPr>
                              <pic:blipFill>
                                <a:blip r:embed="rId53"/>
                                <a:stretch>
                                  <a:fillRect/>
                                </a:stretch>
                              </pic:blipFill>
                              <pic:spPr bwMode="auto">
                                <a:xfrm>
                                  <a:off x="0" y="0"/>
                                  <a:ext cx="2971800" cy="172802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EHR simple</w:t>
                  </w:r>
                </w:p>
                <w:bookmarkEnd w:id="5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60" w:name="fig-ehr-rempli"/>
                <w:p>
                  <w:pPr>
                    <w:pStyle w:val="Compact"/>
                    <w:jc w:val="center"/>
                    <w:jc w:val="left"/>
                  </w:pPr>
                  <w:r>
                    <w:drawing>
                      <wp:inline>
                        <wp:extent cx="2971800" cy="1701488"/>
                        <wp:effectExtent b="0" l="0" r="0" t="0"/>
                        <wp:docPr descr="" title="" id="58" name="Picture"/>
                        <a:graphic>
                          <a:graphicData uri="http://schemas.openxmlformats.org/drawingml/2006/picture">
                            <pic:pic>
                              <pic:nvPicPr>
                                <pic:cNvPr descr="image/filled_EHR.png" id="59" name="Picture"/>
                                <pic:cNvPicPr>
                                  <a:picLocks noChangeArrowheads="1" noChangeAspect="1"/>
                                </pic:cNvPicPr>
                              </pic:nvPicPr>
                              <pic:blipFill>
                                <a:blip r:embed="rId57"/>
                                <a:stretch>
                                  <a:fillRect/>
                                </a:stretch>
                              </pic:blipFill>
                              <pic:spPr bwMode="auto">
                                <a:xfrm>
                                  <a:off x="0" y="0"/>
                                  <a:ext cx="2971800" cy="170148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EHR rempli</w:t>
                  </w:r>
                </w:p>
                <w:bookmarkEnd w:id="60"/>
              </w:tc>
            </w:tr>
          </w:tbl>
          <w:p/>
        </w:tc>
      </w:tr>
    </w:tbl>
    <w:p>
      <w:pPr>
        <w:pStyle w:val="BodyText"/>
      </w:pPr>
      <w:pPr>
        <w:spacing w:before="200"/>
        <w:pStyle w:val="ImageCaption"/>
      </w:pPr>
      <w:r>
        <w:t xml:space="preserve">Figure 5.2: Domaine vital écologique basé sur la distance aux cours d’eau.</w:t>
      </w:r>
    </w:p>
    <w:bookmarkEnd w:id="61"/>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On modélise la courbe de ces distances, du point de référence jusqu’au projeté le plus éloigné. On identifie les zones cœurs comme des zones où un nombre conséquent de localisations forme un plateau. On coupe ensuite le tampon au niveau des limites des plateaux.</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Poste\AppData\Local\Programs\Quarto\share\formats\docx\warning.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Problème en zone de marais</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C:\Users\Poste\AppData\Local\Programs\Quarto\share\formats\docx\note.png" id="67" name="Picture"/>
                          <pic:cNvPicPr>
                            <a:picLocks noChangeArrowheads="1" noChangeAspect="1"/>
                          </pic:cNvPicPr>
                        </pic:nvPicPr>
                        <pic:blipFill>
                          <a:blip r:embed="rId6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Révision de la méthode</w:t>
            </w:r>
          </w:p>
        </w:tc>
      </w:tr>
      <w:tr>
        <w:trPr>
          <w:cantSplit/>
        </w:trPr>
        <w:tc>
          <w:tcPr>
            <w:tcMar>
              <w:top w:w="108" w:type="dxa"/>
              <w:bottom w:w="108" w:type="dxa"/>
            </w:tcMar>
          </w:tcPr>
          <w:p>
            <w:pPr>
              <w:pStyle w:val="BodyText"/>
            </w:pPr>
            <w:pPr>
              <w:spacing w:before="16" w:after="16"/>
            </w:pPr>
            <w:r>
              <w:t xml:space="preserve">Cette méthode n’est pas aboutit. D’une part, on utilise l’axe médian de la zone humide alors que le domaine vital n’est pas uniquement dans la zone humide. On devrait alors utiliser l’axe médian des cours d’eau. De plus, on coupe les zones cœurs au niveau de l’amont et de l’aval, mais on ne redéfinit pas des limites en s’éloignant du cours d’eau. On devrait, pour les localisations correspondant à un plateau, mesurer la distance maximale aux cours d’eau et refaire un tampon autour d’eux. Qui plus est, la méthode actuelle estime que le vison ne peut pas être plus loin du cours d’eau que la distance maximale alors que rien ne l’en empâche. Il faudrait alors faire un tampon également autour des localisations pour simuler cette possibilité. Enfin, on crée un domaine vital 100% qu’on compare à un Kernel 95% ce qui n’est pas logique. On pourrait prendre comme valeur de tampon la distance représentant 95% de la distance max.</w:t>
            </w:r>
          </w:p>
        </w:tc>
      </w:tr>
    </w:tbl>
    <w:bookmarkEnd w:id="68"/>
    <w:bookmarkStart w:id="69" w:name="domaine-vital-maille"/>
    <w:p>
      <w:pPr>
        <w:pStyle w:val="Heading4"/>
      </w:pPr>
      <w:r>
        <w:t xml:space="preserve">Domaine vital maille</w:t>
      </w:r>
    </w:p>
    <w:p>
      <w:pPr>
        <w:pStyle w:val="FirstParagraph"/>
      </w:pPr>
      <w:r>
        <w:t xml:space="preserve">Une autre méthode basée sur les localisations serait la modélisation de mailles dont les mesures dépendent de la distance entre les localisations. On mesure pour tous les individus la distance euclidienne entre une localisation et la prochaine temporellement. On choisit ensuite une valeur de référence qui peut être : la distance médiane entre localisations pour l’individu, la distance moyenne entre localisations pour l’individu, la distance médiane entre localisations pour tous les individus, la distance moyenne entre localisations pour tous les individus. On construit ensuite un maillage et le domaine vital est définit par les mailles contenant au moins une localisation.</w:t>
      </w:r>
    </w:p>
    <w:p>
      <w:pPr>
        <w:pStyle w:val="BodyText"/>
      </w:pPr>
      <w:r>
        <w:t xml:space="preserve">La zone cœur est ensuite définit comme une zone dans laquelle il y a statistiquement plus de localisations que dans les autres mailles. La différence statistique peut être calculé par un test du</w:t>
      </w:r>
      <w:r>
        <w:t xml:space="preserve"> </w:t>
      </w:r>
      <m:oMath>
        <m:r>
          <m:t>X</m:t>
        </m:r>
        <m:r>
          <m:rPr>
            <m:sty m:val="p"/>
          </m:rPr>
          <m:t>²</m:t>
        </m:r>
      </m:oMath>
      <w:r>
        <w:t xml:space="preserve">.</w:t>
      </w:r>
    </w:p>
    <w:bookmarkEnd w:id="69"/>
    <w:bookmarkEnd w:id="70"/>
    <w:bookmarkEnd w:id="71"/>
    <w:bookmarkStart w:id="72" w:name="comparaison-des-méthodes"/>
    <w:p>
      <w:pPr>
        <w:pStyle w:val="Heading2"/>
      </w:pPr>
      <w:r>
        <w:t xml:space="preserve">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observer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72"/>
    <w:bookmarkEnd w:id="73"/>
    <w:bookmarkStart w:id="74" w:name="utilisation-des-habitats"/>
    <w:p>
      <w:pPr>
        <w:pStyle w:val="Heading1"/>
      </w:pPr>
      <w:r>
        <w:t xml:space="preserve">Utilisation des habitats</w:t>
      </w:r>
    </w:p>
    <w:bookmarkEnd w:id="74"/>
    <w:bookmarkStart w:id="76" w:name="X584a159f35b9eb9a12e5e4af0cb4b8834ff06ed"/>
    <w:p>
      <w:pPr>
        <w:pStyle w:val="Heading1"/>
      </w:pPr>
      <w:r>
        <w:t xml:space="preserve">Résultats de l’étude de l’occupation de l’espace</w:t>
      </w:r>
    </w:p>
    <w:bookmarkStart w:id="75" w:name="choix-des-individus-1"/>
    <w:p>
      <w:pPr>
        <w:pStyle w:val="Heading2"/>
      </w:pPr>
      <w:r>
        <w:t xml:space="preserve">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75"/>
    <w:bookmarkEnd w:id="76"/>
    <w:bookmarkStart w:id="100" w:name="references"/>
    <w:p>
      <w:pPr>
        <w:pStyle w:val="Heading1"/>
      </w:pPr>
      <w:r>
        <w:t xml:space="preserve">References</w:t>
      </w:r>
    </w:p>
    <w:bookmarkStart w:id="99" w:name="refs"/>
    <w:bookmarkStart w:id="78"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77">
        <w:r>
          <w:rPr>
            <w:rStyle w:val="Hyperlink"/>
          </w:rPr>
          <w:t xml:space="preserve">https://doi.org/10.1007/BF03195195</w:t>
        </w:r>
      </w:hyperlink>
      <w:r>
        <w:t xml:space="preserve">.</w:t>
      </w:r>
    </w:p>
    <w:bookmarkEnd w:id="78"/>
    <w:bookmarkStart w:id="80"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79">
        <w:r>
          <w:rPr>
            <w:rStyle w:val="Hyperlink"/>
          </w:rPr>
          <w:t xml:space="preserve">https://doi.org/10.1007/BF03194194</w:t>
        </w:r>
      </w:hyperlink>
      <w:r>
        <w:t xml:space="preserve">.</w:t>
      </w:r>
    </w:p>
    <w:bookmarkEnd w:id="80"/>
    <w:bookmarkStart w:id="82"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81">
        <w:r>
          <w:rPr>
            <w:rStyle w:val="Hyperlink"/>
          </w:rPr>
          <w:t xml:space="preserve">https://doi.org/10.1007/BF03193566</w:t>
        </w:r>
      </w:hyperlink>
      <w:r>
        <w:t xml:space="preserve">.</w:t>
      </w:r>
    </w:p>
    <w:bookmarkEnd w:id="82"/>
    <w:bookmarkStart w:id="84"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83">
        <w:r>
          <w:rPr>
            <w:rStyle w:val="Hyperlink"/>
          </w:rPr>
          <w:t xml:space="preserve">https://doi.org/10.1111/j.1469-7998.1998.tb00093.x</w:t>
        </w:r>
      </w:hyperlink>
      <w:r>
        <w:t xml:space="preserve">.</w:t>
      </w:r>
    </w:p>
    <w:bookmarkEnd w:id="84"/>
    <w:bookmarkStart w:id="86"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85">
        <w:r>
          <w:rPr>
            <w:rStyle w:val="Hyperlink"/>
          </w:rPr>
          <w:t xml:space="preserve">https://doi.org/10.1515/mamm.2004.016</w:t>
        </w:r>
      </w:hyperlink>
      <w:r>
        <w:t xml:space="preserve">.</w:t>
      </w:r>
    </w:p>
    <w:bookmarkEnd w:id="86"/>
    <w:bookmarkStart w:id="88"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87">
        <w:r>
          <w:rPr>
            <w:rStyle w:val="Hyperlink"/>
          </w:rPr>
          <w:t xml:space="preserve">https://doi.org/10.1017/CBO9780511721830.007</w:t>
        </w:r>
      </w:hyperlink>
      <w:r>
        <w:t xml:space="preserve">.</w:t>
      </w:r>
    </w:p>
    <w:bookmarkEnd w:id="88"/>
    <w:bookmarkStart w:id="90"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89">
        <w:r>
          <w:rPr>
            <w:rStyle w:val="Hyperlink"/>
          </w:rPr>
          <w:t xml:space="preserve">https://doi.org/10.32800/abc.2008.31.2.0037</w:t>
        </w:r>
      </w:hyperlink>
      <w:r>
        <w:t xml:space="preserve">.</w:t>
      </w:r>
    </w:p>
    <w:bookmarkEnd w:id="90"/>
    <w:bookmarkStart w:id="92"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91">
        <w:r>
          <w:rPr>
            <w:rStyle w:val="Hyperlink"/>
          </w:rPr>
          <w:t xml:space="preserve">https://doi.org/10.4404/hystrix-28.1-12298</w:t>
        </w:r>
      </w:hyperlink>
      <w:r>
        <w:t xml:space="preserve">.</w:t>
      </w:r>
    </w:p>
    <w:bookmarkEnd w:id="92"/>
    <w:bookmarkStart w:id="94"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93">
        <w:r>
          <w:rPr>
            <w:rStyle w:val="Hyperlink"/>
          </w:rPr>
          <w:t xml:space="preserve">https://doi.org/10.1007/s10344-017-1135-0</w:t>
        </w:r>
      </w:hyperlink>
      <w:r>
        <w:t xml:space="preserve">.</w:t>
      </w:r>
    </w:p>
    <w:bookmarkEnd w:id="94"/>
    <w:bookmarkStart w:id="96"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95">
        <w:r>
          <w:rPr>
            <w:rStyle w:val="Hyperlink"/>
          </w:rPr>
          <w:t xml:space="preserve">https://doi.org/10.1017/CBO9780511721830.012</w:t>
        </w:r>
      </w:hyperlink>
      <w:r>
        <w:t xml:space="preserve">.</w:t>
      </w:r>
    </w:p>
    <w:bookmarkEnd w:id="96"/>
    <w:bookmarkStart w:id="98"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97">
        <w:r>
          <w:rPr>
            <w:rStyle w:val="Hyperlink"/>
          </w:rPr>
          <w:t xml:space="preserve">https://doi.org/10.1017/S0952836903003881</w:t>
        </w:r>
      </w:hyperlink>
      <w:r>
        <w:t xml:space="preserve">.</w:t>
      </w:r>
    </w:p>
    <w:bookmarkEnd w:id="98"/>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image" Id="rId57" Target="media/rId57.png" /><Relationship Type="http://schemas.openxmlformats.org/officeDocument/2006/relationships/image" Id="rId28" Target="media/rId28.jpg" /><Relationship Type="http://schemas.openxmlformats.org/officeDocument/2006/relationships/hyperlink" Id="rId81" Target="https://doi.org/10.1007/BF03193566" TargetMode="External" /><Relationship Type="http://schemas.openxmlformats.org/officeDocument/2006/relationships/hyperlink" Id="rId79" Target="https://doi.org/10.1007/BF03194194" TargetMode="External" /><Relationship Type="http://schemas.openxmlformats.org/officeDocument/2006/relationships/hyperlink" Id="rId77" Target="https://doi.org/10.1007/BF03195195" TargetMode="External" /><Relationship Type="http://schemas.openxmlformats.org/officeDocument/2006/relationships/hyperlink" Id="rId93" Target="https://doi.org/10.1007/s10344-017-1135-0" TargetMode="External" /><Relationship Type="http://schemas.openxmlformats.org/officeDocument/2006/relationships/hyperlink" Id="rId87" Target="https://doi.org/10.1017/CBO9780511721830.007" TargetMode="External" /><Relationship Type="http://schemas.openxmlformats.org/officeDocument/2006/relationships/hyperlink" Id="rId95" Target="https://doi.org/10.1017/CBO9780511721830.012" TargetMode="External" /><Relationship Type="http://schemas.openxmlformats.org/officeDocument/2006/relationships/hyperlink" Id="rId97" Target="https://doi.org/10.1017/S0952836903003881" TargetMode="External" /><Relationship Type="http://schemas.openxmlformats.org/officeDocument/2006/relationships/hyperlink" Id="rId83" Target="https://doi.org/10.1111/j.1469-7998.1998.tb00093.x" TargetMode="External" /><Relationship Type="http://schemas.openxmlformats.org/officeDocument/2006/relationships/hyperlink" Id="rId85" Target="https://doi.org/10.1515/mamm.2004.016" TargetMode="External" /><Relationship Type="http://schemas.openxmlformats.org/officeDocument/2006/relationships/hyperlink" Id="rId89" Target="https://doi.org/10.32800/abc.2008.31.2.0037" TargetMode="External" /><Relationship Type="http://schemas.openxmlformats.org/officeDocument/2006/relationships/hyperlink" Id="rId91"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7/BF03193566" TargetMode="External" /><Relationship Type="http://schemas.openxmlformats.org/officeDocument/2006/relationships/hyperlink" Id="rId79" Target="https://doi.org/10.1007/BF03194194" TargetMode="External" /><Relationship Type="http://schemas.openxmlformats.org/officeDocument/2006/relationships/hyperlink" Id="rId77" Target="https://doi.org/10.1007/BF03195195" TargetMode="External" /><Relationship Type="http://schemas.openxmlformats.org/officeDocument/2006/relationships/hyperlink" Id="rId93" Target="https://doi.org/10.1007/s10344-017-1135-0" TargetMode="External" /><Relationship Type="http://schemas.openxmlformats.org/officeDocument/2006/relationships/hyperlink" Id="rId87" Target="https://doi.org/10.1017/CBO9780511721830.007" TargetMode="External" /><Relationship Type="http://schemas.openxmlformats.org/officeDocument/2006/relationships/hyperlink" Id="rId95" Target="https://doi.org/10.1017/CBO9780511721830.012" TargetMode="External" /><Relationship Type="http://schemas.openxmlformats.org/officeDocument/2006/relationships/hyperlink" Id="rId97" Target="https://doi.org/10.1017/S0952836903003881" TargetMode="External" /><Relationship Type="http://schemas.openxmlformats.org/officeDocument/2006/relationships/hyperlink" Id="rId83" Target="https://doi.org/10.1111/j.1469-7998.1998.tb00093.x" TargetMode="External" /><Relationship Type="http://schemas.openxmlformats.org/officeDocument/2006/relationships/hyperlink" Id="rId85" Target="https://doi.org/10.1515/mamm.2004.016" TargetMode="External" /><Relationship Type="http://schemas.openxmlformats.org/officeDocument/2006/relationships/hyperlink" Id="rId89" Target="https://doi.org/10.32800/abc.2008.31.2.0037" TargetMode="External" /><Relationship Type="http://schemas.openxmlformats.org/officeDocument/2006/relationships/hyperlink" Id="rId91"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2024-10-11T07:20:13Z</dcterms:created>
  <dcterms:modified xsi:type="dcterms:W3CDTF">2024-10-11T07:20:13Z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2024-10-11</vt:lpwstr>
  </property>
  <property fmtid="{D5CDD505-2E9C-101B-9397-08002B2CF9AE}" pid="11" name="fig-numbering">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