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coeur », est peu renseignée pour cette espèce. La zone coeur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c3331b691bc5345f7f1624783291aa66e5e8fcc"/>
    <w:p>
      <w:pPr>
        <w:pStyle w:val="Heading1"/>
      </w:pPr>
      <w:r>
        <w:t xml:space="preserve">4. Analyses présenties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coeurs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coeur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3d7149409565d29309ad277942138e675605c98"/>
    <w:p>
      <w:pPr>
        <w:pStyle w:val="Heading1"/>
      </w:pPr>
      <w:r>
        <w:t xml:space="preserve">5. Methodologie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coeurs</w:t>
      </w:r>
      <w:r>
        <w:t xml:space="preserve">”</w:t>
      </w:r>
      <w:r>
        <w:t xml:space="preserve"> </w:t>
      </w:r>
      <w:r>
        <w:t xml:space="preserve">dans la littérature. Ces zones coeurs seront utilisées dans la partie sur l’utilisation des habitats, en comparant les habitats en et hors zones coeurs.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commencer par modéliser des MCPs pour chaque individus.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la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 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coeurs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coeurs. Par exemple, si la distribution forme une courbe de Gauss, la zone coeur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Ils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coeur pourrait alors être calculé comme la zone humide autour des portions du cours d’eau avec le plus de localisations (cf la méthode de construction de la zone coeur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coeur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 dans le même sens que le cours d’eau et s’applatit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2024-10-07T08:29:19Z</dcterms:created>
  <dcterms:modified xsi:type="dcterms:W3CDTF">2024-10-07T08:29:19Z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2024-10-07</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