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Trebuchet MS" w:cs="Trebuchet MS" w:eastAsia="Trebuchet MS" w:hAnsi="Trebuchet MS"/>
          <w:b/>
          <w:bCs/>
          <w:color w:val="1A0A2E"/>
          <w:sz w:val="60"/>
          <w:szCs w:val="60"/>
        </w:rPr>
        <w:t xml:space="preserve">RESONARA</w:t>
      </w:r>
    </w:p>
    <w:p>
      <w:pPr>
        <w:spacing w:before="120"/>
        <w:jc w:val="center"/>
      </w:pPr>
      <w:r>
        <w:rPr>
          <w:rFonts w:ascii="Calibri" w:cs="Calibri" w:eastAsia="Calibri" w:hAnsi="Calibri"/>
          <w:color w:val="7B2FBE"/>
          <w:sz w:val="26"/>
          <w:szCs w:val="26"/>
        </w:rPr>
        <w:t xml:space="preserve">Acoustic Space Intelligence for Sound Healers</w:t>
      </w:r>
    </w:p>
    <w:p>
      <w:pPr>
        <w:spacing w:before="400" w:after="0"/>
      </w:pPr>
    </w:p>
    <w:p>
      <w:pPr>
        <w:jc w:val="center"/>
      </w:pPr>
      <w:r>
        <w:rPr>
          <w:rFonts w:ascii="Calibri" w:cs="Calibri" w:eastAsia="Calibri" w:hAnsi="Calibri"/>
          <w:color w:val="4A4A6A"/>
          <w:sz w:val="24"/>
          <w:szCs w:val="24"/>
        </w:rPr>
        <w:t xml:space="preserve">Architecture &amp; Product Specification</w:t>
      </w:r>
    </w:p>
    <w:p>
      <w:pPr>
        <w:spacing w:before="80"/>
        <w:jc w:val="center"/>
      </w:pPr>
      <w:r>
        <w:rPr>
          <w:rFonts w:ascii="Calibri" w:cs="Calibri" w:eastAsia="Calibri" w:hAnsi="Calibri"/>
          <w:color w:val="4A4A6A"/>
          <w:sz w:val="20"/>
          <w:szCs w:val="20"/>
        </w:rPr>
        <w:t xml:space="preserve">Version 1.0  •  February 2026</w:t>
      </w:r>
    </w:p>
    <w:p>
      <w:pPr>
        <w:spacing w:before="600" w:after="0"/>
      </w:pPr>
    </w:p>
    <w:p>
      <w:pPr>
        <w:jc w:val="center"/>
      </w:pPr>
      <w:r>
        <w:rPr>
          <w:rFonts w:ascii="Calibri" w:cs="Calibri" w:eastAsia="Calibri" w:hAnsi="Calibri"/>
          <w:i/>
          <w:iCs/>
          <w:color w:val="7B2FBE"/>
          <w:sz w:val="20"/>
          <w:szCs w:val="20"/>
        </w:rPr>
        <w:t xml:space="preserve">Part of the NestorLab Ecosystem</w:t>
      </w:r>
    </w:p>
    <w:p>
      <w:pPr>
        <w:spacing w:before="40"/>
        <w:jc w:val="center"/>
      </w:pPr>
      <w:r>
        <w:rPr>
          <w:rFonts w:ascii="Calibri" w:cs="Calibri" w:eastAsia="Calibri" w:hAnsi="Calibri"/>
          <w:color w:val="D4A843"/>
          <w:sz w:val="20"/>
          <w:szCs w:val="20"/>
        </w:rPr>
        <w:t xml:space="preserve">resonara.app</w:t>
      </w:r>
    </w:p>
    <w:p>
      <w:r>
        <w:br w:type="page"/>
      </w:r>
    </w:p>
    <w:p>
      <w:pPr>
        <w:pStyle w:val="Heading1"/>
        <w:spacing w:before="360" w:after="200"/>
      </w:pPr>
      <w:r>
        <w:rPr>
          <w:rFonts w:ascii="Trebuchet MS" w:cs="Trebuchet MS" w:eastAsia="Trebuchet MS" w:hAnsi="Trebuchet MS"/>
          <w:b/>
          <w:bCs/>
          <w:color w:val="1A0A2E"/>
          <w:sz w:val="32"/>
          <w:szCs w:val="32"/>
        </w:rPr>
        <w:t xml:space="preserve">1. Product Overview</w:t>
      </w:r>
    </w:p>
    <w:p>
      <w:pPr>
        <w:spacing w:before="60" w:after="100" w:line="300"/>
      </w:pPr>
      <w:r>
        <w:rPr>
          <w:rFonts w:ascii="Calibri" w:cs="Calibri" w:eastAsia="Calibri" w:hAnsi="Calibri"/>
          <w:color w:val="1A1A2E"/>
          <w:sz w:val="21"/>
          <w:szCs w:val="21"/>
        </w:rPr>
        <w:t xml:space="preserve">Resonara is a web-based acoustic space analysis tool designed exclusively for sound healing practitioners. It transforms any device with a microphone into a room acoustics analyser, translating complex acoustic measurements into practitioner-friendly wellness language.</w:t>
      </w:r>
    </w:p>
    <w:p>
      <w:pPr>
        <w:spacing w:before="100" w:after="0"/>
      </w:pPr>
    </w:p>
    <w:p>
      <w:pPr>
        <w:spacing w:before="60" w:after="100" w:line="300"/>
      </w:pPr>
      <w:r>
        <w:rPr>
          <w:rFonts w:ascii="Calibri" w:cs="Calibri" w:eastAsia="Calibri" w:hAnsi="Calibri"/>
          <w:color w:val="1A1A2E"/>
          <w:sz w:val="21"/>
          <w:szCs w:val="21"/>
        </w:rPr>
        <w:t xml:space="preserve">Unlike professional acoustics software built for studio engineers, Resonara speaks the language of energy centres, instrument resonance, and healing intention. It helps practitioners understand how their space shapes their sound, optimise instrument placement, and deliver more effective sessions.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C4E8" w:sz="1"/>
              <w:left w:val="single" w:color="D0C4E8" w:sz="1"/>
              <w:bottom w:val="single" w:color="D0C4E8" w:sz="1"/>
              <w:right w:val="single" w:color="D0C4E8" w:sz="1"/>
            </w:tcBorders>
            <w:shd w:fill="EDE5FF" w:val="clear"/>
            <w:tcMar>
              <w:top w:type="dxa" w:w="100"/>
              <w:left w:type="dxa" w:w="140"/>
              <w:bottom w:type="dxa" w:w="100"/>
              <w:right w:type="dxa" w:w="140"/>
            </w:tcMar>
          </w:tcPr>
          <w:p>
            <w:r>
              <w:rPr>
                <w:rFonts w:ascii="Calibri" w:cs="Calibri" w:eastAsia="Calibri" w:hAnsi="Calibri"/>
                <w:b/>
                <w:bCs/>
                <w:color w:val="1A0A2E"/>
                <w:sz w:val="21"/>
                <w:szCs w:val="21"/>
              </w:rPr>
              <w:t xml:space="preserve">Domain</w:t>
            </w:r>
          </w:p>
        </w:tc>
        <w:tc>
          <w:tcPr>
            <w:tcW w:type="dxa" w:w="616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1"/>
                <w:szCs w:val="21"/>
              </w:rPr>
              <w:t xml:space="preserve">resonara.app</w:t>
            </w:r>
          </w:p>
        </w:tc>
      </w:tr>
      <w:tr>
        <w:tc>
          <w:tcPr>
            <w:tcW w:type="dxa" w:w="3200"/>
            <w:tcBorders>
              <w:top w:val="single" w:color="D0C4E8" w:sz="1"/>
              <w:left w:val="single" w:color="D0C4E8" w:sz="1"/>
              <w:bottom w:val="single" w:color="D0C4E8" w:sz="1"/>
              <w:right w:val="single" w:color="D0C4E8" w:sz="1"/>
            </w:tcBorders>
            <w:shd w:fill="EDE5FF" w:val="clear"/>
            <w:tcMar>
              <w:top w:type="dxa" w:w="100"/>
              <w:left w:type="dxa" w:w="140"/>
              <w:bottom w:type="dxa" w:w="100"/>
              <w:right w:type="dxa" w:w="140"/>
            </w:tcMar>
          </w:tcPr>
          <w:p>
            <w:r>
              <w:rPr>
                <w:rFonts w:ascii="Calibri" w:cs="Calibri" w:eastAsia="Calibri" w:hAnsi="Calibri"/>
                <w:b/>
                <w:bCs/>
                <w:color w:val="1A0A2E"/>
                <w:sz w:val="21"/>
                <w:szCs w:val="21"/>
              </w:rPr>
              <w:t xml:space="preserve">Platform</w:t>
            </w:r>
          </w:p>
        </w:tc>
        <w:tc>
          <w:tcPr>
            <w:tcW w:type="dxa" w:w="616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1"/>
                <w:szCs w:val="21"/>
              </w:rPr>
              <w:t xml:space="preserve">Progressive Web App (PWA)</w:t>
            </w:r>
          </w:p>
        </w:tc>
      </w:tr>
      <w:tr>
        <w:tc>
          <w:tcPr>
            <w:tcW w:type="dxa" w:w="3200"/>
            <w:tcBorders>
              <w:top w:val="single" w:color="D0C4E8" w:sz="1"/>
              <w:left w:val="single" w:color="D0C4E8" w:sz="1"/>
              <w:bottom w:val="single" w:color="D0C4E8" w:sz="1"/>
              <w:right w:val="single" w:color="D0C4E8" w:sz="1"/>
            </w:tcBorders>
            <w:shd w:fill="EDE5FF" w:val="clear"/>
            <w:tcMar>
              <w:top w:type="dxa" w:w="100"/>
              <w:left w:type="dxa" w:w="140"/>
              <w:bottom w:type="dxa" w:w="100"/>
              <w:right w:type="dxa" w:w="140"/>
            </w:tcMar>
          </w:tcPr>
          <w:p>
            <w:r>
              <w:rPr>
                <w:rFonts w:ascii="Calibri" w:cs="Calibri" w:eastAsia="Calibri" w:hAnsi="Calibri"/>
                <w:b/>
                <w:bCs/>
                <w:color w:val="1A0A2E"/>
                <w:sz w:val="21"/>
                <w:szCs w:val="21"/>
              </w:rPr>
              <w:t xml:space="preserve">Stack</w:t>
            </w:r>
          </w:p>
        </w:tc>
        <w:tc>
          <w:tcPr>
            <w:tcW w:type="dxa" w:w="616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1"/>
                <w:szCs w:val="21"/>
              </w:rPr>
              <w:t xml:space="preserve">Next.js 14+ / TypeScript / React / Tailwind CSS</w:t>
            </w:r>
          </w:p>
        </w:tc>
      </w:tr>
      <w:tr>
        <w:tc>
          <w:tcPr>
            <w:tcW w:type="dxa" w:w="3200"/>
            <w:tcBorders>
              <w:top w:val="single" w:color="D0C4E8" w:sz="1"/>
              <w:left w:val="single" w:color="D0C4E8" w:sz="1"/>
              <w:bottom w:val="single" w:color="D0C4E8" w:sz="1"/>
              <w:right w:val="single" w:color="D0C4E8" w:sz="1"/>
            </w:tcBorders>
            <w:shd w:fill="EDE5FF" w:val="clear"/>
            <w:tcMar>
              <w:top w:type="dxa" w:w="100"/>
              <w:left w:type="dxa" w:w="140"/>
              <w:bottom w:type="dxa" w:w="100"/>
              <w:right w:type="dxa" w:w="140"/>
            </w:tcMar>
          </w:tcPr>
          <w:p>
            <w:r>
              <w:rPr>
                <w:rFonts w:ascii="Calibri" w:cs="Calibri" w:eastAsia="Calibri" w:hAnsi="Calibri"/>
                <w:b/>
                <w:bCs/>
                <w:color w:val="1A0A2E"/>
                <w:sz w:val="21"/>
                <w:szCs w:val="21"/>
              </w:rPr>
              <w:t xml:space="preserve">Hosting</w:t>
            </w:r>
          </w:p>
        </w:tc>
        <w:tc>
          <w:tcPr>
            <w:tcW w:type="dxa" w:w="616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1"/>
                <w:szCs w:val="21"/>
              </w:rPr>
              <w:t xml:space="preserve">Vercel (Edge Functions where needed)</w:t>
            </w:r>
          </w:p>
        </w:tc>
      </w:tr>
      <w:tr>
        <w:tc>
          <w:tcPr>
            <w:tcW w:type="dxa" w:w="3200"/>
            <w:tcBorders>
              <w:top w:val="single" w:color="D0C4E8" w:sz="1"/>
              <w:left w:val="single" w:color="D0C4E8" w:sz="1"/>
              <w:bottom w:val="single" w:color="D0C4E8" w:sz="1"/>
              <w:right w:val="single" w:color="D0C4E8" w:sz="1"/>
            </w:tcBorders>
            <w:shd w:fill="EDE5FF" w:val="clear"/>
            <w:tcMar>
              <w:top w:type="dxa" w:w="100"/>
              <w:left w:type="dxa" w:w="140"/>
              <w:bottom w:type="dxa" w:w="100"/>
              <w:right w:type="dxa" w:w="140"/>
            </w:tcMar>
          </w:tcPr>
          <w:p>
            <w:r>
              <w:rPr>
                <w:rFonts w:ascii="Calibri" w:cs="Calibri" w:eastAsia="Calibri" w:hAnsi="Calibri"/>
                <w:b/>
                <w:bCs/>
                <w:color w:val="1A0A2E"/>
                <w:sz w:val="21"/>
                <w:szCs w:val="21"/>
              </w:rPr>
              <w:t xml:space="preserve">Backend</w:t>
            </w:r>
          </w:p>
        </w:tc>
        <w:tc>
          <w:tcPr>
            <w:tcW w:type="dxa" w:w="616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1"/>
                <w:szCs w:val="21"/>
              </w:rPr>
              <w:t xml:space="preserve">Zero-infrastructure (client-side audio processing)</w:t>
            </w:r>
          </w:p>
        </w:tc>
      </w:tr>
      <w:tr>
        <w:tc>
          <w:tcPr>
            <w:tcW w:type="dxa" w:w="3200"/>
            <w:tcBorders>
              <w:top w:val="single" w:color="D0C4E8" w:sz="1"/>
              <w:left w:val="single" w:color="D0C4E8" w:sz="1"/>
              <w:bottom w:val="single" w:color="D0C4E8" w:sz="1"/>
              <w:right w:val="single" w:color="D0C4E8" w:sz="1"/>
            </w:tcBorders>
            <w:shd w:fill="EDE5FF" w:val="clear"/>
            <w:tcMar>
              <w:top w:type="dxa" w:w="100"/>
              <w:left w:type="dxa" w:w="140"/>
              <w:bottom w:type="dxa" w:w="100"/>
              <w:right w:type="dxa" w:w="140"/>
            </w:tcMar>
          </w:tcPr>
          <w:p>
            <w:r>
              <w:rPr>
                <w:rFonts w:ascii="Calibri" w:cs="Calibri" w:eastAsia="Calibri" w:hAnsi="Calibri"/>
                <w:b/>
                <w:bCs/>
                <w:color w:val="1A0A2E"/>
                <w:sz w:val="21"/>
                <w:szCs w:val="21"/>
              </w:rPr>
              <w:t xml:space="preserve">Audio Engine</w:t>
            </w:r>
          </w:p>
        </w:tc>
        <w:tc>
          <w:tcPr>
            <w:tcW w:type="dxa" w:w="616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1"/>
                <w:szCs w:val="21"/>
              </w:rPr>
              <w:t xml:space="preserve">Web Audio API (AnalyserNode, AudioContext)</w:t>
            </w:r>
          </w:p>
        </w:tc>
      </w:tr>
      <w:tr>
        <w:tc>
          <w:tcPr>
            <w:tcW w:type="dxa" w:w="3200"/>
            <w:tcBorders>
              <w:top w:val="single" w:color="D0C4E8" w:sz="1"/>
              <w:left w:val="single" w:color="D0C4E8" w:sz="1"/>
              <w:bottom w:val="single" w:color="D0C4E8" w:sz="1"/>
              <w:right w:val="single" w:color="D0C4E8" w:sz="1"/>
            </w:tcBorders>
            <w:shd w:fill="EDE5FF" w:val="clear"/>
            <w:tcMar>
              <w:top w:type="dxa" w:w="100"/>
              <w:left w:type="dxa" w:w="140"/>
              <w:bottom w:type="dxa" w:w="100"/>
              <w:right w:type="dxa" w:w="140"/>
            </w:tcMar>
          </w:tcPr>
          <w:p>
            <w:r>
              <w:rPr>
                <w:rFonts w:ascii="Calibri" w:cs="Calibri" w:eastAsia="Calibri" w:hAnsi="Calibri"/>
                <w:b/>
                <w:bCs/>
                <w:color w:val="1A0A2E"/>
                <w:sz w:val="21"/>
                <w:szCs w:val="21"/>
              </w:rPr>
              <w:t xml:space="preserve">Data Storage</w:t>
            </w:r>
          </w:p>
        </w:tc>
        <w:tc>
          <w:tcPr>
            <w:tcW w:type="dxa" w:w="616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1"/>
                <w:szCs w:val="21"/>
              </w:rPr>
              <w:t xml:space="preserve">IndexedDB (local) + optional cloud sync</w:t>
            </w:r>
          </w:p>
        </w:tc>
      </w:tr>
      <w:tr>
        <w:tc>
          <w:tcPr>
            <w:tcW w:type="dxa" w:w="3200"/>
            <w:tcBorders>
              <w:top w:val="single" w:color="D0C4E8" w:sz="1"/>
              <w:left w:val="single" w:color="D0C4E8" w:sz="1"/>
              <w:bottom w:val="single" w:color="D0C4E8" w:sz="1"/>
              <w:right w:val="single" w:color="D0C4E8" w:sz="1"/>
            </w:tcBorders>
            <w:shd w:fill="EDE5FF" w:val="clear"/>
            <w:tcMar>
              <w:top w:type="dxa" w:w="100"/>
              <w:left w:type="dxa" w:w="140"/>
              <w:bottom w:type="dxa" w:w="100"/>
              <w:right w:type="dxa" w:w="140"/>
            </w:tcMar>
          </w:tcPr>
          <w:p>
            <w:r>
              <w:rPr>
                <w:rFonts w:ascii="Calibri" w:cs="Calibri" w:eastAsia="Calibri" w:hAnsi="Calibri"/>
                <w:b/>
                <w:bCs/>
                <w:color w:val="1A0A2E"/>
                <w:sz w:val="21"/>
                <w:szCs w:val="21"/>
              </w:rPr>
              <w:t xml:space="preserve">Target Users</w:t>
            </w:r>
          </w:p>
        </w:tc>
        <w:tc>
          <w:tcPr>
            <w:tcW w:type="dxa" w:w="616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1"/>
                <w:szCs w:val="21"/>
              </w:rPr>
              <w:t xml:space="preserve">Sound healers, gong bath facilitators, singing bowl practitioners, voice therapists</w:t>
            </w:r>
          </w:p>
        </w:tc>
      </w:tr>
      <w:tr>
        <w:tc>
          <w:tcPr>
            <w:tcW w:type="dxa" w:w="3200"/>
            <w:tcBorders>
              <w:top w:val="single" w:color="D0C4E8" w:sz="1"/>
              <w:left w:val="single" w:color="D0C4E8" w:sz="1"/>
              <w:bottom w:val="single" w:color="D0C4E8" w:sz="1"/>
              <w:right w:val="single" w:color="D0C4E8" w:sz="1"/>
            </w:tcBorders>
            <w:shd w:fill="EDE5FF" w:val="clear"/>
            <w:tcMar>
              <w:top w:type="dxa" w:w="100"/>
              <w:left w:type="dxa" w:w="140"/>
              <w:bottom w:type="dxa" w:w="100"/>
              <w:right w:type="dxa" w:w="140"/>
            </w:tcMar>
          </w:tcPr>
          <w:p>
            <w:r>
              <w:rPr>
                <w:rFonts w:ascii="Calibri" w:cs="Calibri" w:eastAsia="Calibri" w:hAnsi="Calibri"/>
                <w:b/>
                <w:bCs/>
                <w:color w:val="1A0A2E"/>
                <w:sz w:val="21"/>
                <w:szCs w:val="21"/>
              </w:rPr>
              <w:t xml:space="preserve">Ecosystem Position</w:t>
            </w:r>
          </w:p>
        </w:tc>
        <w:tc>
          <w:tcPr>
            <w:tcW w:type="dxa" w:w="616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1"/>
                <w:szCs w:val="21"/>
              </w:rPr>
              <w:t xml:space="preserve">Ether element category (NestorLab hub)</w:t>
            </w:r>
          </w:p>
        </w:tc>
      </w:tr>
    </w:tbl>
    <w:p>
      <w:r>
        <w:br w:type="page"/>
      </w:r>
    </w:p>
    <w:p>
      <w:pPr>
        <w:pStyle w:val="Heading1"/>
        <w:spacing w:before="360" w:after="200"/>
      </w:pPr>
      <w:r>
        <w:rPr>
          <w:rFonts w:ascii="Trebuchet MS" w:cs="Trebuchet MS" w:eastAsia="Trebuchet MS" w:hAnsi="Trebuchet MS"/>
          <w:b/>
          <w:bCs/>
          <w:color w:val="1A0A2E"/>
          <w:sz w:val="32"/>
          <w:szCs w:val="32"/>
        </w:rPr>
        <w:t xml:space="preserve">2. User Journey &amp; Core Flows</w:t>
      </w:r>
    </w:p>
    <w:p>
      <w:pPr>
        <w:pStyle w:val="Heading2"/>
        <w:spacing w:before="300" w:after="160"/>
      </w:pPr>
      <w:r>
        <w:rPr>
          <w:rFonts w:ascii="Trebuchet MS" w:cs="Trebuchet MS" w:eastAsia="Trebuchet MS" w:hAnsi="Trebuchet MS"/>
          <w:b/>
          <w:bCs/>
          <w:color w:val="7B2FBE"/>
          <w:sz w:val="26"/>
          <w:szCs w:val="26"/>
        </w:rPr>
        <w:t xml:space="preserve">2.1 First Launch Experience</w:t>
      </w:r>
    </w:p>
    <w:p>
      <w:pPr>
        <w:spacing w:before="60" w:after="100" w:line="300"/>
      </w:pPr>
      <w:r>
        <w:rPr>
          <w:rFonts w:ascii="Calibri" w:cs="Calibri" w:eastAsia="Calibri" w:hAnsi="Calibri"/>
          <w:color w:val="1A1A2E"/>
          <w:sz w:val="21"/>
          <w:szCs w:val="21"/>
        </w:rPr>
        <w:t xml:space="preserve">No sign-up wall. No dashboard. The app opens to a full-screen living visualisation of silence — a gently pulsing mandala responding to ambient sound picked up by the device microphone. This immediately communicates the app’s purpose: it is listening.</w:t>
      </w:r>
    </w:p>
    <w:p>
      <w:pPr>
        <w:spacing w:before="60" w:after="0"/>
      </w:pPr>
    </w:p>
    <w:p>
      <w:pPr>
        <w:spacing w:before="60" w:after="100" w:line="300"/>
      </w:pPr>
      <w:r>
        <w:rPr>
          <w:rFonts w:ascii="Calibri" w:cs="Calibri" w:eastAsia="Calibri" w:hAnsi="Calibri"/>
          <w:color w:val="1A1A2E"/>
          <w:sz w:val="21"/>
          <w:szCs w:val="21"/>
        </w:rPr>
        <w:t xml:space="preserve">A single centred prompt appears: “Let’s discover your space.” Tapping it begins the Room Discovery flow.</w:t>
      </w:r>
    </w:p>
    <w:p>
      <w:pPr>
        <w:spacing w:before="60" w:after="0"/>
      </w:pPr>
    </w:p>
    <w:p>
      <w:pPr>
        <w:spacing w:before="60" w:after="100" w:line="300"/>
      </w:pPr>
      <w:r>
        <w:rPr>
          <w:rFonts w:ascii="Calibri" w:cs="Calibri" w:eastAsia="Calibri" w:hAnsi="Calibri"/>
          <w:color w:val="1A1A2E"/>
          <w:sz w:val="21"/>
          <w:szCs w:val="21"/>
        </w:rPr>
        <w:t xml:space="preserve">Microphone permission is requested with a contextual explanation framed in practitioner language: “Resonara uses your microphone to listen to how sound behaves in your space. No audio is recorded or transmitted — all analysis happens on your device.”</w:t>
      </w:r>
    </w:p>
    <w:p>
      <w:pPr>
        <w:pStyle w:val="Heading2"/>
        <w:spacing w:before="300" w:after="160"/>
      </w:pPr>
      <w:r>
        <w:rPr>
          <w:rFonts w:ascii="Trebuchet MS" w:cs="Trebuchet MS" w:eastAsia="Trebuchet MS" w:hAnsi="Trebuchet MS"/>
          <w:b/>
          <w:bCs/>
          <w:color w:val="7B2FBE"/>
          <w:sz w:val="26"/>
          <w:szCs w:val="26"/>
        </w:rPr>
        <w:t xml:space="preserve">2.2 Room Discovery Flow</w:t>
      </w:r>
    </w:p>
    <w:p>
      <w:pPr>
        <w:spacing w:before="60" w:after="100" w:line="300"/>
      </w:pPr>
      <w:r>
        <w:rPr>
          <w:rFonts w:ascii="Calibri" w:cs="Calibri" w:eastAsia="Calibri" w:hAnsi="Calibri"/>
          <w:color w:val="1A1A2E"/>
          <w:sz w:val="21"/>
          <w:szCs w:val="21"/>
        </w:rPr>
        <w:t xml:space="preserve">The discovery process is a guided, meditative four-step ritual. Each step builds on the last, and the practitioner is given clear visual feedback throughout. Steps can be revisited or skipped.</w:t>
      </w:r>
    </w:p>
    <w:p>
      <w:pPr>
        <w:spacing w:before="240" w:after="120"/>
      </w:pPr>
      <w:r>
        <w:rPr>
          <w:rFonts w:ascii="Trebuchet MS" w:cs="Trebuchet MS" w:eastAsia="Trebuchet MS" w:hAnsi="Trebuchet MS"/>
          <w:b/>
          <w:bCs/>
          <w:color w:val="1A0A2E"/>
          <w:sz w:val="22"/>
          <w:szCs w:val="22"/>
        </w:rPr>
        <w:t xml:space="preserve">Step 1: Ambient Listen (automatic, 15 seconds)</w:t>
      </w:r>
    </w:p>
    <w:p>
      <w:pPr>
        <w:spacing w:before="60" w:after="100" w:line="300"/>
      </w:pPr>
      <w:r>
        <w:rPr>
          <w:rFonts w:ascii="Calibri" w:cs="Calibri" w:eastAsia="Calibri" w:hAnsi="Calibri"/>
          <w:color w:val="1A1A2E"/>
          <w:sz w:val="21"/>
          <w:szCs w:val="21"/>
        </w:rPr>
        <w:t xml:space="preserve">The app listens to the room’s baseline silence. No user action required beyond granting mic access. During this phase, the app identifies background noise sources: electrical hum (50/60Hz mains), HVAC systems, traffic rumble, and other environmental interference. The output is a Silence Quality Score (0–100) and a visual noise floor map.</w:t>
      </w:r>
    </w:p>
    <w:p>
      <w:pPr>
        <w:spacing w:before="240" w:after="120"/>
      </w:pPr>
      <w:r>
        <w:rPr>
          <w:rFonts w:ascii="Trebuchet MS" w:cs="Trebuchet MS" w:eastAsia="Trebuchet MS" w:hAnsi="Trebuchet MS"/>
          <w:b/>
          <w:bCs/>
          <w:color w:val="1A0A2E"/>
          <w:sz w:val="22"/>
          <w:szCs w:val="22"/>
        </w:rPr>
        <w:t xml:space="preserve">Step 2: The Clap Test (guided impulse response)</w:t>
      </w:r>
    </w:p>
    <w:p>
      <w:pPr>
        <w:spacing w:before="60" w:after="100" w:line="300"/>
      </w:pPr>
      <w:r>
        <w:rPr>
          <w:rFonts w:ascii="Calibri" w:cs="Calibri" w:eastAsia="Calibri" w:hAnsi="Calibri"/>
          <w:color w:val="1A1A2E"/>
          <w:sz w:val="21"/>
          <w:szCs w:val="21"/>
        </w:rPr>
        <w:t xml:space="preserve">The app prompts: “Stand in the centre of your space. When you’re ready, give a single firm clap.” A visual countdown and gentle haptic cue guide timing. The app captures the impulse response and derives three key metrics:</w:t>
      </w:r>
    </w:p>
    <w:p>
      <w:pPr>
        <w:pStyle w:val="ListParagraph"/>
        <w:numPr>
          <w:ilvl w:val="0"/>
          <w:numId w:val="2"/>
        </w:numPr>
        <w:spacing w:before="40" w:after="40" w:line="280"/>
      </w:pPr>
      <w:r>
        <w:rPr>
          <w:rFonts w:ascii="Calibri" w:cs="Calibri" w:eastAsia="Calibri" w:hAnsi="Calibri"/>
          <w:b/>
          <w:bCs/>
          <w:color w:val="1A0A2E"/>
          <w:sz w:val="21"/>
          <w:szCs w:val="21"/>
        </w:rPr>
        <w:t xml:space="preserve">Sound Holding — </w:t>
      </w:r>
      <w:r>
        <w:rPr>
          <w:rFonts w:ascii="Calibri" w:cs="Calibri" w:eastAsia="Calibri" w:hAnsi="Calibri"/>
          <w:color w:val="1A1A2E"/>
          <w:sz w:val="21"/>
          <w:szCs w:val="21"/>
        </w:rPr>
        <w:t xml:space="preserve">how long the room sustains a sound before silence returns (RT60 estimation presented as short / medium / long / cathedral)</w:t>
      </w:r>
    </w:p>
    <w:p>
      <w:pPr>
        <w:pStyle w:val="ListParagraph"/>
        <w:numPr>
          <w:ilvl w:val="0"/>
          <w:numId w:val="2"/>
        </w:numPr>
        <w:spacing w:before="40" w:after="40" w:line="280"/>
      </w:pPr>
      <w:r>
        <w:rPr>
          <w:rFonts w:ascii="Calibri" w:cs="Calibri" w:eastAsia="Calibri" w:hAnsi="Calibri"/>
          <w:b/>
          <w:bCs/>
          <w:color w:val="1A0A2E"/>
          <w:sz w:val="21"/>
          <w:szCs w:val="21"/>
        </w:rPr>
        <w:t xml:space="preserve">Clarity — </w:t>
      </w:r>
      <w:r>
        <w:rPr>
          <w:rFonts w:ascii="Calibri" w:cs="Calibri" w:eastAsia="Calibri" w:hAnsi="Calibri"/>
          <w:color w:val="1A1A2E"/>
          <w:sz w:val="21"/>
          <w:szCs w:val="21"/>
        </w:rPr>
        <w:t xml:space="preserve">whether overlapping sounds remain distinct or blur together (derived from early-to-late energy ratio)</w:t>
      </w:r>
    </w:p>
    <w:p>
      <w:pPr>
        <w:pStyle w:val="ListParagraph"/>
        <w:numPr>
          <w:ilvl w:val="0"/>
          <w:numId w:val="2"/>
        </w:numPr>
        <w:spacing w:before="40" w:after="40" w:line="280"/>
      </w:pPr>
      <w:r>
        <w:rPr>
          <w:rFonts w:ascii="Calibri" w:cs="Calibri" w:eastAsia="Calibri" w:hAnsi="Calibri"/>
          <w:b/>
          <w:bCs/>
          <w:color w:val="1A0A2E"/>
          <w:sz w:val="21"/>
          <w:szCs w:val="21"/>
        </w:rPr>
        <w:t xml:space="preserve">Warmth — </w:t>
      </w:r>
      <w:r>
        <w:rPr>
          <w:rFonts w:ascii="Calibri" w:cs="Calibri" w:eastAsia="Calibri" w:hAnsi="Calibri"/>
          <w:color w:val="1A1A2E"/>
          <w:sz w:val="21"/>
          <w:szCs w:val="21"/>
        </w:rPr>
        <w:t xml:space="preserve">the balance between low and high frequency absorption (bass ratio analysis)</w:t>
      </w:r>
    </w:p>
    <w:p>
      <w:pPr>
        <w:spacing w:before="240" w:after="120"/>
      </w:pPr>
      <w:r>
        <w:rPr>
          <w:rFonts w:ascii="Trebuchet MS" w:cs="Trebuchet MS" w:eastAsia="Trebuchet MS" w:hAnsi="Trebuchet MS"/>
          <w:b/>
          <w:bCs/>
          <w:color w:val="1A0A2E"/>
          <w:sz w:val="22"/>
          <w:szCs w:val="22"/>
        </w:rPr>
        <w:t xml:space="preserve">Step 3: Walk the Space (optional spatial mapping)</w:t>
      </w:r>
    </w:p>
    <w:p>
      <w:pPr>
        <w:spacing w:before="60" w:after="100" w:line="300"/>
      </w:pPr>
      <w:r>
        <w:rPr>
          <w:rFonts w:ascii="Calibri" w:cs="Calibri" w:eastAsia="Calibri" w:hAnsi="Calibri"/>
          <w:color w:val="1A1A2E"/>
          <w:sz w:val="21"/>
          <w:szCs w:val="21"/>
        </w:rPr>
        <w:t xml:space="preserve">The app plays a gentle tone sweep through the device speaker and asks the practitioner to walk slowly around the room. Using continuous FFT analysis of the reflected audio captured by the mic, it builds a spatial resonance map. Device motion sensors (accelerometer/gyroscope) provide approximate position tracking. The output is a 2D heatmap of the room showing resonance hotspots, dead zones, and standing wave interference patterns.</w:t>
      </w:r>
    </w:p>
    <w:p>
      <w:pPr>
        <w:spacing w:before="60" w:after="0"/>
      </w:pPr>
    </w:p>
    <w:p>
      <w:pPr>
        <w:spacing w:before="60" w:after="100" w:line="300"/>
      </w:pPr>
      <w:r>
        <w:rPr>
          <w:rFonts w:ascii="Calibri" w:cs="Calibri" w:eastAsia="Calibri" w:hAnsi="Calibri"/>
          <w:color w:val="1A1A2E"/>
          <w:sz w:val="21"/>
          <w:szCs w:val="21"/>
        </w:rPr>
        <w:t xml:space="preserve">This step is marked as optional but recommended. It can be repeated to refine accuracy. A simplified version works without motion sensors by using discrete position markers (“tap when you reach each corner”).</w:t>
      </w:r>
    </w:p>
    <w:p>
      <w:pPr>
        <w:spacing w:before="240" w:after="120"/>
      </w:pPr>
      <w:r>
        <w:rPr>
          <w:rFonts w:ascii="Trebuchet MS" w:cs="Trebuchet MS" w:eastAsia="Trebuchet MS" w:hAnsi="Trebuchet MS"/>
          <w:b/>
          <w:bCs/>
          <w:color w:val="1A0A2E"/>
          <w:sz w:val="22"/>
          <w:szCs w:val="22"/>
        </w:rPr>
        <w:t xml:space="preserve">Step 4: Instrument Profiling (the differentiator)</w:t>
      </w:r>
    </w:p>
    <w:p>
      <w:pPr>
        <w:spacing w:before="60" w:after="100" w:line="300"/>
      </w:pPr>
      <w:r>
        <w:rPr>
          <w:rFonts w:ascii="Calibri" w:cs="Calibri" w:eastAsia="Calibri" w:hAnsi="Calibri"/>
          <w:color w:val="1A1A2E"/>
          <w:sz w:val="21"/>
          <w:szCs w:val="21"/>
        </w:rPr>
        <w:t xml:space="preserve">This is Resonara’s killer feature and primary competitive moat. The practitioner selects instruments from a visual library (singing bowls, crystal bowls, gongs, tuning forks, monochord, didgeridoo, voice, frame drums, chimes, etc.) and plays each one briefly in the room.</w:t>
      </w:r>
    </w:p>
    <w:p>
      <w:pPr>
        <w:spacing w:before="60" w:after="0"/>
      </w:pPr>
    </w:p>
    <w:p>
      <w:pPr>
        <w:spacing w:before="60" w:after="100" w:line="300"/>
      </w:pPr>
      <w:r>
        <w:rPr>
          <w:rFonts w:ascii="Calibri" w:cs="Calibri" w:eastAsia="Calibri" w:hAnsi="Calibri"/>
          <w:color w:val="1A1A2E"/>
          <w:sz w:val="21"/>
          <w:szCs w:val="21"/>
        </w:rPr>
        <w:t xml:space="preserve">For each instrument, Resonara analyses:</w:t>
      </w:r>
    </w:p>
    <w:p>
      <w:pPr>
        <w:pStyle w:val="ListParagraph"/>
        <w:numPr>
          <w:ilvl w:val="0"/>
          <w:numId w:val="2"/>
        </w:numPr>
        <w:spacing w:before="40" w:after="40" w:line="280"/>
      </w:pPr>
      <w:r>
        <w:rPr>
          <w:rFonts w:ascii="Calibri" w:cs="Calibri" w:eastAsia="Calibri" w:hAnsi="Calibri"/>
          <w:b/>
          <w:bCs/>
          <w:color w:val="1A0A2E"/>
          <w:sz w:val="21"/>
          <w:szCs w:val="21"/>
        </w:rPr>
        <w:t xml:space="preserve">Fundamental frequency — </w:t>
      </w:r>
      <w:r>
        <w:rPr>
          <w:rFonts w:ascii="Calibri" w:cs="Calibri" w:eastAsia="Calibri" w:hAnsi="Calibri"/>
          <w:color w:val="1A1A2E"/>
          <w:sz w:val="21"/>
          <w:szCs w:val="21"/>
        </w:rPr>
        <w:t xml:space="preserve">the primary pitch of the instrument</w:t>
      </w:r>
    </w:p>
    <w:p>
      <w:pPr>
        <w:pStyle w:val="ListParagraph"/>
        <w:numPr>
          <w:ilvl w:val="0"/>
          <w:numId w:val="2"/>
        </w:numPr>
        <w:spacing w:before="40" w:after="40" w:line="280"/>
      </w:pPr>
      <w:r>
        <w:rPr>
          <w:rFonts w:ascii="Calibri" w:cs="Calibri" w:eastAsia="Calibri" w:hAnsi="Calibri"/>
          <w:b/>
          <w:bCs/>
          <w:color w:val="1A0A2E"/>
          <w:sz w:val="21"/>
          <w:szCs w:val="21"/>
        </w:rPr>
        <w:t xml:space="preserve">Overtone spectrum — </w:t>
      </w:r>
      <w:r>
        <w:rPr>
          <w:rFonts w:ascii="Calibri" w:cs="Calibri" w:eastAsia="Calibri" w:hAnsi="Calibri"/>
          <w:color w:val="1A1A2E"/>
          <w:sz w:val="21"/>
          <w:szCs w:val="21"/>
        </w:rPr>
        <w:t xml:space="preserve">the harmonic series and how the room shapes it</w:t>
      </w:r>
    </w:p>
    <w:p>
      <w:pPr>
        <w:pStyle w:val="ListParagraph"/>
        <w:numPr>
          <w:ilvl w:val="0"/>
          <w:numId w:val="2"/>
        </w:numPr>
        <w:spacing w:before="40" w:after="40" w:line="280"/>
      </w:pPr>
      <w:r>
        <w:rPr>
          <w:rFonts w:ascii="Calibri" w:cs="Calibri" w:eastAsia="Calibri" w:hAnsi="Calibri"/>
          <w:b/>
          <w:bCs/>
          <w:color w:val="1A0A2E"/>
          <w:sz w:val="21"/>
          <w:szCs w:val="21"/>
        </w:rPr>
        <w:t xml:space="preserve">Room interaction — </w:t>
      </w:r>
      <w:r>
        <w:rPr>
          <w:rFonts w:ascii="Calibri" w:cs="Calibri" w:eastAsia="Calibri" w:hAnsi="Calibri"/>
          <w:color w:val="1A1A2E"/>
          <w:sz w:val="21"/>
          <w:szCs w:val="21"/>
        </w:rPr>
        <w:t xml:space="preserve">which overtones are amplified, absorbed, or distorted by the space</w:t>
      </w:r>
    </w:p>
    <w:p>
      <w:pPr>
        <w:pStyle w:val="ListParagraph"/>
        <w:numPr>
          <w:ilvl w:val="0"/>
          <w:numId w:val="2"/>
        </w:numPr>
        <w:spacing w:before="40" w:after="40" w:line="280"/>
      </w:pPr>
      <w:r>
        <w:rPr>
          <w:rFonts w:ascii="Calibri" w:cs="Calibri" w:eastAsia="Calibri" w:hAnsi="Calibri"/>
          <w:b/>
          <w:bCs/>
          <w:color w:val="1A0A2E"/>
          <w:sz w:val="21"/>
          <w:szCs w:val="21"/>
        </w:rPr>
        <w:t xml:space="preserve">Compatibility score — </w:t>
      </w:r>
      <w:r>
        <w:rPr>
          <w:rFonts w:ascii="Calibri" w:cs="Calibri" w:eastAsia="Calibri" w:hAnsi="Calibri"/>
          <w:color w:val="1A1A2E"/>
          <w:sz w:val="21"/>
          <w:szCs w:val="21"/>
        </w:rPr>
        <w:t xml:space="preserve">a 0–100 rating of how well this instrument works in this room</w:t>
      </w:r>
    </w:p>
    <w:p>
      <w:pPr>
        <w:pStyle w:val="ListParagraph"/>
        <w:numPr>
          <w:ilvl w:val="0"/>
          <w:numId w:val="2"/>
        </w:numPr>
        <w:spacing w:before="40" w:after="40" w:line="280"/>
      </w:pPr>
      <w:r>
        <w:rPr>
          <w:rFonts w:ascii="Calibri" w:cs="Calibri" w:eastAsia="Calibri" w:hAnsi="Calibri"/>
          <w:b/>
          <w:bCs/>
          <w:color w:val="1A0A2E"/>
          <w:sz w:val="21"/>
          <w:szCs w:val="21"/>
        </w:rPr>
        <w:t xml:space="preserve">Positioning guidance — </w:t>
      </w:r>
      <w:r>
        <w:rPr>
          <w:rFonts w:ascii="Calibri" w:cs="Calibri" w:eastAsia="Calibri" w:hAnsi="Calibri"/>
          <w:color w:val="1A1A2E"/>
          <w:sz w:val="21"/>
          <w:szCs w:val="21"/>
        </w:rPr>
        <w:t xml:space="preserve">where in the room the instrument performs best (if Step 3 was completed)</w:t>
      </w:r>
    </w:p>
    <w:p>
      <w:pPr>
        <w:spacing w:before="60" w:after="0"/>
      </w:pPr>
    </w:p>
    <w:p>
      <w:pPr>
        <w:spacing w:before="60" w:after="100" w:line="300"/>
      </w:pPr>
      <w:r>
        <w:rPr>
          <w:rFonts w:ascii="Calibri" w:cs="Calibri" w:eastAsia="Calibri" w:hAnsi="Calibri"/>
          <w:color w:val="1A1A2E"/>
          <w:sz w:val="21"/>
          <w:szCs w:val="21"/>
        </w:rPr>
        <w:t xml:space="preserve">The analysis is presented in practitioner language. For example: “Your F# crystal bowl resonates beautifully here — the room amplifies its 3rd and 5th harmonics, creating a rich heart-centre frequency field. Your C bowl loses its lower overtones in this space — try positioning it near the north wall where low frequencies are naturally stronger.”</w:t>
      </w:r>
    </w:p>
    <w:p>
      <w:r>
        <w:br w:type="page"/>
      </w:r>
    </w:p>
    <w:p>
      <w:pPr>
        <w:pStyle w:val="Heading1"/>
        <w:spacing w:before="360" w:after="200"/>
      </w:pPr>
      <w:r>
        <w:rPr>
          <w:rFonts w:ascii="Trebuchet MS" w:cs="Trebuchet MS" w:eastAsia="Trebuchet MS" w:hAnsi="Trebuchet MS"/>
          <w:b/>
          <w:bCs/>
          <w:color w:val="1A0A2E"/>
          <w:sz w:val="32"/>
          <w:szCs w:val="32"/>
        </w:rPr>
        <w:t xml:space="preserve">3. Room Profile Dashboard</w:t>
      </w:r>
    </w:p>
    <w:p>
      <w:pPr>
        <w:spacing w:before="60" w:after="100" w:line="300"/>
      </w:pPr>
      <w:r>
        <w:rPr>
          <w:rFonts w:ascii="Calibri" w:cs="Calibri" w:eastAsia="Calibri" w:hAnsi="Calibri"/>
          <w:color w:val="1A1A2E"/>
          <w:sz w:val="21"/>
          <w:szCs w:val="21"/>
        </w:rPr>
        <w:t xml:space="preserve">After completing Room Discovery, the practitioner has a persistent Room Profile — a living document of their space that updates each time they re-analyse.</w:t>
      </w:r>
    </w:p>
    <w:p>
      <w:pPr>
        <w:pStyle w:val="Heading2"/>
        <w:spacing w:before="300" w:after="160"/>
      </w:pPr>
      <w:r>
        <w:rPr>
          <w:rFonts w:ascii="Trebuchet MS" w:cs="Trebuchet MS" w:eastAsia="Trebuchet MS" w:hAnsi="Trebuchet MS"/>
          <w:b/>
          <w:bCs/>
          <w:color w:val="7B2FBE"/>
          <w:sz w:val="26"/>
          <w:szCs w:val="26"/>
        </w:rPr>
        <w:t xml:space="preserve">3.1 The Room Mandala</w:t>
      </w:r>
    </w:p>
    <w:p>
      <w:pPr>
        <w:spacing w:before="60" w:after="100" w:line="300"/>
      </w:pPr>
      <w:r>
        <w:rPr>
          <w:rFonts w:ascii="Calibri" w:cs="Calibri" w:eastAsia="Calibri" w:hAnsi="Calibri"/>
          <w:color w:val="1A1A2E"/>
          <w:sz w:val="21"/>
          <w:szCs w:val="21"/>
        </w:rPr>
        <w:t xml:space="preserve">A circular data visualisation at the centre of the dashboard. Each concentric ring represents a frequency band, mapped to the seven primary energy centres (root through crown). The mandala’s shape reflects the room’s acoustic character — a perfectly balanced room would render as a perfect circle. Asymmetries reveal the room’s unique acoustic personality.</w:t>
      </w:r>
    </w:p>
    <w:p>
      <w:pPr>
        <w:spacing w:before="60" w:after="0"/>
      </w:pPr>
    </w:p>
    <w:p>
      <w:pPr>
        <w:spacing w:before="60" w:after="100" w:line="300"/>
      </w:pPr>
      <w:r>
        <w:rPr>
          <w:rFonts w:ascii="Calibri" w:cs="Calibri" w:eastAsia="Calibri" w:hAnsi="Calibri"/>
          <w:color w:val="1A1A2E"/>
          <w:sz w:val="21"/>
          <w:szCs w:val="21"/>
        </w:rPr>
        <w:t xml:space="preserve">The mandala is not purely decorative — it is an at-a-glance diagnostic. A practitioner who knows their mandala can immediately see if room conditions have changed. Colour intensity indicates amplitude; ring thickness indicates frequency bandwidth support.</w:t>
      </w:r>
    </w:p>
    <w:p>
      <w:pPr>
        <w:pStyle w:val="Heading2"/>
        <w:spacing w:before="300" w:after="160"/>
      </w:pPr>
      <w:r>
        <w:rPr>
          <w:rFonts w:ascii="Trebuchet MS" w:cs="Trebuchet MS" w:eastAsia="Trebuchet MS" w:hAnsi="Trebuchet MS"/>
          <w:b/>
          <w:bCs/>
          <w:color w:val="7B2FBE"/>
          <w:sz w:val="26"/>
          <w:szCs w:val="26"/>
        </w:rPr>
        <w:t xml:space="preserve">3.2 Frequency-to-Body Map</w:t>
      </w:r>
    </w:p>
    <w:p>
      <w:pPr>
        <w:spacing w:before="60" w:after="100" w:line="300"/>
      </w:pPr>
      <w:r>
        <w:rPr>
          <w:rFonts w:ascii="Calibri" w:cs="Calibri" w:eastAsia="Calibri" w:hAnsi="Calibri"/>
          <w:color w:val="1A1A2E"/>
          <w:sz w:val="21"/>
          <w:szCs w:val="21"/>
        </w:rPr>
        <w:t xml:space="preserve">A human body silhouette with a translucent overlay showing which frequency ranges the room naturally supports. Each body region corresponds to a frequency band and its associated energy centre. Strong room support is shown as a warm glow; weak support appears faded.</w:t>
      </w:r>
    </w:p>
    <w:p>
      <w:pPr>
        <w:spacing w:before="60" w:after="0"/>
      </w:pPr>
    </w:p>
    <w:p>
      <w:pPr>
        <w:spacing w:before="60" w:after="100" w:line="300"/>
      </w:pPr>
      <w:r>
        <w:rPr>
          <w:rFonts w:ascii="Calibri" w:cs="Calibri" w:eastAsia="Calibri" w:hAnsi="Calibri"/>
          <w:color w:val="1A1A2E"/>
          <w:sz w:val="21"/>
          <w:szCs w:val="21"/>
        </w:rPr>
        <w:t xml:space="preserve">Example output: “This space naturally supports heart and throat centre work (256–512 Hz range amplified). Root frequencies (64–128 Hz) are absorbed by the soft furnishings — consider adding a reflective surface near your bass instruments.”</w:t>
      </w:r>
    </w:p>
    <w:p>
      <w:pPr>
        <w:pStyle w:val="Heading2"/>
        <w:spacing w:before="300" w:after="160"/>
      </w:pPr>
      <w:r>
        <w:rPr>
          <w:rFonts w:ascii="Trebuchet MS" w:cs="Trebuchet MS" w:eastAsia="Trebuchet MS" w:hAnsi="Trebuchet MS"/>
          <w:b/>
          <w:bCs/>
          <w:color w:val="7B2FBE"/>
          <w:sz w:val="26"/>
          <w:szCs w:val="26"/>
        </w:rPr>
        <w:t xml:space="preserve">3.3 The Instrument Shelf</w:t>
      </w:r>
    </w:p>
    <w:p>
      <w:pPr>
        <w:spacing w:before="60" w:after="100" w:line="300"/>
      </w:pPr>
      <w:r>
        <w:rPr>
          <w:rFonts w:ascii="Calibri" w:cs="Calibri" w:eastAsia="Calibri" w:hAnsi="Calibri"/>
          <w:color w:val="1A1A2E"/>
          <w:sz w:val="21"/>
          <w:szCs w:val="21"/>
        </w:rPr>
        <w:t xml:space="preserve">A horizontal scrollable row of visual cards, one per profiled instrument. Each card shows the instrument name, an icon, the compatibility score, and a one-line summary. Tapping a card expands it to full analysis: overtone spectrum visualisation, room interaction details, and positioning recommendation.</w:t>
      </w:r>
    </w:p>
    <w:p>
      <w:pPr>
        <w:pStyle w:val="Heading2"/>
        <w:spacing w:before="300" w:after="160"/>
      </w:pPr>
      <w:r>
        <w:rPr>
          <w:rFonts w:ascii="Trebuchet MS" w:cs="Trebuchet MS" w:eastAsia="Trebuchet MS" w:hAnsi="Trebuchet MS"/>
          <w:b/>
          <w:bCs/>
          <w:color w:val="7B2FBE"/>
          <w:sz w:val="26"/>
          <w:szCs w:val="26"/>
        </w:rPr>
        <w:t xml:space="preserve">3.4 Live Session Conditions</w:t>
      </w:r>
    </w:p>
    <w:p>
      <w:pPr>
        <w:spacing w:before="60" w:after="100" w:line="300"/>
      </w:pPr>
      <w:r>
        <w:rPr>
          <w:rFonts w:ascii="Calibri" w:cs="Calibri" w:eastAsia="Calibri" w:hAnsi="Calibri"/>
          <w:color w:val="1A1A2E"/>
          <w:sz w:val="21"/>
          <w:szCs w:val="21"/>
        </w:rPr>
        <w:t xml:space="preserve">When the app is opened, it immediately begins ambient monitoring and compares current conditions to the room’s stored baseline. This surfaces as a contextual banner:</w:t>
      </w:r>
    </w:p>
    <w:p>
      <w:pPr>
        <w:pStyle w:val="ListParagraph"/>
        <w:numPr>
          <w:ilvl w:val="0"/>
          <w:numId w:val="2"/>
        </w:numPr>
        <w:spacing w:before="40" w:after="40" w:line="280"/>
      </w:pPr>
      <w:r>
        <w:rPr>
          <w:rFonts w:ascii="Calibri" w:cs="Calibri" w:eastAsia="Calibri" w:hAnsi="Calibri"/>
          <w:color w:val="1A1A2E"/>
          <w:sz w:val="21"/>
          <w:szCs w:val="21"/>
        </w:rPr>
        <w:t xml:space="preserve">“Conditions are excellent — background noise is below your baseline.”</w:t>
      </w:r>
    </w:p>
    <w:p>
      <w:pPr>
        <w:pStyle w:val="ListParagraph"/>
        <w:numPr>
          <w:ilvl w:val="0"/>
          <w:numId w:val="2"/>
        </w:numPr>
        <w:spacing w:before="40" w:after="40" w:line="280"/>
      </w:pPr>
      <w:r>
        <w:rPr>
          <w:rFonts w:ascii="Calibri" w:cs="Calibri" w:eastAsia="Calibri" w:hAnsi="Calibri"/>
          <w:color w:val="1A1A2E"/>
          <w:sz w:val="21"/>
          <w:szCs w:val="21"/>
        </w:rPr>
        <w:t xml:space="preserve">“Traffic noise is elevated today — your low-frequency instruments may need to work harder.”</w:t>
      </w:r>
    </w:p>
    <w:p>
      <w:pPr>
        <w:pStyle w:val="ListParagraph"/>
        <w:numPr>
          <w:ilvl w:val="0"/>
          <w:numId w:val="2"/>
        </w:numPr>
        <w:spacing w:before="40" w:after="40" w:line="280"/>
      </w:pPr>
      <w:r>
        <w:rPr>
          <w:rFonts w:ascii="Calibri" w:cs="Calibri" w:eastAsia="Calibri" w:hAnsi="Calibri"/>
          <w:color w:val="1A1A2E"/>
          <w:sz w:val="21"/>
          <w:szCs w:val="21"/>
        </w:rPr>
        <w:t xml:space="preserve">“Humidity has changed — your metal singing bowls may sound slightly brighter today.”</w:t>
      </w:r>
    </w:p>
    <w:p>
      <w:r>
        <w:br w:type="page"/>
      </w:r>
    </w:p>
    <w:p>
      <w:pPr>
        <w:pStyle w:val="Heading1"/>
        <w:spacing w:before="360" w:after="200"/>
      </w:pPr>
      <w:r>
        <w:rPr>
          <w:rFonts w:ascii="Trebuchet MS" w:cs="Trebuchet MS" w:eastAsia="Trebuchet MS" w:hAnsi="Trebuchet MS"/>
          <w:b/>
          <w:bCs/>
          <w:color w:val="1A0A2E"/>
          <w:sz w:val="32"/>
          <w:szCs w:val="32"/>
        </w:rPr>
        <w:t xml:space="preserve">4. Session Mode</w:t>
      </w:r>
    </w:p>
    <w:p>
      <w:pPr>
        <w:spacing w:before="60" w:after="100" w:line="300"/>
      </w:pPr>
      <w:r>
        <w:rPr>
          <w:rFonts w:ascii="Calibri" w:cs="Calibri" w:eastAsia="Calibri" w:hAnsi="Calibri"/>
          <w:color w:val="1A1A2E"/>
          <w:sz w:val="21"/>
          <w:szCs w:val="21"/>
        </w:rPr>
        <w:t xml:space="preserve">When the practitioner taps “Prepare Session,” Resonara shifts into a focused, minimal interface designed for pre-session and live-session use.</w:t>
      </w:r>
    </w:p>
    <w:p>
      <w:pPr>
        <w:pStyle w:val="Heading2"/>
        <w:spacing w:before="300" w:after="160"/>
      </w:pPr>
      <w:r>
        <w:rPr>
          <w:rFonts w:ascii="Trebuchet MS" w:cs="Trebuchet MS" w:eastAsia="Trebuchet MS" w:hAnsi="Trebuchet MS"/>
          <w:b/>
          <w:bCs/>
          <w:color w:val="7B2FBE"/>
          <w:sz w:val="26"/>
          <w:szCs w:val="26"/>
        </w:rPr>
        <w:t xml:space="preserve">4.1 Pre-Session Briefing</w:t>
      </w:r>
    </w:p>
    <w:p>
      <w:pPr>
        <w:pStyle w:val="ListParagraph"/>
        <w:numPr>
          <w:ilvl w:val="0"/>
          <w:numId w:val="2"/>
        </w:numPr>
        <w:spacing w:before="40" w:after="40" w:line="280"/>
      </w:pPr>
      <w:r>
        <w:rPr>
          <w:rFonts w:ascii="Calibri" w:cs="Calibri" w:eastAsia="Calibri" w:hAnsi="Calibri"/>
          <w:b/>
          <w:bCs/>
          <w:color w:val="1A0A2E"/>
          <w:sz w:val="21"/>
          <w:szCs w:val="21"/>
        </w:rPr>
        <w:t xml:space="preserve">Current conditions vs. baseline — </w:t>
      </w:r>
      <w:r>
        <w:rPr>
          <w:rFonts w:ascii="Calibri" w:cs="Calibri" w:eastAsia="Calibri" w:hAnsi="Calibri"/>
          <w:color w:val="1A1A2E"/>
          <w:sz w:val="21"/>
          <w:szCs w:val="21"/>
        </w:rPr>
        <w:t xml:space="preserve">a quick status check with any alerts</w:t>
      </w:r>
    </w:p>
    <w:p>
      <w:pPr>
        <w:pStyle w:val="ListParagraph"/>
        <w:numPr>
          <w:ilvl w:val="0"/>
          <w:numId w:val="2"/>
        </w:numPr>
        <w:spacing w:before="40" w:after="40" w:line="280"/>
      </w:pPr>
      <w:r>
        <w:rPr>
          <w:rFonts w:ascii="Calibri" w:cs="Calibri" w:eastAsia="Calibri" w:hAnsi="Calibri"/>
          <w:b/>
          <w:bCs/>
          <w:color w:val="1A0A2E"/>
          <w:sz w:val="21"/>
          <w:szCs w:val="21"/>
        </w:rPr>
        <w:t xml:space="preserve">Instrument arrangement suggestion — </w:t>
      </w:r>
      <w:r>
        <w:rPr>
          <w:rFonts w:ascii="Calibri" w:cs="Calibri" w:eastAsia="Calibri" w:hAnsi="Calibri"/>
          <w:color w:val="1A1A2E"/>
          <w:sz w:val="21"/>
          <w:szCs w:val="21"/>
        </w:rPr>
        <w:t xml:space="preserve">recommended physical layout based on room profile and selected instruments</w:t>
      </w:r>
    </w:p>
    <w:p>
      <w:pPr>
        <w:pStyle w:val="ListParagraph"/>
        <w:numPr>
          <w:ilvl w:val="0"/>
          <w:numId w:val="2"/>
        </w:numPr>
        <w:spacing w:before="40" w:after="40" w:line="280"/>
      </w:pPr>
      <w:r>
        <w:rPr>
          <w:rFonts w:ascii="Calibri" w:cs="Calibri" w:eastAsia="Calibri" w:hAnsi="Calibri"/>
          <w:b/>
          <w:bCs/>
          <w:color w:val="1A0A2E"/>
          <w:sz w:val="21"/>
          <w:szCs w:val="21"/>
        </w:rPr>
        <w:t xml:space="preserve">Intention-based tuning — </w:t>
      </w:r>
      <w:r>
        <w:rPr>
          <w:rFonts w:ascii="Calibri" w:cs="Calibri" w:eastAsia="Calibri" w:hAnsi="Calibri"/>
          <w:color w:val="1A1A2E"/>
          <w:sz w:val="21"/>
          <w:szCs w:val="21"/>
        </w:rPr>
        <w:t xml:space="preserve">the practitioner sets a session intention (grounding, release, energising, heart opening, integration) and receives instrument + positioning recommendations optimised for that intention</w:t>
      </w:r>
    </w:p>
    <w:p>
      <w:pPr>
        <w:pStyle w:val="Heading2"/>
        <w:spacing w:before="300" w:after="160"/>
      </w:pPr>
      <w:r>
        <w:rPr>
          <w:rFonts w:ascii="Trebuchet MS" w:cs="Trebuchet MS" w:eastAsia="Trebuchet MS" w:hAnsi="Trebuchet MS"/>
          <w:b/>
          <w:bCs/>
          <w:color w:val="7B2FBE"/>
          <w:sz w:val="26"/>
          <w:szCs w:val="26"/>
        </w:rPr>
        <w:t xml:space="preserve">4.2 Live Monitor</w:t>
      </w:r>
    </w:p>
    <w:p>
      <w:pPr>
        <w:spacing w:before="60" w:after="100" w:line="300"/>
      </w:pPr>
      <w:r>
        <w:rPr>
          <w:rFonts w:ascii="Calibri" w:cs="Calibri" w:eastAsia="Calibri" w:hAnsi="Calibri"/>
          <w:color w:val="1A1A2E"/>
          <w:sz w:val="21"/>
          <w:szCs w:val="21"/>
        </w:rPr>
        <w:t xml:space="preserve">During the session, a simplified real-time visualisation runs in the background. It shows:</w:t>
      </w:r>
    </w:p>
    <w:p>
      <w:pPr>
        <w:pStyle w:val="ListParagraph"/>
        <w:numPr>
          <w:ilvl w:val="0"/>
          <w:numId w:val="2"/>
        </w:numPr>
        <w:spacing w:before="40" w:after="40" w:line="280"/>
      </w:pPr>
      <w:r>
        <w:rPr>
          <w:rFonts w:ascii="Calibri" w:cs="Calibri" w:eastAsia="Calibri" w:hAnsi="Calibri"/>
          <w:b/>
          <w:bCs/>
          <w:color w:val="1A0A2E"/>
          <w:sz w:val="21"/>
          <w:szCs w:val="21"/>
        </w:rPr>
        <w:t xml:space="preserve">Frequency field — </w:t>
      </w:r>
      <w:r>
        <w:rPr>
          <w:rFonts w:ascii="Calibri" w:cs="Calibri" w:eastAsia="Calibri" w:hAnsi="Calibri"/>
          <w:color w:val="1A1A2E"/>
          <w:sz w:val="21"/>
          <w:szCs w:val="21"/>
        </w:rPr>
        <w:t xml:space="preserve">a live mandala or aurora-style display showing what’s happening acoustically in the room</w:t>
      </w:r>
    </w:p>
    <w:p>
      <w:pPr>
        <w:pStyle w:val="ListParagraph"/>
        <w:numPr>
          <w:ilvl w:val="0"/>
          <w:numId w:val="2"/>
        </w:numPr>
        <w:spacing w:before="40" w:after="40" w:line="280"/>
      </w:pPr>
      <w:r>
        <w:rPr>
          <w:rFonts w:ascii="Calibri" w:cs="Calibri" w:eastAsia="Calibri" w:hAnsi="Calibri"/>
          <w:b/>
          <w:bCs/>
          <w:color w:val="1A0A2E"/>
          <w:sz w:val="21"/>
          <w:szCs w:val="21"/>
        </w:rPr>
        <w:t xml:space="preserve">Energy centre coverage — </w:t>
      </w:r>
      <w:r>
        <w:rPr>
          <w:rFonts w:ascii="Calibri" w:cs="Calibri" w:eastAsia="Calibri" w:hAnsi="Calibri"/>
          <w:color w:val="1A1A2E"/>
          <w:sz w:val="21"/>
          <w:szCs w:val="21"/>
        </w:rPr>
        <w:t xml:space="preserve">a subtle body map showing which centres are being actively stimulated by the current sound</w:t>
      </w:r>
    </w:p>
    <w:p>
      <w:pPr>
        <w:pStyle w:val="ListParagraph"/>
        <w:numPr>
          <w:ilvl w:val="0"/>
          <w:numId w:val="2"/>
        </w:numPr>
        <w:spacing w:before="40" w:after="40" w:line="280"/>
      </w:pPr>
      <w:r>
        <w:rPr>
          <w:rFonts w:ascii="Calibri" w:cs="Calibri" w:eastAsia="Calibri" w:hAnsi="Calibri"/>
          <w:b/>
          <w:bCs/>
          <w:color w:val="1A0A2E"/>
          <w:sz w:val="21"/>
          <w:szCs w:val="21"/>
        </w:rPr>
        <w:t xml:space="preserve">Session timeline — </w:t>
      </w:r>
      <w:r>
        <w:rPr>
          <w:rFonts w:ascii="Calibri" w:cs="Calibri" w:eastAsia="Calibri" w:hAnsi="Calibri"/>
          <w:color w:val="1A1A2E"/>
          <w:sz w:val="21"/>
          <w:szCs w:val="21"/>
        </w:rPr>
        <w:t xml:space="preserve">a horizontal bar showing time elapsed with frequency intensity over time</w:t>
      </w:r>
    </w:p>
    <w:p>
      <w:pPr>
        <w:spacing w:before="60" w:after="0"/>
      </w:pPr>
    </w:p>
    <w:p>
      <w:pPr>
        <w:spacing w:before="60" w:after="100" w:line="300"/>
      </w:pPr>
      <w:r>
        <w:rPr>
          <w:rFonts w:ascii="Calibri" w:cs="Calibri" w:eastAsia="Calibri" w:hAnsi="Calibri"/>
          <w:color w:val="1A1A2E"/>
          <w:sz w:val="21"/>
          <w:szCs w:val="21"/>
        </w:rPr>
        <w:t xml:space="preserve">The live monitor is designed to be glanceable — large, high-contrast visuals that a practitioner can read from across the room. No text, no numbers in live mode. It can be displayed on a tablet propped up nearby.</w:t>
      </w:r>
    </w:p>
    <w:p>
      <w:pPr>
        <w:pStyle w:val="Heading2"/>
        <w:spacing w:before="300" w:after="160"/>
      </w:pPr>
      <w:r>
        <w:rPr>
          <w:rFonts w:ascii="Trebuchet MS" w:cs="Trebuchet MS" w:eastAsia="Trebuchet MS" w:hAnsi="Trebuchet MS"/>
          <w:b/>
          <w:bCs/>
          <w:color w:val="7B2FBE"/>
          <w:sz w:val="26"/>
          <w:szCs w:val="26"/>
        </w:rPr>
        <w:t xml:space="preserve">4.3 Post-Session Summary</w:t>
      </w:r>
    </w:p>
    <w:p>
      <w:pPr>
        <w:spacing w:before="60" w:after="100" w:line="300"/>
      </w:pPr>
      <w:r>
        <w:rPr>
          <w:rFonts w:ascii="Calibri" w:cs="Calibri" w:eastAsia="Calibri" w:hAnsi="Calibri"/>
          <w:color w:val="1A1A2E"/>
          <w:sz w:val="21"/>
          <w:szCs w:val="21"/>
        </w:rPr>
        <w:t xml:space="preserve">After ending a session, Resonara generates a session report: total duration, frequency coverage map, peak moments, energy centre engagement over time, and an overall session quality score. This data can be exported as PDF for client records or professional documentation.</w:t>
      </w:r>
    </w:p>
    <w:p>
      <w:r>
        <w:br w:type="page"/>
      </w:r>
    </w:p>
    <w:p>
      <w:pPr>
        <w:pStyle w:val="Heading1"/>
        <w:spacing w:before="360" w:after="200"/>
      </w:pPr>
      <w:r>
        <w:rPr>
          <w:rFonts w:ascii="Trebuchet MS" w:cs="Trebuchet MS" w:eastAsia="Trebuchet MS" w:hAnsi="Trebuchet MS"/>
          <w:b/>
          <w:bCs/>
          <w:color w:val="1A0A2E"/>
          <w:sz w:val="32"/>
          <w:szCs w:val="32"/>
        </w:rPr>
        <w:t xml:space="preserve">5. Technical Architecture</w:t>
      </w:r>
    </w:p>
    <w:p>
      <w:pPr>
        <w:pStyle w:val="Heading2"/>
        <w:spacing w:before="300" w:after="160"/>
      </w:pPr>
      <w:r>
        <w:rPr>
          <w:rFonts w:ascii="Trebuchet MS" w:cs="Trebuchet MS" w:eastAsia="Trebuchet MS" w:hAnsi="Trebuchet MS"/>
          <w:b/>
          <w:bCs/>
          <w:color w:val="7B2FBE"/>
          <w:sz w:val="26"/>
          <w:szCs w:val="26"/>
        </w:rPr>
        <w:t xml:space="preserve">5.1 Audio Processing Pipeline</w:t>
      </w:r>
    </w:p>
    <w:p>
      <w:pPr>
        <w:spacing w:before="60" w:after="100" w:line="300"/>
      </w:pPr>
      <w:r>
        <w:rPr>
          <w:rFonts w:ascii="Calibri" w:cs="Calibri" w:eastAsia="Calibri" w:hAnsi="Calibri"/>
          <w:color w:val="1A1A2E"/>
          <w:sz w:val="21"/>
          <w:szCs w:val="21"/>
        </w:rPr>
        <w:t xml:space="preserve">All audio processing happens client-side using the Web Audio API. No audio data is ever transmitted to a server. The processing chain is:</w:t>
      </w:r>
    </w:p>
    <w:p>
      <w:pPr>
        <w:spacing w:before="60" w:after="0"/>
      </w:pPr>
    </w:p>
    <w:p>
      <w:pPr>
        <w:spacing w:before="60" w:after="100" w:line="300"/>
      </w:pPr>
      <w:r>
        <w:rPr>
          <w:rFonts w:ascii="Calibri" w:cs="Calibri" w:eastAsia="Calibri" w:hAnsi="Calibri"/>
          <w:i/>
          <w:iCs/>
          <w:color w:val="7B2FBE"/>
          <w:sz w:val="21"/>
          <w:szCs w:val="21"/>
        </w:rPr>
        <w:t xml:space="preserve">MediaStream (mic) → AudioContext → AnalyserNode (FFT) → Custom Processors → UI State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Component</w:t>
            </w:r>
          </w:p>
        </w:tc>
        <w:tc>
          <w:tcPr>
            <w:tcW w:type="dxa" w:w="358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Web Audio API</w:t>
            </w:r>
          </w:p>
        </w:tc>
        <w:tc>
          <w:tcPr>
            <w:tcW w:type="dxa" w:w="358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FFT Analysis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AnalyserNode (fftSize: 8192)</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Frequency spectrum decomposition with high resolution</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Time Domain</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AnalyserNode.getFloatTimeDomainData()</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Impulse response capture for RT60 estimation</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Tone Generation</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OscillatorNode + GainNode</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Sweep tones for spatial mapping (Step 3)</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Filtering</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BiquadFilterNode</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Isolate frequency bands for energy centre mapping</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Metering</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Custom ScriptProcessor / AudioWorklet</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RMS level, peak detection, noise floor</w:t>
            </w:r>
          </w:p>
        </w:tc>
      </w:tr>
    </w:tbl>
    <w:p>
      <w:pPr>
        <w:pStyle w:val="Heading2"/>
        <w:spacing w:before="300" w:after="160"/>
      </w:pPr>
      <w:r>
        <w:rPr>
          <w:rFonts w:ascii="Trebuchet MS" w:cs="Trebuchet MS" w:eastAsia="Trebuchet MS" w:hAnsi="Trebuchet MS"/>
          <w:b/>
          <w:bCs/>
          <w:color w:val="7B2FBE"/>
          <w:sz w:val="26"/>
          <w:szCs w:val="26"/>
        </w:rPr>
        <w:t xml:space="preserve">5.2 Key Algorithms</w:t>
      </w:r>
    </w:p>
    <w:p>
      <w:pPr>
        <w:spacing w:before="240" w:after="120"/>
      </w:pPr>
      <w:r>
        <w:rPr>
          <w:rFonts w:ascii="Trebuchet MS" w:cs="Trebuchet MS" w:eastAsia="Trebuchet MS" w:hAnsi="Trebuchet MS"/>
          <w:b/>
          <w:bCs/>
          <w:color w:val="1A0A2E"/>
          <w:sz w:val="22"/>
          <w:szCs w:val="22"/>
        </w:rPr>
        <w:t xml:space="preserve">RT60 Estimation (Sound Holding)</w:t>
      </w:r>
    </w:p>
    <w:p>
      <w:pPr>
        <w:spacing w:before="60" w:after="100" w:line="300"/>
      </w:pPr>
      <w:r>
        <w:rPr>
          <w:rFonts w:ascii="Calibri" w:cs="Calibri" w:eastAsia="Calibri" w:hAnsi="Calibri"/>
          <w:color w:val="1A1A2E"/>
          <w:sz w:val="21"/>
          <w:szCs w:val="21"/>
        </w:rPr>
        <w:t xml:space="preserve">After the clap impulse, capture the decay envelope by computing the RMS level in sliding windows (e.g. 10ms frames). Find the time for the signal to decay by 60dB from peak. Use the Schroeder backward integration method for more accurate results. Present the result on a qualitative scale: Short (&lt;0.3s), Medium (0.3–0.8s), Long (0.8–1.5s), Cathedral (&gt;1.5s).</w:t>
      </w:r>
    </w:p>
    <w:p>
      <w:pPr>
        <w:spacing w:before="240" w:after="120"/>
      </w:pPr>
      <w:r>
        <w:rPr>
          <w:rFonts w:ascii="Trebuchet MS" w:cs="Trebuchet MS" w:eastAsia="Trebuchet MS" w:hAnsi="Trebuchet MS"/>
          <w:b/>
          <w:bCs/>
          <w:color w:val="1A0A2E"/>
          <w:sz w:val="22"/>
          <w:szCs w:val="22"/>
        </w:rPr>
        <w:t xml:space="preserve">Frequency Spectrum Analysis</w:t>
      </w:r>
    </w:p>
    <w:p>
      <w:pPr>
        <w:spacing w:before="60" w:after="100" w:line="300"/>
      </w:pPr>
      <w:r>
        <w:rPr>
          <w:rFonts w:ascii="Calibri" w:cs="Calibri" w:eastAsia="Calibri" w:hAnsi="Calibri"/>
          <w:color w:val="1A1A2E"/>
          <w:sz w:val="21"/>
          <w:szCs w:val="21"/>
        </w:rPr>
        <w:t xml:space="preserve">Use a 8192-point FFT (giving ~5.4Hz resolution at 44.1kHz sample rate). Apply a Hanning window to reduce spectral leakage. Map FFT bins to energy centre frequency bands: Root (32–128 Hz), Sacral (128–256 Hz), Solar Plexus (256–384 Hz), Heart (384–512 Hz), Throat (512–768 Hz), Third Eye (768–1024 Hz), Crown (1024– Hz+). Compute average energy per band over the analysis window.</w:t>
      </w:r>
    </w:p>
    <w:p>
      <w:pPr>
        <w:spacing w:before="240" w:after="120"/>
      </w:pPr>
      <w:r>
        <w:rPr>
          <w:rFonts w:ascii="Trebuchet MS" w:cs="Trebuchet MS" w:eastAsia="Trebuchet MS" w:hAnsi="Trebuchet MS"/>
          <w:b/>
          <w:bCs/>
          <w:color w:val="1A0A2E"/>
          <w:sz w:val="22"/>
          <w:szCs w:val="22"/>
        </w:rPr>
        <w:t xml:space="preserve">Overtone Detection (Instrument Profiling)</w:t>
      </w:r>
    </w:p>
    <w:p>
      <w:pPr>
        <w:spacing w:before="60" w:after="100" w:line="300"/>
      </w:pPr>
      <w:r>
        <w:rPr>
          <w:rFonts w:ascii="Calibri" w:cs="Calibri" w:eastAsia="Calibri" w:hAnsi="Calibri"/>
          <w:color w:val="1A1A2E"/>
          <w:sz w:val="21"/>
          <w:szCs w:val="21"/>
        </w:rPr>
        <w:t xml:space="preserve">When an instrument is played, identify the fundamental frequency using autocorrelation or harmonic product spectrum. Then identify overtone peaks in the FFT data (integer multiples of the fundamental). Compare the overtone amplitudes in this room against a theoretical “free-field” ideal to determine which harmonics the room enhances or suppresses.</w:t>
      </w:r>
    </w:p>
    <w:p>
      <w:pPr>
        <w:spacing w:before="240" w:after="120"/>
      </w:pPr>
      <w:r>
        <w:rPr>
          <w:rFonts w:ascii="Trebuchet MS" w:cs="Trebuchet MS" w:eastAsia="Trebuchet MS" w:hAnsi="Trebuchet MS"/>
          <w:b/>
          <w:bCs/>
          <w:color w:val="1A0A2E"/>
          <w:sz w:val="22"/>
          <w:szCs w:val="22"/>
        </w:rPr>
        <w:t xml:space="preserve">Spatial Mapping</w:t>
      </w:r>
    </w:p>
    <w:p>
      <w:pPr>
        <w:spacing w:before="60" w:after="100" w:line="300"/>
      </w:pPr>
      <w:r>
        <w:rPr>
          <w:rFonts w:ascii="Calibri" w:cs="Calibri" w:eastAsia="Calibri" w:hAnsi="Calibri"/>
          <w:color w:val="1A1A2E"/>
          <w:sz w:val="21"/>
          <w:szCs w:val="21"/>
        </w:rPr>
        <w:t xml:space="preserve">During the Walk the Space step, the app plays a logarithmic sine sweep (20Hz–2kHz over 3 seconds, repeated). At each position, it captures the frequency response by comparing the emitted sweep with the received signal. Device motion sensors (DeviceMotionEvent API) provide relative position changes. The result is a 2D scatter plot of frequency response measurements, interpolated into a heatmap grid using inverse distance weighting.</w:t>
      </w:r>
    </w:p>
    <w:p>
      <w:pPr>
        <w:pStyle w:val="Heading2"/>
        <w:spacing w:before="300" w:after="160"/>
      </w:pPr>
      <w:r>
        <w:rPr>
          <w:rFonts w:ascii="Trebuchet MS" w:cs="Trebuchet MS" w:eastAsia="Trebuchet MS" w:hAnsi="Trebuchet MS"/>
          <w:b/>
          <w:bCs/>
          <w:color w:val="7B2FBE"/>
          <w:sz w:val="26"/>
          <w:szCs w:val="26"/>
        </w:rPr>
        <w:t xml:space="preserve">5.3 Data Model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Entity</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Key Fields</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Storage</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Room</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id, name, createdAt, updatedAt, silenceScore, rt60, clarity, warmth, frequencyProfile, mandalaData</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IndexedDB</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Core entity, one per physical space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SpatialMap</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roomId, heatmapGrid[][], resolution, bounds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IndexedDB</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Optional, from Walk step</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Instrument</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id, name, type, icon, fundamentalHz</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Static + IndexedDB</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Library + user custom</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InstrumentProfile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roomId, instrumentId, compatibilityScore, overtoneData[], positionRec</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IndexedDB</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Junction between Room and Instrument</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Session</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id, roomId, intention, startTime, endTime, frequencyTimeline[], energyCentreData[]</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IndexedDB</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Session Mode recordings</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UserPreferences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theme, units, defaultRoom, notificationPrefs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IndexedDB</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App-level settings</w:t>
            </w:r>
          </w:p>
        </w:tc>
      </w:tr>
    </w:tbl>
    <w:p>
      <w:pPr>
        <w:pStyle w:val="Heading2"/>
        <w:spacing w:before="300" w:after="160"/>
      </w:pPr>
      <w:r>
        <w:rPr>
          <w:rFonts w:ascii="Trebuchet MS" w:cs="Trebuchet MS" w:eastAsia="Trebuchet MS" w:hAnsi="Trebuchet MS"/>
          <w:b/>
          <w:bCs/>
          <w:color w:val="7B2FBE"/>
          <w:sz w:val="26"/>
          <w:szCs w:val="26"/>
        </w:rPr>
        <w:t xml:space="preserve">5.4 Project Structure</w:t>
      </w:r>
    </w:p>
    <w:p>
      <w:pPr>
        <w:spacing w:before="60" w:after="0"/>
      </w:pPr>
    </w:p>
    <w:p>
      <w:pPr>
        <w:spacing w:before="60" w:after="100" w:line="300"/>
      </w:pPr>
      <w:r>
        <w:rPr>
          <w:rFonts w:ascii="Calibri" w:cs="Calibri" w:eastAsia="Calibri" w:hAnsi="Calibri"/>
          <w:color w:val="1A1A2E"/>
          <w:sz w:val="21"/>
          <w:szCs w:val="21"/>
        </w:rPr>
        <w:t xml:space="preserve">resonara.app/</w:t>
      </w:r>
    </w:p>
    <w:p>
      <w:pPr>
        <w:pStyle w:val="ListParagraph"/>
        <w:numPr>
          <w:ilvl w:val="0"/>
          <w:numId w:val="2"/>
        </w:numPr>
        <w:spacing w:before="40" w:after="40" w:line="280"/>
      </w:pPr>
      <w:r>
        <w:rPr>
          <w:rFonts w:ascii="Calibri" w:cs="Calibri" w:eastAsia="Calibri" w:hAnsi="Calibri"/>
          <w:color w:val="1A1A2E"/>
          <w:sz w:val="21"/>
          <w:szCs w:val="21"/>
        </w:rPr>
        <w:t xml:space="preserve">app/ — Next.js App Router pages and layouts</w:t>
      </w:r>
    </w:p>
    <w:p>
      <w:pPr>
        <w:pStyle w:val="ListParagraph"/>
        <w:numPr>
          <w:ilvl w:val="0"/>
          <w:numId w:val="2"/>
        </w:numPr>
        <w:spacing w:before="40" w:after="40" w:line="280"/>
      </w:pPr>
      <w:r>
        <w:rPr>
          <w:rFonts w:ascii="Calibri" w:cs="Calibri" w:eastAsia="Calibri" w:hAnsi="Calibri"/>
          <w:color w:val="1A1A2E"/>
          <w:sz w:val="21"/>
          <w:szCs w:val="21"/>
        </w:rPr>
        <w:t xml:space="preserve">  (route groups): /(discover), /(dashboard), /(session), /(settings)</w:t>
      </w:r>
    </w:p>
    <w:p>
      <w:pPr>
        <w:pStyle w:val="ListParagraph"/>
        <w:numPr>
          <w:ilvl w:val="0"/>
          <w:numId w:val="2"/>
        </w:numPr>
        <w:spacing w:before="40" w:after="40" w:line="280"/>
      </w:pPr>
      <w:r>
        <w:rPr>
          <w:rFonts w:ascii="Calibri" w:cs="Calibri" w:eastAsia="Calibri" w:hAnsi="Calibri"/>
          <w:color w:val="1A1A2E"/>
          <w:sz w:val="21"/>
          <w:szCs w:val="21"/>
        </w:rPr>
        <w:t xml:space="preserve">components/ — React components organised by feature</w:t>
      </w:r>
    </w:p>
    <w:p>
      <w:pPr>
        <w:pStyle w:val="ListParagraph"/>
        <w:numPr>
          <w:ilvl w:val="0"/>
          <w:numId w:val="2"/>
        </w:numPr>
        <w:spacing w:before="40" w:after="40" w:line="280"/>
      </w:pPr>
      <w:r>
        <w:rPr>
          <w:rFonts w:ascii="Calibri" w:cs="Calibri" w:eastAsia="Calibri" w:hAnsi="Calibri"/>
          <w:color w:val="1A1A2E"/>
          <w:sz w:val="21"/>
          <w:szCs w:val="21"/>
        </w:rPr>
        <w:t xml:space="preserve">  ui/ — shared primitives (buttons, cards, modals)</w:t>
      </w:r>
    </w:p>
    <w:p>
      <w:pPr>
        <w:pStyle w:val="ListParagraph"/>
        <w:numPr>
          <w:ilvl w:val="0"/>
          <w:numId w:val="2"/>
        </w:numPr>
        <w:spacing w:before="40" w:after="40" w:line="280"/>
      </w:pPr>
      <w:r>
        <w:rPr>
          <w:rFonts w:ascii="Calibri" w:cs="Calibri" w:eastAsia="Calibri" w:hAnsi="Calibri"/>
          <w:color w:val="1A1A2E"/>
          <w:sz w:val="21"/>
          <w:szCs w:val="21"/>
        </w:rPr>
        <w:t xml:space="preserve">  visualisations/ — Mandala, BodyMap, Heatmap, FrequencySpectrum, LiveMonitor</w:t>
      </w:r>
    </w:p>
    <w:p>
      <w:pPr>
        <w:pStyle w:val="ListParagraph"/>
        <w:numPr>
          <w:ilvl w:val="0"/>
          <w:numId w:val="2"/>
        </w:numPr>
        <w:spacing w:before="40" w:after="40" w:line="280"/>
      </w:pPr>
      <w:r>
        <w:rPr>
          <w:rFonts w:ascii="Calibri" w:cs="Calibri" w:eastAsia="Calibri" w:hAnsi="Calibri"/>
          <w:color w:val="1A1A2E"/>
          <w:sz w:val="21"/>
          <w:szCs w:val="21"/>
        </w:rPr>
        <w:t xml:space="preserve">  discovery/ — AmbientListener, ClapTest, SpatialWalk, InstrumentProfiler</w:t>
      </w:r>
    </w:p>
    <w:p>
      <w:pPr>
        <w:pStyle w:val="ListParagraph"/>
        <w:numPr>
          <w:ilvl w:val="0"/>
          <w:numId w:val="2"/>
        </w:numPr>
        <w:spacing w:before="40" w:after="40" w:line="280"/>
      </w:pPr>
      <w:r>
        <w:rPr>
          <w:rFonts w:ascii="Calibri" w:cs="Calibri" w:eastAsia="Calibri" w:hAnsi="Calibri"/>
          <w:color w:val="1A1A2E"/>
          <w:sz w:val="21"/>
          <w:szCs w:val="21"/>
        </w:rPr>
        <w:t xml:space="preserve">  dashboard/ — RoomProfile, InstrumentShelf, ConditionsBanner</w:t>
      </w:r>
    </w:p>
    <w:p>
      <w:pPr>
        <w:pStyle w:val="ListParagraph"/>
        <w:numPr>
          <w:ilvl w:val="0"/>
          <w:numId w:val="2"/>
        </w:numPr>
        <w:spacing w:before="40" w:after="40" w:line="280"/>
      </w:pPr>
      <w:r>
        <w:rPr>
          <w:rFonts w:ascii="Calibri" w:cs="Calibri" w:eastAsia="Calibri" w:hAnsi="Calibri"/>
          <w:color w:val="1A1A2E"/>
          <w:sz w:val="21"/>
          <w:szCs w:val="21"/>
        </w:rPr>
        <w:t xml:space="preserve">  session/ — SessionPrep, LiveView, PostSummary</w:t>
      </w:r>
    </w:p>
    <w:p>
      <w:pPr>
        <w:pStyle w:val="ListParagraph"/>
        <w:numPr>
          <w:ilvl w:val="0"/>
          <w:numId w:val="2"/>
        </w:numPr>
        <w:spacing w:before="40" w:after="40" w:line="280"/>
      </w:pPr>
      <w:r>
        <w:rPr>
          <w:rFonts w:ascii="Calibri" w:cs="Calibri" w:eastAsia="Calibri" w:hAnsi="Calibri"/>
          <w:color w:val="1A1A2E"/>
          <w:sz w:val="21"/>
          <w:szCs w:val="21"/>
        </w:rPr>
        <w:t xml:space="preserve">lib/ — core logic (no React dependency)</w:t>
      </w:r>
    </w:p>
    <w:p>
      <w:pPr>
        <w:pStyle w:val="ListParagraph"/>
        <w:numPr>
          <w:ilvl w:val="0"/>
          <w:numId w:val="2"/>
        </w:numPr>
        <w:spacing w:before="40" w:after="40" w:line="280"/>
      </w:pPr>
      <w:r>
        <w:rPr>
          <w:rFonts w:ascii="Calibri" w:cs="Calibri" w:eastAsia="Calibri" w:hAnsi="Calibri"/>
          <w:color w:val="1A1A2E"/>
          <w:sz w:val="21"/>
          <w:szCs w:val="21"/>
        </w:rPr>
        <w:t xml:space="preserve">  audio/ — audioContext.ts, fftAnalyser.ts, rt60.ts, overtoneDetector.ts, sweepGenerator.ts</w:t>
      </w:r>
    </w:p>
    <w:p>
      <w:pPr>
        <w:pStyle w:val="ListParagraph"/>
        <w:numPr>
          <w:ilvl w:val="0"/>
          <w:numId w:val="2"/>
        </w:numPr>
        <w:spacing w:before="40" w:after="40" w:line="280"/>
      </w:pPr>
      <w:r>
        <w:rPr>
          <w:rFonts w:ascii="Calibri" w:cs="Calibri" w:eastAsia="Calibri" w:hAnsi="Calibri"/>
          <w:color w:val="1A1A2E"/>
          <w:sz w:val="21"/>
          <w:szCs w:val="21"/>
        </w:rPr>
        <w:t xml:space="preserve">  analysis/ — frequencyMapping.ts, spatialMapper.ts, compatibilityScorer.ts</w:t>
      </w:r>
    </w:p>
    <w:p>
      <w:pPr>
        <w:pStyle w:val="ListParagraph"/>
        <w:numPr>
          <w:ilvl w:val="0"/>
          <w:numId w:val="2"/>
        </w:numPr>
        <w:spacing w:before="40" w:after="40" w:line="280"/>
      </w:pPr>
      <w:r>
        <w:rPr>
          <w:rFonts w:ascii="Calibri" w:cs="Calibri" w:eastAsia="Calibri" w:hAnsi="Calibri"/>
          <w:color w:val="1A1A2E"/>
          <w:sz w:val="21"/>
          <w:szCs w:val="21"/>
        </w:rPr>
        <w:t xml:space="preserve">  data/ — db.ts (IndexedDB via idb), instruments.ts (static library), export.ts</w:t>
      </w:r>
    </w:p>
    <w:p>
      <w:pPr>
        <w:pStyle w:val="ListParagraph"/>
        <w:numPr>
          <w:ilvl w:val="0"/>
          <w:numId w:val="2"/>
        </w:numPr>
        <w:spacing w:before="40" w:after="40" w:line="280"/>
      </w:pPr>
      <w:r>
        <w:rPr>
          <w:rFonts w:ascii="Calibri" w:cs="Calibri" w:eastAsia="Calibri" w:hAnsi="Calibri"/>
          <w:color w:val="1A1A2E"/>
          <w:sz w:val="21"/>
          <w:szCs w:val="21"/>
        </w:rPr>
        <w:t xml:space="preserve">hooks/ — useAudioStream, useFFT, useDeviceMotion, useRoom, useSession</w:t>
      </w:r>
    </w:p>
    <w:p>
      <w:pPr>
        <w:pStyle w:val="ListParagraph"/>
        <w:numPr>
          <w:ilvl w:val="0"/>
          <w:numId w:val="2"/>
        </w:numPr>
        <w:spacing w:before="40" w:after="40" w:line="280"/>
      </w:pPr>
      <w:r>
        <w:rPr>
          <w:rFonts w:ascii="Calibri" w:cs="Calibri" w:eastAsia="Calibri" w:hAnsi="Calibri"/>
          <w:color w:val="1A1A2E"/>
          <w:sz w:val="21"/>
          <w:szCs w:val="21"/>
        </w:rPr>
        <w:t xml:space="preserve">public/ — icons, instrument images, PWA manifest</w:t>
      </w:r>
    </w:p>
    <w:p>
      <w:pPr>
        <w:pStyle w:val="ListParagraph"/>
        <w:numPr>
          <w:ilvl w:val="0"/>
          <w:numId w:val="2"/>
        </w:numPr>
        <w:spacing w:before="40" w:after="40" w:line="280"/>
      </w:pPr>
      <w:r>
        <w:rPr>
          <w:rFonts w:ascii="Calibri" w:cs="Calibri" w:eastAsia="Calibri" w:hAnsi="Calibri"/>
          <w:color w:val="1A1A2E"/>
          <w:sz w:val="21"/>
          <w:szCs w:val="21"/>
        </w:rPr>
        <w:t xml:space="preserve">styles/ — Tailwind config with custom Resonara theme tokens</w:t>
      </w:r>
    </w:p>
    <w:p>
      <w:r>
        <w:br w:type="page"/>
      </w:r>
    </w:p>
    <w:p>
      <w:pPr>
        <w:pStyle w:val="Heading1"/>
        <w:spacing w:before="360" w:after="200"/>
      </w:pPr>
      <w:r>
        <w:rPr>
          <w:rFonts w:ascii="Trebuchet MS" w:cs="Trebuchet MS" w:eastAsia="Trebuchet MS" w:hAnsi="Trebuchet MS"/>
          <w:b/>
          <w:bCs/>
          <w:color w:val="1A0A2E"/>
          <w:sz w:val="32"/>
          <w:szCs w:val="32"/>
        </w:rPr>
        <w:t xml:space="preserve">6. Visualisation Specifications</w:t>
      </w:r>
    </w:p>
    <w:p>
      <w:pPr>
        <w:pStyle w:val="Heading2"/>
        <w:spacing w:before="300" w:after="160"/>
      </w:pPr>
      <w:r>
        <w:rPr>
          <w:rFonts w:ascii="Trebuchet MS" w:cs="Trebuchet MS" w:eastAsia="Trebuchet MS" w:hAnsi="Trebuchet MS"/>
          <w:b/>
          <w:bCs/>
          <w:color w:val="7B2FBE"/>
          <w:sz w:val="26"/>
          <w:szCs w:val="26"/>
        </w:rPr>
        <w:t xml:space="preserve">6.1 Room Mandala</w:t>
      </w:r>
    </w:p>
    <w:p>
      <w:pPr>
        <w:spacing w:before="60" w:after="100" w:line="300"/>
      </w:pPr>
      <w:r>
        <w:rPr>
          <w:rFonts w:ascii="Calibri" w:cs="Calibri" w:eastAsia="Calibri" w:hAnsi="Calibri"/>
          <w:color w:val="1A1A2E"/>
          <w:sz w:val="21"/>
          <w:szCs w:val="21"/>
        </w:rPr>
        <w:t xml:space="preserve">Rendered using Canvas 2D or WebGL for performance. Seven concentric rings, one per energy centre, radiating from centre outward (Crown innermost, Root outermost). Each ring’s radius at a given angle is proportional to the room’s frequency response amplitude in that band. 360 data points around each ring for smooth curves. Colour palette: each ring uses the traditional chakra colour at reduced saturation to maintain the cosmic aesthetic (deep reds to violets with gold highlights). Subtle particle effects and slow rotation animation give it a living, breathing quality.</w:t>
      </w:r>
    </w:p>
    <w:p>
      <w:pPr>
        <w:pStyle w:val="Heading2"/>
        <w:spacing w:before="300" w:after="160"/>
      </w:pPr>
      <w:r>
        <w:rPr>
          <w:rFonts w:ascii="Trebuchet MS" w:cs="Trebuchet MS" w:eastAsia="Trebuchet MS" w:hAnsi="Trebuchet MS"/>
          <w:b/>
          <w:bCs/>
          <w:color w:val="7B2FBE"/>
          <w:sz w:val="26"/>
          <w:szCs w:val="26"/>
        </w:rPr>
        <w:t xml:space="preserve">6.2 Frequency-to-Body Map</w:t>
      </w:r>
    </w:p>
    <w:p>
      <w:pPr>
        <w:spacing w:before="60" w:after="100" w:line="300"/>
      </w:pPr>
      <w:r>
        <w:rPr>
          <w:rFonts w:ascii="Calibri" w:cs="Calibri" w:eastAsia="Calibri" w:hAnsi="Calibri"/>
          <w:color w:val="1A1A2E"/>
          <w:sz w:val="21"/>
          <w:szCs w:val="21"/>
        </w:rPr>
        <w:t xml:space="preserve">SVG-based human silhouette (gender-neutral, abstract). Seven overlay zones corresponding to energy centres. Each zone’s opacity and colour intensity is driven by the room’s frequency response in that band. A gentle pulsing animation on strongly supported zones. Text labels appear on tap/hover with the specific frequency range and room response data.</w:t>
      </w:r>
    </w:p>
    <w:p>
      <w:pPr>
        <w:pStyle w:val="Heading2"/>
        <w:spacing w:before="300" w:after="160"/>
      </w:pPr>
      <w:r>
        <w:rPr>
          <w:rFonts w:ascii="Trebuchet MS" w:cs="Trebuchet MS" w:eastAsia="Trebuchet MS" w:hAnsi="Trebuchet MS"/>
          <w:b/>
          <w:bCs/>
          <w:color w:val="7B2FBE"/>
          <w:sz w:val="26"/>
          <w:szCs w:val="26"/>
        </w:rPr>
        <w:t xml:space="preserve">6.3 Spatial Heatmap</w:t>
      </w:r>
    </w:p>
    <w:p>
      <w:pPr>
        <w:spacing w:before="60" w:after="100" w:line="300"/>
      </w:pPr>
      <w:r>
        <w:rPr>
          <w:rFonts w:ascii="Calibri" w:cs="Calibri" w:eastAsia="Calibri" w:hAnsi="Calibri"/>
          <w:color w:val="1A1A2E"/>
          <w:sz w:val="21"/>
          <w:szCs w:val="21"/>
        </w:rPr>
        <w:t xml:space="preserve">Canvas-rendered 2D heatmap using a warm-to-cool colour gradient (gold for strong resonance, deep purple for dead zones). Room boundary estimated from the walk path. Instrument icons can be dragged onto the heatmap to see position-specific compatibility. Grid overlay option for practitioners who want precise placement guidance.</w:t>
      </w:r>
    </w:p>
    <w:p>
      <w:pPr>
        <w:pStyle w:val="Heading2"/>
        <w:spacing w:before="300" w:after="160"/>
      </w:pPr>
      <w:r>
        <w:rPr>
          <w:rFonts w:ascii="Trebuchet MS" w:cs="Trebuchet MS" w:eastAsia="Trebuchet MS" w:hAnsi="Trebuchet MS"/>
          <w:b/>
          <w:bCs/>
          <w:color w:val="7B2FBE"/>
          <w:sz w:val="26"/>
          <w:szCs w:val="26"/>
        </w:rPr>
        <w:t xml:space="preserve">6.4 Live Session Aurora</w:t>
      </w:r>
    </w:p>
    <w:p>
      <w:pPr>
        <w:spacing w:before="60" w:after="100" w:line="300"/>
      </w:pPr>
      <w:r>
        <w:rPr>
          <w:rFonts w:ascii="Calibri" w:cs="Calibri" w:eastAsia="Calibri" w:hAnsi="Calibri"/>
          <w:color w:val="1A1A2E"/>
          <w:sz w:val="21"/>
          <w:szCs w:val="21"/>
        </w:rPr>
        <w:t xml:space="preserve">The live monitor uses a full-screen aurora/northern lights style visualisation. Frequency bands map to colour channels; amplitude maps to brightness and movement speed. Low frequencies create slow, deep waves at the bottom; high frequencies create shimmering ripples at the top. Rendered with WebGL shaders for 60fps performance. Designed to be visually calming and non-distracting for clients who might see the screen.</w:t>
      </w:r>
    </w:p>
    <w:p>
      <w:pPr>
        <w:pStyle w:val="Heading2"/>
        <w:spacing w:before="300" w:after="160"/>
      </w:pPr>
      <w:r>
        <w:rPr>
          <w:rFonts w:ascii="Trebuchet MS" w:cs="Trebuchet MS" w:eastAsia="Trebuchet MS" w:hAnsi="Trebuchet MS"/>
          <w:b/>
          <w:bCs/>
          <w:color w:val="7B2FBE"/>
          <w:sz w:val="26"/>
          <w:szCs w:val="26"/>
        </w:rPr>
        <w:t xml:space="preserve">6.5 Design Language</w:t>
      </w:r>
    </w:p>
    <w:p>
      <w:pPr>
        <w:spacing w:before="60" w:after="100" w:line="300"/>
      </w:pPr>
      <w:r>
        <w:rPr>
          <w:rFonts w:ascii="Calibri" w:cs="Calibri" w:eastAsia="Calibri" w:hAnsi="Calibri"/>
          <w:color w:val="1A1A2E"/>
          <w:sz w:val="21"/>
          <w:szCs w:val="21"/>
        </w:rPr>
        <w:t xml:space="preserve">Consistent with the NestorLab ecosystem aesthetic:</w:t>
      </w:r>
    </w:p>
    <w:p>
      <w:pPr>
        <w:pStyle w:val="ListParagraph"/>
        <w:numPr>
          <w:ilvl w:val="0"/>
          <w:numId w:val="2"/>
        </w:numPr>
        <w:spacing w:before="40" w:after="40" w:line="280"/>
      </w:pPr>
      <w:r>
        <w:rPr>
          <w:rFonts w:ascii="Calibri" w:cs="Calibri" w:eastAsia="Calibri" w:hAnsi="Calibri"/>
          <w:b/>
          <w:bCs/>
          <w:color w:val="1A0A2E"/>
          <w:sz w:val="21"/>
          <w:szCs w:val="21"/>
        </w:rPr>
        <w:t xml:space="preserve">Backgrounds — </w:t>
      </w:r>
      <w:r>
        <w:rPr>
          <w:rFonts w:ascii="Calibri" w:cs="Calibri" w:eastAsia="Calibri" w:hAnsi="Calibri"/>
          <w:color w:val="1A1A2E"/>
          <w:sz w:val="21"/>
          <w:szCs w:val="21"/>
        </w:rPr>
        <w:t xml:space="preserve">deep cosmic gradients (near-black to deep purple)</w:t>
      </w:r>
    </w:p>
    <w:p>
      <w:pPr>
        <w:pStyle w:val="ListParagraph"/>
        <w:numPr>
          <w:ilvl w:val="0"/>
          <w:numId w:val="2"/>
        </w:numPr>
        <w:spacing w:before="40" w:after="40" w:line="280"/>
      </w:pPr>
      <w:r>
        <w:rPr>
          <w:rFonts w:ascii="Calibri" w:cs="Calibri" w:eastAsia="Calibri" w:hAnsi="Calibri"/>
          <w:b/>
          <w:bCs/>
          <w:color w:val="1A0A2E"/>
          <w:sz w:val="21"/>
          <w:szCs w:val="21"/>
        </w:rPr>
        <w:t xml:space="preserve">Glass morphism — </w:t>
      </w:r>
      <w:r>
        <w:rPr>
          <w:rFonts w:ascii="Calibri" w:cs="Calibri" w:eastAsia="Calibri" w:hAnsi="Calibri"/>
          <w:color w:val="1A1A2E"/>
          <w:sz w:val="21"/>
          <w:szCs w:val="21"/>
        </w:rPr>
        <w:t xml:space="preserve">frosted glass panels with subtle blur and transparency</w:t>
      </w:r>
    </w:p>
    <w:p>
      <w:pPr>
        <w:pStyle w:val="ListParagraph"/>
        <w:numPr>
          <w:ilvl w:val="0"/>
          <w:numId w:val="2"/>
        </w:numPr>
        <w:spacing w:before="40" w:after="40" w:line="280"/>
      </w:pPr>
      <w:r>
        <w:rPr>
          <w:rFonts w:ascii="Calibri" w:cs="Calibri" w:eastAsia="Calibri" w:hAnsi="Calibri"/>
          <w:b/>
          <w:bCs/>
          <w:color w:val="1A0A2E"/>
          <w:sz w:val="21"/>
          <w:szCs w:val="21"/>
        </w:rPr>
        <w:t xml:space="preserve">Typography — </w:t>
      </w:r>
      <w:r>
        <w:rPr>
          <w:rFonts w:ascii="Calibri" w:cs="Calibri" w:eastAsia="Calibri" w:hAnsi="Calibri"/>
          <w:color w:val="1A1A2E"/>
          <w:sz w:val="21"/>
          <w:szCs w:val="21"/>
        </w:rPr>
        <w:t xml:space="preserve">clean, light-weight sans-serif; minimal text on visualisation screens</w:t>
      </w:r>
    </w:p>
    <w:p>
      <w:pPr>
        <w:pStyle w:val="ListParagraph"/>
        <w:numPr>
          <w:ilvl w:val="0"/>
          <w:numId w:val="2"/>
        </w:numPr>
        <w:spacing w:before="40" w:after="40" w:line="280"/>
      </w:pPr>
      <w:r>
        <w:rPr>
          <w:rFonts w:ascii="Calibri" w:cs="Calibri" w:eastAsia="Calibri" w:hAnsi="Calibri"/>
          <w:b/>
          <w:bCs/>
          <w:color w:val="1A0A2E"/>
          <w:sz w:val="21"/>
          <w:szCs w:val="21"/>
        </w:rPr>
        <w:t xml:space="preserve">Colour accents — </w:t>
      </w:r>
      <w:r>
        <w:rPr>
          <w:rFonts w:ascii="Calibri" w:cs="Calibri" w:eastAsia="Calibri" w:hAnsi="Calibri"/>
          <w:color w:val="1A1A2E"/>
          <w:sz w:val="21"/>
          <w:szCs w:val="21"/>
        </w:rPr>
        <w:t xml:space="preserve">gold (#D4A843) for primary actions and highlights; soft violet for secondary</w:t>
      </w:r>
    </w:p>
    <w:p>
      <w:pPr>
        <w:pStyle w:val="ListParagraph"/>
        <w:numPr>
          <w:ilvl w:val="0"/>
          <w:numId w:val="2"/>
        </w:numPr>
        <w:spacing w:before="40" w:after="40" w:line="280"/>
      </w:pPr>
      <w:r>
        <w:rPr>
          <w:rFonts w:ascii="Calibri" w:cs="Calibri" w:eastAsia="Calibri" w:hAnsi="Calibri"/>
          <w:b/>
          <w:bCs/>
          <w:color w:val="1A0A2E"/>
          <w:sz w:val="21"/>
          <w:szCs w:val="21"/>
        </w:rPr>
        <w:t xml:space="preserve">Sacred geometry — </w:t>
      </w:r>
      <w:r>
        <w:rPr>
          <w:rFonts w:ascii="Calibri" w:cs="Calibri" w:eastAsia="Calibri" w:hAnsi="Calibri"/>
          <w:color w:val="1A1A2E"/>
          <w:sz w:val="21"/>
          <w:szCs w:val="21"/>
        </w:rPr>
        <w:t xml:space="preserve">subtle geometric patterns in backgrounds and loading states</w:t>
      </w:r>
    </w:p>
    <w:p>
      <w:pPr>
        <w:pStyle w:val="ListParagraph"/>
        <w:numPr>
          <w:ilvl w:val="0"/>
          <w:numId w:val="2"/>
        </w:numPr>
        <w:spacing w:before="40" w:after="40" w:line="280"/>
      </w:pPr>
      <w:r>
        <w:rPr>
          <w:rFonts w:ascii="Calibri" w:cs="Calibri" w:eastAsia="Calibri" w:hAnsi="Calibri"/>
          <w:b/>
          <w:bCs/>
          <w:color w:val="1A0A2E"/>
          <w:sz w:val="21"/>
          <w:szCs w:val="21"/>
        </w:rPr>
        <w:t xml:space="preserve">Motion — </w:t>
      </w:r>
      <w:r>
        <w:rPr>
          <w:rFonts w:ascii="Calibri" w:cs="Calibri" w:eastAsia="Calibri" w:hAnsi="Calibri"/>
          <w:color w:val="1A1A2E"/>
          <w:sz w:val="21"/>
          <w:szCs w:val="21"/>
        </w:rPr>
        <w:t xml:space="preserve">slow, organic, breathing animations; nothing abrupt or jarring</w:t>
      </w:r>
    </w:p>
    <w:p>
      <w:pPr>
        <w:pStyle w:val="ListParagraph"/>
        <w:numPr>
          <w:ilvl w:val="0"/>
          <w:numId w:val="2"/>
        </w:numPr>
        <w:spacing w:before="40" w:after="40" w:line="280"/>
      </w:pPr>
      <w:r>
        <w:rPr>
          <w:rFonts w:ascii="Calibri" w:cs="Calibri" w:eastAsia="Calibri" w:hAnsi="Calibri"/>
          <w:b/>
          <w:bCs/>
          <w:color w:val="1A0A2E"/>
          <w:sz w:val="21"/>
          <w:szCs w:val="21"/>
        </w:rPr>
        <w:t xml:space="preserve">Haptics — </w:t>
      </w:r>
      <w:r>
        <w:rPr>
          <w:rFonts w:ascii="Calibri" w:cs="Calibri" w:eastAsia="Calibri" w:hAnsi="Calibri"/>
          <w:color w:val="1A1A2E"/>
          <w:sz w:val="21"/>
          <w:szCs w:val="21"/>
        </w:rPr>
        <w:t xml:space="preserve">gentle vibration cues during analysis steps (on supported devices)</w:t>
      </w:r>
    </w:p>
    <w:p>
      <w:r>
        <w:br w:type="page"/>
      </w:r>
    </w:p>
    <w:p>
      <w:pPr>
        <w:pStyle w:val="Heading1"/>
        <w:spacing w:before="360" w:after="200"/>
      </w:pPr>
      <w:r>
        <w:rPr>
          <w:rFonts w:ascii="Trebuchet MS" w:cs="Trebuchet MS" w:eastAsia="Trebuchet MS" w:hAnsi="Trebuchet MS"/>
          <w:b/>
          <w:bCs/>
          <w:color w:val="1A0A2E"/>
          <w:sz w:val="32"/>
          <w:szCs w:val="32"/>
        </w:rPr>
        <w:t xml:space="preserve">7. Multi-Room Support &amp; Social Features</w:t>
      </w:r>
    </w:p>
    <w:p>
      <w:pPr>
        <w:pStyle w:val="Heading2"/>
        <w:spacing w:before="300" w:after="160"/>
      </w:pPr>
      <w:r>
        <w:rPr>
          <w:rFonts w:ascii="Trebuchet MS" w:cs="Trebuchet MS" w:eastAsia="Trebuchet MS" w:hAnsi="Trebuchet MS"/>
          <w:b/>
          <w:bCs/>
          <w:color w:val="7B2FBE"/>
          <w:sz w:val="26"/>
          <w:szCs w:val="26"/>
        </w:rPr>
        <w:t xml:space="preserve">7.1 Room Library</w:t>
      </w:r>
    </w:p>
    <w:p>
      <w:pPr>
        <w:spacing w:before="60" w:after="100" w:line="300"/>
      </w:pPr>
      <w:r>
        <w:rPr>
          <w:rFonts w:ascii="Calibri" w:cs="Calibri" w:eastAsia="Calibri" w:hAnsi="Calibri"/>
          <w:color w:val="1A1A2E"/>
          <w:sz w:val="21"/>
          <w:szCs w:val="21"/>
        </w:rPr>
        <w:t xml:space="preserve">Practitioners can save multiple room profiles with custom names, photos, and notes. Quick-switch between rooms from the dashboard. Useful for practitioners who work across multiple venues: home studio, yoga studio, community hall, outdoor spaces. Each room retains its full profile, instrument compatibility data, and session history independently.</w:t>
      </w:r>
    </w:p>
    <w:p>
      <w:pPr>
        <w:pStyle w:val="Heading2"/>
        <w:spacing w:before="300" w:after="160"/>
      </w:pPr>
      <w:r>
        <w:rPr>
          <w:rFonts w:ascii="Trebuchet MS" w:cs="Trebuchet MS" w:eastAsia="Trebuchet MS" w:hAnsi="Trebuchet MS"/>
          <w:b/>
          <w:bCs/>
          <w:color w:val="7B2FBE"/>
          <w:sz w:val="26"/>
          <w:szCs w:val="26"/>
        </w:rPr>
        <w:t xml:space="preserve">7.2 Room Comparison</w:t>
      </w:r>
    </w:p>
    <w:p>
      <w:pPr>
        <w:spacing w:before="60" w:after="100" w:line="300"/>
      </w:pPr>
      <w:r>
        <w:rPr>
          <w:rFonts w:ascii="Calibri" w:cs="Calibri" w:eastAsia="Calibri" w:hAnsi="Calibri"/>
          <w:color w:val="1A1A2E"/>
          <w:sz w:val="21"/>
          <w:szCs w:val="21"/>
        </w:rPr>
        <w:t xml:space="preserve">Side-by-side comparison view for two rooms showing mandala overlay, frequency response differences, and instrument compatibility differences. Helps practitioners choose between venues or understand how the same instruments behave differently in different spaces.</w:t>
      </w:r>
    </w:p>
    <w:p>
      <w:pPr>
        <w:pStyle w:val="Heading2"/>
        <w:spacing w:before="300" w:after="160"/>
      </w:pPr>
      <w:r>
        <w:rPr>
          <w:rFonts w:ascii="Trebuchet MS" w:cs="Trebuchet MS" w:eastAsia="Trebuchet MS" w:hAnsi="Trebuchet MS"/>
          <w:b/>
          <w:bCs/>
          <w:color w:val="7B2FBE"/>
          <w:sz w:val="26"/>
          <w:szCs w:val="26"/>
        </w:rPr>
        <w:t xml:space="preserve">7.3 Exportable Reports</w:t>
      </w:r>
    </w:p>
    <w:p>
      <w:pPr>
        <w:spacing w:before="60" w:after="100" w:line="300"/>
      </w:pPr>
      <w:r>
        <w:rPr>
          <w:rFonts w:ascii="Calibri" w:cs="Calibri" w:eastAsia="Calibri" w:hAnsi="Calibri"/>
          <w:color w:val="1A1A2E"/>
          <w:sz w:val="21"/>
          <w:szCs w:val="21"/>
        </w:rPr>
        <w:t xml:space="preserve">Generate a professional PDF room report containing: room mandala, frequency response chart, silence score, RT60 data, instrument compatibility table, and actionable recommendations. Use cases include sharing with venue owners, insurance documentation, professional portfolio, or CPD evidence.</w:t>
      </w:r>
    </w:p>
    <w:p>
      <w:pPr>
        <w:pStyle w:val="Heading2"/>
        <w:spacing w:before="300" w:after="160"/>
      </w:pPr>
      <w:r>
        <w:rPr>
          <w:rFonts w:ascii="Trebuchet MS" w:cs="Trebuchet MS" w:eastAsia="Trebuchet MS" w:hAnsi="Trebuchet MS"/>
          <w:b/>
          <w:bCs/>
          <w:color w:val="7B2FBE"/>
          <w:sz w:val="26"/>
          <w:szCs w:val="26"/>
        </w:rPr>
        <w:t xml:space="preserve">7.4 Acoustically Profiled Badge</w:t>
      </w:r>
    </w:p>
    <w:p>
      <w:pPr>
        <w:spacing w:before="60" w:after="100" w:line="300"/>
      </w:pPr>
      <w:r>
        <w:rPr>
          <w:rFonts w:ascii="Calibri" w:cs="Calibri" w:eastAsia="Calibri" w:hAnsi="Calibri"/>
          <w:color w:val="1A1A2E"/>
          <w:sz w:val="21"/>
          <w:szCs w:val="21"/>
        </w:rPr>
        <w:t xml:space="preserve">A shareable badge/widget that practitioners can embed on their website, link from their Sonarus intake form, or display on social media. The badge confirms their space has been acoustically analysed and links to a public (read-only) summary of the room profile. Builds professional credibility and drives Resonara awareness.</w:t>
      </w:r>
    </w:p>
    <w:p>
      <w:r>
        <w:br w:type="page"/>
      </w:r>
    </w:p>
    <w:p>
      <w:pPr>
        <w:pStyle w:val="Heading1"/>
        <w:spacing w:before="360" w:after="200"/>
      </w:pPr>
      <w:r>
        <w:rPr>
          <w:rFonts w:ascii="Trebuchet MS" w:cs="Trebuchet MS" w:eastAsia="Trebuchet MS" w:hAnsi="Trebuchet MS"/>
          <w:b/>
          <w:bCs/>
          <w:color w:val="1A0A2E"/>
          <w:sz w:val="32"/>
          <w:szCs w:val="32"/>
        </w:rPr>
        <w:t xml:space="preserve">8. Monetisation Strategy</w:t>
      </w:r>
    </w:p>
    <w:p>
      <w:pPr>
        <w:pStyle w:val="Heading2"/>
        <w:spacing w:before="300" w:after="160"/>
      </w:pPr>
      <w:r>
        <w:rPr>
          <w:rFonts w:ascii="Trebuchet MS" w:cs="Trebuchet MS" w:eastAsia="Trebuchet MS" w:hAnsi="Trebuchet MS"/>
          <w:b/>
          <w:bCs/>
          <w:color w:val="7B2FBE"/>
          <w:sz w:val="26"/>
          <w:szCs w:val="26"/>
        </w:rPr>
        <w:t xml:space="preserve">8.1 Tier Structure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Feature</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Free</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Pro (£6.99/mo)</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Studio (£14.99/mo)</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Ambient Listen + Clap Test</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Room Mandala + Body Map</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Basic</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Full detail</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Full detail</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Instrument Profiles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2 instruments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Unlimited</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Unlimited</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Saved Rooms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1 room</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5 rooms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Unlimited</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Walk the Space (Spatial Map)</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Session Mode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Live Monitor</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PDF Reports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Room Comparison</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Client Position Optimiser</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Frequency Gap Analysis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AI Recommendations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Acoustically Profiled Badge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Historical Tracking</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t>
            </w:r>
          </w:p>
        </w:tc>
      </w:tr>
    </w:tbl>
    <w:p>
      <w:pPr>
        <w:pStyle w:val="Heading2"/>
        <w:spacing w:before="300" w:after="160"/>
      </w:pPr>
      <w:r>
        <w:rPr>
          <w:rFonts w:ascii="Trebuchet MS" w:cs="Trebuchet MS" w:eastAsia="Trebuchet MS" w:hAnsi="Trebuchet MS"/>
          <w:b/>
          <w:bCs/>
          <w:color w:val="7B2FBE"/>
          <w:sz w:val="26"/>
          <w:szCs w:val="26"/>
        </w:rPr>
        <w:t xml:space="preserve">8.2 Payment Integration</w:t>
      </w:r>
    </w:p>
    <w:p>
      <w:pPr>
        <w:spacing w:before="60" w:after="100" w:line="300"/>
      </w:pPr>
      <w:r>
        <w:rPr>
          <w:rFonts w:ascii="Calibri" w:cs="Calibri" w:eastAsia="Calibri" w:hAnsi="Calibri"/>
          <w:color w:val="1A1A2E"/>
          <w:sz w:val="21"/>
          <w:szCs w:val="21"/>
        </w:rPr>
        <w:t xml:space="preserve">LemonSqueezy (consistent with Overtone Singer Pro). Subscription management via client-side feature flags stored in IndexedDB, validated against LemonSqueezy subscription status on app load. No server-side auth required for basic tier gating.</w:t>
      </w:r>
    </w:p>
    <w:p>
      <w:pPr>
        <w:pStyle w:val="Heading2"/>
        <w:spacing w:before="300" w:after="160"/>
      </w:pPr>
      <w:r>
        <w:rPr>
          <w:rFonts w:ascii="Trebuchet MS" w:cs="Trebuchet MS" w:eastAsia="Trebuchet MS" w:hAnsi="Trebuchet MS"/>
          <w:b/>
          <w:bCs/>
          <w:color w:val="7B2FBE"/>
          <w:sz w:val="26"/>
          <w:szCs w:val="26"/>
        </w:rPr>
        <w:t xml:space="preserve">8.3 Lifetime Deal Option</w:t>
      </w:r>
    </w:p>
    <w:p>
      <w:pPr>
        <w:spacing w:before="60" w:after="100" w:line="300"/>
      </w:pPr>
      <w:r>
        <w:rPr>
          <w:rFonts w:ascii="Calibri" w:cs="Calibri" w:eastAsia="Calibri" w:hAnsi="Calibri"/>
          <w:color w:val="1A1A2E"/>
          <w:sz w:val="21"/>
          <w:szCs w:val="21"/>
        </w:rPr>
        <w:t xml:space="preserve">Offer an early-adopter lifetime deal at £49.99 (Studio tier) during the first 3 months post-launch. This drives initial revenue, builds a committed user base, and creates word-of-mouth. Transition to subscription-only after the launch window.</w:t>
      </w:r>
    </w:p>
    <w:p>
      <w:r>
        <w:br w:type="page"/>
      </w:r>
    </w:p>
    <w:p>
      <w:pPr>
        <w:pStyle w:val="Heading1"/>
        <w:spacing w:before="360" w:after="200"/>
      </w:pPr>
      <w:r>
        <w:rPr>
          <w:rFonts w:ascii="Trebuchet MS" w:cs="Trebuchet MS" w:eastAsia="Trebuchet MS" w:hAnsi="Trebuchet MS"/>
          <w:b/>
          <w:bCs/>
          <w:color w:val="1A0A2E"/>
          <w:sz w:val="32"/>
          <w:szCs w:val="32"/>
        </w:rPr>
        <w:t xml:space="preserve">9. Development Roadmap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Scope</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Timeline</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Milestone</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MVP</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Ambient Listen, Clap Test, Room Mandala, Body Map, 1 room, basic frequency analysis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4–6 weeks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Public beta at resonara.app</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v1.0</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Instrument Profiling (full library), multi-room, Instrument Shelf, PDF export</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3–4 weeks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Pro tier launch</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v1.5</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Walk the Space (spatial mapping), Session Mode (prep + live monitor)</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4–5 weeks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Studio tier launch</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v2.0</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Post-session reports, historical tracking, AI recommendations, badge system</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4–6 weeks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Full feature set</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v2.5</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Client Position Optimiser, Frequency Gap Analysis, ecosystem integrations (Lunata, Sonarus)</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Ongoing</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Ecosystem connected</w:t>
            </w:r>
          </w:p>
        </w:tc>
      </w:tr>
    </w:tbl>
    <w:p>
      <w:r>
        <w:br w:type="page"/>
      </w:r>
    </w:p>
    <w:p>
      <w:pPr>
        <w:pStyle w:val="Heading1"/>
        <w:spacing w:before="360" w:after="200"/>
      </w:pPr>
      <w:r>
        <w:rPr>
          <w:rFonts w:ascii="Trebuchet MS" w:cs="Trebuchet MS" w:eastAsia="Trebuchet MS" w:hAnsi="Trebuchet MS"/>
          <w:b/>
          <w:bCs/>
          <w:color w:val="1A0A2E"/>
          <w:sz w:val="32"/>
          <w:szCs w:val="32"/>
        </w:rPr>
        <w:t xml:space="preserve">10. Competitive Landscape</w:t>
      </w:r>
    </w:p>
    <w:p>
      <w:pPr>
        <w:spacing w:before="60" w:after="100" w:line="300"/>
      </w:pPr>
      <w:r>
        <w:rPr>
          <w:rFonts w:ascii="Calibri" w:cs="Calibri" w:eastAsia="Calibri" w:hAnsi="Calibri"/>
          <w:color w:val="1A1A2E"/>
          <w:sz w:val="21"/>
          <w:szCs w:val="21"/>
        </w:rPr>
        <w:t xml:space="preserve">There is no direct competitor in this space. Existing room acoustics tools fall into two categories, neither of which serves sound healing practitioners: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Category</w:t>
            </w:r>
          </w:p>
        </w:tc>
        <w:tc>
          <w:tcPr>
            <w:tcW w:type="dxa" w:w="358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Examples</w:t>
            </w:r>
          </w:p>
        </w:tc>
        <w:tc>
          <w:tcPr>
            <w:tcW w:type="dxa" w:w="358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Gap Resonara Fills</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Pro Studio Analysers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Room EQ Wizard, Sonarworks, Dirac</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Designed for music producers/engineers. Complex UI, technical jargon, no wellness framing</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Basic Spectrum Apps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Spectroid, Audio Spectrum Analyzer</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Show raw FFT data with no interpretation, no room profiling, no instrument context</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Sound Healing Apps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Various frequency generators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Focus on playing frequencies, not analysing space. No room acoustics features at all</w:t>
            </w:r>
          </w:p>
        </w:tc>
      </w:tr>
    </w:tbl>
    <w:p>
      <w:pPr>
        <w:spacing w:before="100" w:after="0"/>
      </w:pPr>
    </w:p>
    <w:p>
      <w:pPr>
        <w:spacing w:before="60" w:after="100" w:line="300"/>
      </w:pPr>
      <w:r>
        <w:rPr>
          <w:rFonts w:ascii="Calibri" w:cs="Calibri" w:eastAsia="Calibri" w:hAnsi="Calibri"/>
          <w:color w:val="1A1A2E"/>
          <w:sz w:val="21"/>
          <w:szCs w:val="21"/>
        </w:rPr>
        <w:t xml:space="preserve">Resonara’s competitive moat is the translation layer: converting acoustic measurements into practitioner-relevant insights. This requires deep domain knowledge of both acoustics and sound healing practice. The instrument profiling feature has no equivalent anywhere.</w:t>
      </w:r>
    </w:p>
    <w:p>
      <w:r>
        <w:br w:type="page"/>
      </w:r>
    </w:p>
    <w:p>
      <w:pPr>
        <w:pStyle w:val="Heading1"/>
        <w:spacing w:before="360" w:after="200"/>
      </w:pPr>
      <w:r>
        <w:rPr>
          <w:rFonts w:ascii="Trebuchet MS" w:cs="Trebuchet MS" w:eastAsia="Trebuchet MS" w:hAnsi="Trebuchet MS"/>
          <w:b/>
          <w:bCs/>
          <w:color w:val="1A0A2E"/>
          <w:sz w:val="32"/>
          <w:szCs w:val="32"/>
        </w:rPr>
        <w:t xml:space="preserve">11. Technical Risks &amp; Mitigations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Risk</w:t>
            </w:r>
          </w:p>
        </w:tc>
        <w:tc>
          <w:tcPr>
            <w:tcW w:type="dxa" w:w="358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Impact</w:t>
            </w:r>
          </w:p>
        </w:tc>
        <w:tc>
          <w:tcPr>
            <w:tcW w:type="dxa" w:w="358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Mitigation</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Mic quality variance across devices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Inaccurate frequency data on cheap phones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Calibration step on first use; relative measurements rather than absolute; warn if mic quality is poor</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RT60 accuracy from single clap</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Professional RT60 needs multiple measurements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Average across 3 claps; use Schroeder method; present as qualitative scale, not precise seconds</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Spatial mapping without GPS/UWB</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Position tracking via motion sensors is approximate</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Frame as approximate guidance, not precision; use discrete position markers as fallback; focus on relative differences rather than absolute positions</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Browser audio API limitations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iOS Safari has AudioContext restrictions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Require user gesture to start; handle suspended AudioContext; test on Safari early and often</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Device speaker quality for sweep tones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Walk the Space step needs decent speaker output</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Use longer sweep durations; recommend external speaker for best results; gracefully degrade if sweep quality is poor</w:t>
            </w:r>
          </w:p>
        </w:tc>
      </w:tr>
      <w:tr>
        <w:tc>
          <w:tcPr>
            <w:tcW w:type="dxa" w:w="22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IndexedDB storage limits</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Session recordings could get large</w:t>
            </w:r>
          </w:p>
        </w:tc>
        <w:tc>
          <w:tcPr>
            <w:tcW w:type="dxa" w:w="358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Compress frequency timeline data; limit session history retention in free tier; offer data export before cleanup</w:t>
            </w:r>
          </w:p>
        </w:tc>
      </w:tr>
    </w:tbl>
    <w:p>
      <w:r>
        <w:br w:type="page"/>
      </w:r>
    </w:p>
    <w:p>
      <w:pPr>
        <w:pStyle w:val="Heading1"/>
        <w:spacing w:before="360" w:after="200"/>
      </w:pPr>
      <w:r>
        <w:rPr>
          <w:rFonts w:ascii="Trebuchet MS" w:cs="Trebuchet MS" w:eastAsia="Trebuchet MS" w:hAnsi="Trebuchet MS"/>
          <w:b/>
          <w:bCs/>
          <w:color w:val="1A0A2E"/>
          <w:sz w:val="32"/>
          <w:szCs w:val="32"/>
        </w:rPr>
        <w:t xml:space="preserve">12. Appendix: Energy Centre Frequency Mapping</w:t>
      </w:r>
    </w:p>
    <w:p>
      <w:pPr>
        <w:spacing w:before="60" w:after="100" w:line="300"/>
      </w:pPr>
      <w:r>
        <w:rPr>
          <w:rFonts w:ascii="Calibri" w:cs="Calibri" w:eastAsia="Calibri" w:hAnsi="Calibri"/>
          <w:color w:val="1A1A2E"/>
          <w:sz w:val="21"/>
          <w:szCs w:val="21"/>
        </w:rPr>
        <w:t xml:space="preserve">The frequency-to-energy-centre mapping used throughout Resonara. These ranges are approximate and follow widely accepted correspondences in sound healing practice.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Energy Centre</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Frequency Range</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Musical Reference</w:t>
            </w:r>
          </w:p>
        </w:tc>
        <w:tc>
          <w:tcPr>
            <w:tcW w:type="dxa" w:w="2520"/>
            <w:tcBorders>
              <w:top w:val="single" w:color="D0C4E8" w:sz="1"/>
              <w:left w:val="single" w:color="D0C4E8" w:sz="1"/>
              <w:bottom w:val="single" w:color="D0C4E8" w:sz="1"/>
              <w:right w:val="single" w:color="D0C4E8" w:sz="1"/>
            </w:tcBorders>
            <w:shd w:fill="1A0A2E" w:val="clear"/>
            <w:tcMar>
              <w:top w:type="dxa" w:w="100"/>
              <w:left w:type="dxa" w:w="140"/>
              <w:bottom w:type="dxa" w:w="100"/>
              <w:right w:type="dxa" w:w="140"/>
            </w:tcMar>
          </w:tcPr>
          <w:p>
            <w:r>
              <w:rPr>
                <w:rFonts w:ascii="Calibri" w:cs="Calibri" w:eastAsia="Calibri" w:hAnsi="Calibri"/>
                <w:b/>
                <w:bCs/>
                <w:color w:val="FFFFFF"/>
                <w:sz w:val="20"/>
                <w:szCs w:val="20"/>
              </w:rPr>
              <w:t xml:space="preserve">Body Region</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Root (Muladhara)</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32–128 Hz</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C1–C3</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Base of spine, legs, feet</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Sacral (Svadhisthana)</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128–256 Hz</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C3–C4</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Lower abdomen, hips</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Solar Plexus (Manipura)</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256–384 Hz</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C4–G4</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Upper abdomen, stomach</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Heart (Anahata)</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384–512 Hz</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G4–C5</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Chest, arms, hands</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Throat (Vishuddha)</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512–768 Hz</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C5–G5</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Throat, neck, jaw</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Third Eye (Ajna)</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768–1024 Hz</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G5–C6</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Forehead, temples</w:t>
            </w:r>
          </w:p>
        </w:tc>
      </w:tr>
      <w:tr>
        <w:tc>
          <w:tcPr>
            <w:tcW w:type="dxa" w:w="180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Crown (Sahasrara)</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1024 Hz+</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C6+</w:t>
            </w:r>
          </w:p>
        </w:tc>
        <w:tc>
          <w:tcPr>
            <w:tcW w:type="dxa" w:w="2520"/>
            <w:tcBorders>
              <w:top w:val="single" w:color="D0C4E8" w:sz="1"/>
              <w:left w:val="single" w:color="D0C4E8" w:sz="1"/>
              <w:bottom w:val="single" w:color="D0C4E8" w:sz="1"/>
              <w:right w:val="single" w:color="D0C4E8" w:sz="1"/>
            </w:tcBorders>
            <w:tcMar>
              <w:top w:type="dxa" w:w="100"/>
              <w:left w:type="dxa" w:w="140"/>
              <w:bottom w:type="dxa" w:w="100"/>
              <w:right w:type="dxa" w:w="140"/>
            </w:tcMar>
          </w:tcPr>
          <w:p>
            <w:r>
              <w:rPr>
                <w:rFonts w:ascii="Calibri" w:cs="Calibri" w:eastAsia="Calibri" w:hAnsi="Calibri"/>
                <w:color w:val="1A1A2E"/>
                <w:sz w:val="20"/>
                <w:szCs w:val="20"/>
              </w:rPr>
              <w:t xml:space="preserve">Top of head</w:t>
            </w:r>
          </w:p>
        </w:tc>
      </w:tr>
    </w:tbl>
    <w:p>
      <w:pPr>
        <w:spacing w:before="200" w:after="0"/>
      </w:pPr>
    </w:p>
    <w:p>
      <w:pPr>
        <w:pBdr>
          <w:bottom w:val="single" w:color="D0C4E8" w:sz="2" w:space="8"/>
        </w:pBdr>
        <w:spacing w:before="200" w:after="200"/>
      </w:pPr>
    </w:p>
    <w:p>
      <w:pPr>
        <w:spacing w:before="100" w:after="0"/>
      </w:pPr>
    </w:p>
    <w:p>
      <w:pPr>
        <w:jc w:val="center"/>
      </w:pPr>
      <w:r>
        <w:rPr>
          <w:rFonts w:ascii="Calibri" w:cs="Calibri" w:eastAsia="Calibri" w:hAnsi="Calibri"/>
          <w:i/>
          <w:iCs/>
          <w:color w:val="4A4A6A"/>
          <w:sz w:val="20"/>
          <w:szCs w:val="20"/>
        </w:rPr>
        <w:t xml:space="preserve">End of Specification</w:t>
      </w:r>
    </w:p>
    <w:p>
      <w:pPr>
        <w:spacing w:before="60"/>
        <w:jc w:val="center"/>
      </w:pPr>
      <w:r>
        <w:rPr>
          <w:rFonts w:ascii="Calibri" w:cs="Calibri" w:eastAsia="Calibri" w:hAnsi="Calibri"/>
          <w:color w:val="7B2FBE"/>
          <w:sz w:val="18"/>
          <w:szCs w:val="18"/>
        </w:rPr>
        <w:t xml:space="preserve">Resonara • resonara.app • NestorLab Ecosystem</w:t>
      </w:r>
    </w:p>
    <w:sectPr>
      <w:headerReference w:type="default" r:id="rId6"/>
      <w:footerReference w:type="default" r:id="rId7"/>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4E8" w:sz="1" w:space="6"/>
      </w:pBdr>
      <w:jc w:val="center"/>
    </w:pPr>
    <w:r>
      <w:rPr>
        <w:rFonts w:ascii="Calibri" w:cs="Calibri" w:eastAsia="Calibri" w:hAnsi="Calibri"/>
        <w:color w:val="4A4A6A"/>
        <w:sz w:val="14"/>
        <w:szCs w:val="14"/>
      </w:rPr>
      <w:t xml:space="preserve">Confidential • NestorLab Ecosystem • resonara.app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4E8" w:sz="1" w:space="6"/>
      </w:pBdr>
    </w:pPr>
    <w:r>
      <w:rPr>
        <w:rFonts w:ascii="Calibri" w:cs="Calibri" w:eastAsia="Calibri" w:hAnsi="Calibri"/>
        <w:color w:val="4A4A6A"/>
        <w:sz w:val="16"/>
        <w:szCs w:val="16"/>
      </w:rPr>
      <w:t xml:space="preserve">Resonara — Architecture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rebuchet MS" w:cs="Trebuchet MS" w:eastAsia="Trebuchet MS" w:hAnsi="Trebuchet MS"/>
      <w:b/>
      <w:bCs/>
      <w:color w:val="1A0A2E"/>
      <w:sz w:val="32"/>
      <w:szCs w:val="32"/>
    </w:rPr>
  </w:style>
  <w:style w:type="paragraph" w:styleId="Heading2">
    <w:name w:val="Heading 2"/>
    <w:basedOn w:val="Normal"/>
    <w:next w:val="Normal"/>
    <w:qFormat/>
    <w:pPr>
      <w:spacing w:before="300" w:after="160"/>
      <w:outlineLvl w:val="1"/>
    </w:pPr>
    <w:rPr>
      <w:rFonts w:ascii="Trebuchet MS" w:cs="Trebuchet MS" w:eastAsia="Trebuchet MS" w:hAnsi="Trebuchet MS"/>
      <w:b/>
      <w:bCs/>
      <w:color w:val="7B2FB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2026-02-26T11:43:25.438Z</dcterms:created>
  <dcterms:modified xsi:type="dcterms:W3CDTF">2026-02-26T11:43:25.439Z</dcterms:modified>
</cp:coreProperties>
</file>

<file path=docProps/custom.xml><?xml version="1.0" encoding="utf-8"?>
<Properties xmlns="http://schemas.openxmlformats.org/officeDocument/2006/custom-properties" xmlns:vt="http://schemas.openxmlformats.org/officeDocument/2006/docPropsVTypes"/>
</file>