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pPr>
      <w:r>
        <w:rPr>
          <w:sz w:val="160"/>
          <w:szCs w:val="160"/>
        </w:rPr>
        <w:t xml:space="preserve"/>
      </w:r>
    </w:p>
    <w:p>
      <w:pPr>
        <w:spacing w:before="0" w:after="80"/>
        <w:jc w:val="center"/>
      </w:pPr>
      <w:r>
        <w:rPr>
          <w:rFonts w:ascii="Arial" w:cs="Arial" w:eastAsia="Arial" w:hAnsi="Arial"/>
          <w:b/>
          <w:bCs/>
          <w:color w:val="1F3864"/>
          <w:sz w:val="64"/>
          <w:szCs w:val="64"/>
        </w:rPr>
        <w:t xml:space="preserve">INGETIS</w:t>
      </w:r>
    </w:p>
    <w:p>
      <w:pPr>
        <w:spacing w:before="0" w:after="40"/>
        <w:jc w:val="center"/>
      </w:pPr>
      <w:r>
        <w:rPr>
          <w:rFonts w:ascii="Arial" w:cs="Arial" w:eastAsia="Arial" w:hAnsi="Arial"/>
          <w:color w:val="666666"/>
          <w:sz w:val="20"/>
          <w:szCs w:val="20"/>
        </w:rPr>
        <w:t xml:space="preserve">Ecole d'ingenerie informatique — 62 bis rue Gay-Lussac, 75005 Paris</w:t>
      </w:r>
    </w:p>
    <w:p>
      <w:pPr>
        <w:spacing w:before="0" w:after="400"/>
        <w:jc w:val="center"/>
      </w:pPr>
      <w:r>
        <w:rPr>
          <w:rFonts w:ascii="Arial" w:cs="Arial" w:eastAsia="Arial" w:hAnsi="Arial"/>
          <w:color w:val="666666"/>
          <w:sz w:val="20"/>
          <w:szCs w:val="20"/>
        </w:rPr>
        <w:t xml:space="preserve">EADL - RNCP38822</w:t>
      </w:r>
    </w:p>
    <w:p>
      <w:pPr>
        <w:pBdr>
          <w:bottom w:val="single" w:color="AAAAAA" w:sz="2" w:space="1"/>
        </w:pBdr>
        <w:spacing w:before="240" w:after="240"/>
      </w:pPr>
      <w:r>
        <w:t xml:space="preserve"/>
      </w:r>
    </w:p>
    <w:p>
      <w:pPr>
        <w:spacing w:before="0" w:after="0"/>
      </w:pPr>
      <w:r>
        <w:rPr>
          <w:sz w:val="80"/>
          <w:szCs w:val="80"/>
        </w:rPr>
        <w:t xml:space="preserve"/>
      </w:r>
    </w:p>
    <w:p>
      <w:pPr>
        <w:spacing w:before="300" w:after="0"/>
        <w:jc w:val="center"/>
      </w:pPr>
      <w:r>
        <w:rPr>
          <w:rFonts w:ascii="Arial" w:cs="Arial" w:eastAsia="Arial" w:hAnsi="Arial"/>
          <w:b/>
          <w:bCs/>
          <w:color w:val="1F3864"/>
          <w:sz w:val="56"/>
          <w:szCs w:val="56"/>
        </w:rPr>
        <w:t xml:space="preserve">DOSSIER PROFESSIONNEL</w:t>
      </w:r>
    </w:p>
    <w:p>
      <w:pPr>
        <w:spacing w:before="60" w:after="0"/>
        <w:jc w:val="center"/>
      </w:pPr>
      <w:r>
        <w:rPr>
          <w:rFonts w:ascii="Arial" w:cs="Arial" w:eastAsia="Arial" w:hAnsi="Arial"/>
          <w:color w:val="555555"/>
          <w:sz w:val="28"/>
          <w:szCs w:val="28"/>
        </w:rPr>
        <w:t xml:space="preserve">Soutenance de certification RNCP Niveau 7</w:t>
      </w:r>
    </w:p>
    <w:p>
      <w:pPr>
        <w:spacing w:before="0" w:after="0"/>
      </w:pPr>
      <w:r>
        <w:rPr>
          <w:sz w:val="80"/>
          <w:szCs w:val="80"/>
        </w:rPr>
        <w:t xml:space="preserve"/>
      </w:r>
    </w:p>
    <w:p>
      <w:pPr>
        <w:pBdr>
          <w:top w:val="single" w:color="C55A11" w:sz="4" w:space="8"/>
          <w:bottom w:val="single" w:color="C55A11" w:sz="4" w:space="8"/>
        </w:pBdr>
        <w:shd w:fill="F0F5FF" w:val="clear"/>
        <w:spacing w:before="200" w:after="0"/>
        <w:jc w:val="center"/>
      </w:pPr>
      <w:r>
        <w:rPr>
          <w:rFonts w:ascii="Arial" w:cs="Arial" w:eastAsia="Arial" w:hAnsi="Arial"/>
          <w:b/>
          <w:bCs/>
          <w:color w:val="C55A11"/>
          <w:sz w:val="40"/>
          <w:szCs w:val="40"/>
        </w:rPr>
        <w:t xml:space="preserve">BLOC 3 — </w:t>
      </w:r>
      <w:r>
        <w:rPr>
          <w:rFonts w:ascii="Arial" w:cs="Arial" w:eastAsia="Arial" w:hAnsi="Arial"/>
          <w:b/>
          <w:bCs/>
          <w:color w:val="1F3864"/>
          <w:sz w:val="40"/>
          <w:szCs w:val="40"/>
        </w:rPr>
        <w:t xml:space="preserve">PILOTER LA MISE EN PRODUCTION</w:t>
      </w:r>
    </w:p>
    <w:p>
      <w:pPr>
        <w:spacing w:before="20" w:after="200"/>
        <w:jc w:val="center"/>
      </w:pPr>
      <w:r>
        <w:rPr>
          <w:rFonts w:ascii="Arial" w:cs="Arial" w:eastAsia="Arial" w:hAnsi="Arial"/>
          <w:i/>
          <w:iCs/>
          <w:color w:val="444444"/>
          <w:sz w:val="26"/>
          <w:szCs w:val="26"/>
        </w:rPr>
        <w:t xml:space="preserve">Specialite : Developpement Logiciel</w:t>
      </w:r>
    </w:p>
    <w:p>
      <w:pPr>
        <w:pBdr>
          <w:bottom w:val="single" w:color="AAAAAA" w:sz="2" w:space="1"/>
        </w:pBdr>
        <w:spacing w:before="240" w:after="240"/>
      </w:pPr>
      <w:r>
        <w:t xml:space="preserve"/>
      </w:r>
    </w:p>
    <w:p>
      <w:pPr>
        <w:spacing w:before="0" w:after="0"/>
      </w:pPr>
      <w:r>
        <w:rPr>
          <w:sz w:val="120"/>
          <w:szCs w:val="120"/>
        </w:rPr>
        <w:t xml:space="preserve"/>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4151"/>
        <w:gridCol w:w="4151"/>
      </w:tblGrid>
      <w:tr>
        <w:tc>
          <w:tcPr>
            <w:tcBorders>
              <w:top w:val="none" w:color="FFFFFF" w:sz="0"/>
              <w:left w:val="none" w:color="FFFFFF" w:sz="0"/>
              <w:bottom w:val="none" w:color="FFFFFF" w:sz="0"/>
              <w:right w:val="none" w:color="FFFFFF" w:sz="0"/>
            </w:tcBorders>
          </w:tcPr>
          <w:p>
            <w:pPr>
              <w:spacing w:before="0" w:after="80"/>
            </w:pPr>
            <w:r>
              <w:rPr>
                <w:rFonts w:ascii="Arial" w:cs="Arial" w:eastAsia="Arial" w:hAnsi="Arial"/>
                <w:b/>
                <w:bCs/>
                <w:sz w:val="24"/>
                <w:szCs w:val="24"/>
              </w:rPr>
              <w:t xml:space="preserve">Candidat(e) : </w:t>
            </w:r>
            <w:r>
              <w:rPr>
                <w:rFonts w:ascii="Times New Roman" w:cs="Times New Roman" w:eastAsia="Times New Roman" w:hAnsi="Times New Roman"/>
                <w:sz w:val="24"/>
                <w:szCs w:val="24"/>
              </w:rPr>
              <w:t xml:space="preserve">_________________________________</w:t>
            </w:r>
          </w:p>
          <w:p>
            <w:pPr>
              <w:spacing w:before="0" w:after="80"/>
            </w:pPr>
            <w:r>
              <w:rPr>
                <w:rFonts w:ascii="Arial" w:cs="Arial" w:eastAsia="Arial" w:hAnsi="Arial"/>
                <w:b/>
                <w:bCs/>
                <w:sz w:val="24"/>
                <w:szCs w:val="24"/>
              </w:rPr>
              <w:t xml:space="preserve">Numero apprenant : </w:t>
            </w:r>
            <w:r>
              <w:rPr>
                <w:rFonts w:ascii="Times New Roman" w:cs="Times New Roman" w:eastAsia="Times New Roman" w:hAnsi="Times New Roman"/>
                <w:sz w:val="24"/>
                <w:szCs w:val="24"/>
              </w:rPr>
              <w:t xml:space="preserve">__________________________</w:t>
            </w:r>
          </w:p>
          <w:p>
            <w:pPr>
              <w:spacing w:before="0" w:after="80"/>
            </w:pPr>
            <w:r>
              <w:rPr>
                <w:rFonts w:ascii="Arial" w:cs="Arial" w:eastAsia="Arial" w:hAnsi="Arial"/>
                <w:b/>
                <w:bCs/>
                <w:sz w:val="24"/>
                <w:szCs w:val="24"/>
              </w:rPr>
              <w:t xml:space="preserve">Annee : </w:t>
            </w:r>
            <w:r>
              <w:rPr>
                <w:rFonts w:ascii="Times New Roman" w:cs="Times New Roman" w:eastAsia="Times New Roman" w:hAnsi="Times New Roman"/>
                <w:sz w:val="24"/>
                <w:szCs w:val="24"/>
              </w:rPr>
              <w:t xml:space="preserve">2026-2027</w:t>
            </w:r>
          </w:p>
        </w:tc>
        <w:tc>
          <w:tcPr>
            <w:tcBorders>
              <w:top w:val="none" w:color="FFFFFF" w:sz="0"/>
              <w:left w:val="none" w:color="FFFFFF" w:sz="0"/>
              <w:bottom w:val="none" w:color="FFFFFF" w:sz="0"/>
              <w:right w:val="none" w:color="FFFFFF" w:sz="0"/>
            </w:tcBorders>
          </w:tcPr>
          <w:p>
            <w:pPr>
              <w:spacing w:before="0" w:after="80"/>
            </w:pPr>
            <w:r>
              <w:rPr>
                <w:rFonts w:ascii="Arial" w:cs="Arial" w:eastAsia="Arial" w:hAnsi="Arial"/>
                <w:b/>
                <w:bCs/>
                <w:sz w:val="24"/>
                <w:szCs w:val="24"/>
              </w:rPr>
              <w:t xml:space="preserve">Entreprise : </w:t>
            </w:r>
            <w:r>
              <w:rPr>
                <w:rFonts w:ascii="Times New Roman" w:cs="Times New Roman" w:eastAsia="Times New Roman" w:hAnsi="Times New Roman"/>
                <w:sz w:val="24"/>
                <w:szCs w:val="24"/>
              </w:rPr>
              <w:t xml:space="preserve">________________________________</w:t>
            </w:r>
          </w:p>
          <w:p>
            <w:pPr>
              <w:spacing w:before="0" w:after="80"/>
            </w:pPr>
            <w:r>
              <w:rPr>
                <w:rFonts w:ascii="Arial" w:cs="Arial" w:eastAsia="Arial" w:hAnsi="Arial"/>
                <w:b/>
                <w:bCs/>
                <w:sz w:val="24"/>
                <w:szCs w:val="24"/>
              </w:rPr>
              <w:t xml:space="preserve">Maitre d'apprentissage : </w:t>
            </w:r>
            <w:r>
              <w:rPr>
                <w:rFonts w:ascii="Times New Roman" w:cs="Times New Roman" w:eastAsia="Times New Roman" w:hAnsi="Times New Roman"/>
                <w:sz w:val="24"/>
                <w:szCs w:val="24"/>
              </w:rPr>
              <w:t xml:space="preserve">__________________</w:t>
            </w:r>
          </w:p>
          <w:p>
            <w:pPr>
              <w:spacing w:before="0" w:after="80"/>
            </w:pPr>
            <w:r>
              <w:rPr>
                <w:rFonts w:ascii="Arial" w:cs="Arial" w:eastAsia="Arial" w:hAnsi="Arial"/>
                <w:b/>
                <w:bCs/>
                <w:sz w:val="24"/>
                <w:szCs w:val="24"/>
              </w:rPr>
              <w:t xml:space="preserve">Tuteur pedagogique : </w:t>
            </w:r>
            <w:r>
              <w:rPr>
                <w:rFonts w:ascii="Times New Roman" w:cs="Times New Roman" w:eastAsia="Times New Roman" w:hAnsi="Times New Roman"/>
                <w:sz w:val="24"/>
                <w:szCs w:val="24"/>
              </w:rPr>
              <w:t xml:space="preserve">____________________</w:t>
            </w:r>
          </w:p>
        </w:tc>
      </w:tr>
    </w:tbl>
    <w:p>
      <w:pPr>
        <w:spacing w:before="0" w:after="0"/>
      </w:pPr>
      <w:r>
        <w:rPr>
          <w:sz w:val="80"/>
          <w:szCs w:val="80"/>
        </w:rPr>
        <w:t xml:space="preserve"/>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4151"/>
        <w:gridCol w:w="4151"/>
      </w:tblGrid>
      <w:tr>
        <w:tc>
          <w:tcPr>
            <w:tcBorders>
              <w:top w:val="none" w:color="FFFFFF" w:sz="0"/>
              <w:left w:val="none" w:color="FFFFFF" w:sz="0"/>
              <w:bottom w:val="none" w:color="FFFFFF" w:sz="0"/>
              <w:right w:val="none" w:color="FFFFFF" w:sz="0"/>
            </w:tcBorders>
          </w:tcPr>
          <w:p>
            <w:pPr>
              <w:spacing w:before="0" w:after="80"/>
            </w:pPr>
            <w:r>
              <w:rPr>
                <w:rFonts w:ascii="Arial" w:cs="Arial" w:eastAsia="Arial" w:hAnsi="Arial"/>
                <w:b/>
                <w:bCs/>
                <w:sz w:val="24"/>
                <w:szCs w:val="24"/>
              </w:rPr>
              <w:t xml:space="preserve">Date de soutenance : </w:t>
            </w:r>
            <w:r>
              <w:rPr>
                <w:rFonts w:ascii="Times New Roman" w:cs="Times New Roman" w:eastAsia="Times New Roman" w:hAnsi="Times New Roman"/>
                <w:sz w:val="24"/>
                <w:szCs w:val="24"/>
              </w:rPr>
              <w:t xml:space="preserve">_______ / _______ / _______</w:t>
            </w:r>
          </w:p>
        </w:tc>
        <w:tc>
          <w:tcPr>
            <w:tcBorders>
              <w:top w:val="none" w:color="FFFFFF" w:sz="0"/>
              <w:left w:val="none" w:color="FFFFFF" w:sz="0"/>
              <w:bottom w:val="none" w:color="FFFFFF" w:sz="0"/>
              <w:right w:val="none" w:color="FFFFFF" w:sz="0"/>
            </w:tcBorders>
          </w:tcPr>
          <w:p>
            <w:pPr>
              <w:spacing w:before="0" w:after="80"/>
            </w:pPr>
            <w:r>
              <w:rPr>
                <w:rFonts w:ascii="Arial" w:cs="Arial" w:eastAsia="Arial" w:hAnsi="Arial"/>
                <w:b/>
                <w:bCs/>
                <w:sz w:val="24"/>
                <w:szCs w:val="24"/>
              </w:rPr>
              <w:t xml:space="preserve">Score obtenu : </w:t>
            </w:r>
            <w:r>
              <w:rPr>
                <w:rFonts w:ascii="Times New Roman" w:cs="Times New Roman" w:eastAsia="Times New Roman" w:hAnsi="Times New Roman"/>
                <w:sz w:val="24"/>
                <w:szCs w:val="24"/>
              </w:rPr>
              <w:t xml:space="preserve">________ / 20</w:t>
            </w:r>
          </w:p>
        </w:tc>
      </w:tr>
    </w:tbl>
    <w:p>
      <w:pPr>
        <w:spacing w:before="0" w:after="0"/>
      </w:pPr>
      <w:r>
        <w:rPr>
          <w:sz w:val="160"/>
          <w:szCs w:val="160"/>
        </w:rPr>
        <w:t xml:space="preserve"/>
      </w:r>
    </w:p>
    <w:p>
      <w:pPr>
        <w:spacing w:before="100" w:after="0"/>
        <w:jc w:val="center"/>
      </w:pPr>
      <w:r>
        <w:rPr>
          <w:rFonts w:ascii="Arial" w:cs="Arial" w:eastAsia="Arial" w:hAnsi="Arial"/>
          <w:i/>
          <w:iCs/>
          <w:color w:val="888888"/>
          <w:sz w:val="20"/>
          <w:szCs w:val="20"/>
        </w:rPr>
        <w:t xml:space="preserve">Soutenance : 20 min de presentation + 20 min d'entretien avec le jury</w:t>
      </w:r>
    </w:p>
    <w:p>
      <w:pPr>
        <w:jc w:val="center"/>
      </w:pPr>
      <w:r>
        <w:rPr>
          <w:rFonts w:ascii="Arial" w:cs="Arial" w:eastAsia="Arial" w:hAnsi="Arial"/>
          <w:i/>
          <w:iCs/>
          <w:color w:val="AAAAAA"/>
          <w:sz w:val="20"/>
          <w:szCs w:val="20"/>
        </w:rPr>
        <w:t xml:space="preserve">Document confidentiel — INGETIS 2025-2026 — Usage academique strictement reserve</w:t>
      </w:r>
    </w:p>
    <w:p>
      <w:r>
        <w:br w:type="page"/>
      </w:r>
    </w:p>
    <w:p>
      <w:pPr>
        <w:pBdr>
          <w:left w:val="thick" w:color="375623" w:sz="16" w:space="10"/>
        </w:pBdr>
        <w:shd w:fill="E2EFDA" w:val="clear"/>
        <w:spacing w:before="0" w:after="100"/>
        <w:ind w:left="300" w:right="300"/>
      </w:pPr>
      <w:r>
        <w:rPr>
          <w:rFonts w:ascii="Arial" w:cs="Arial" w:eastAsia="Arial" w:hAnsi="Arial"/>
          <w:b/>
          <w:bCs/>
          <w:color w:val="375623"/>
          <w:sz w:val="20"/>
          <w:szCs w:val="20"/>
        </w:rPr>
        <w:t xml:space="preserve">Competences transversales — Ces deux competences doivent etre demonstrees dans chaque bloc et a chaque soutenance.</w:t>
      </w:r>
    </w:p>
    <w:p>
      <w:pPr>
        <w:spacing w:before="0" w:after="40"/>
        <w:ind w:left="300"/>
      </w:pPr>
      <w:r>
        <w:rPr>
          <w:rFonts w:ascii="Times New Roman" w:cs="Times New Roman" w:eastAsia="Times New Roman" w:hAnsi="Times New Roman"/>
          <w:i/>
          <w:iCs/>
          <w:color w:val="444444"/>
          <w:sz w:val="20"/>
          <w:szCs w:val="20"/>
        </w:rPr>
        <w:t xml:space="preserve">(1) Maitrise de l'anglais technique : veille technologique a partir de sources anglophones, references anglophones integrees au dossier, capacite d'echange en anglais si sollicite par le jury.</w:t>
      </w:r>
    </w:p>
    <w:p>
      <w:pPr>
        <w:spacing w:before="0" w:after="160"/>
        <w:ind w:left="300"/>
      </w:pPr>
      <w:r>
        <w:rPr>
          <w:rFonts w:ascii="Times New Roman" w:cs="Times New Roman" w:eastAsia="Times New Roman" w:hAnsi="Times New Roman"/>
          <w:i/>
          <w:iCs/>
          <w:color w:val="444444"/>
          <w:sz w:val="20"/>
          <w:szCs w:val="20"/>
        </w:rPr>
        <w:t xml:space="preserve">(2) Numerique responsable : integration des principes d'eco-conception, analyse de l'impact environnemental des solutions proposees, conformite aux reglementations en vigueur.</w:t>
      </w:r>
    </w:p>
    <w:p>
      <w:pPr>
        <w:pBdr>
          <w:bottom w:val="single" w:color="AAAAAA" w:sz="2" w:space="1"/>
        </w:pBdr>
        <w:spacing w:before="240" w:after="240"/>
      </w:pPr>
      <w:r>
        <w:t xml:space="preserve"/>
      </w:r>
    </w:p>
    <w:p>
      <w:pPr>
        <w:pStyle w:val="Heading1"/>
        <w:pBdr>
          <w:bottom w:val="single" w:color="1F3864" w:sz="6" w:space="6"/>
        </w:pBdr>
        <w:spacing w:before="560" w:after="280"/>
      </w:pPr>
      <w:r>
        <w:rPr>
          <w:rFonts w:ascii="Arial" w:cs="Arial" w:eastAsia="Arial" w:hAnsi="Arial"/>
          <w:b/>
          <w:bCs/>
          <w:color w:val="1F3864"/>
          <w:sz w:val="36"/>
          <w:szCs w:val="36"/>
        </w:rPr>
        <w:t xml:space="preserve">Introduction. </w:t>
      </w:r>
      <w:r>
        <w:rPr>
          <w:rFonts w:ascii="Arial" w:cs="Arial" w:eastAsia="Arial" w:hAnsi="Arial"/>
          <w:b/>
          <w:bCs/>
          <w:color w:val="1F3864"/>
          <w:sz w:val="36"/>
          <w:szCs w:val="36"/>
        </w:rPr>
        <w:t xml:space="preserve">Presentation du Bloc 3</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Le présent dossier professionnel rend compte de la mise en production de la plateforme ECOTRACK et de sa gouvernance opérationnelle. Il documente l'ensemble des pratiques DevSecOps mises en œuvre pour industrialiser la livraison du logiciel : pipeline d'intégration et de livraison continues, stratégie de déploiement, observabilité, gestion des incidents et cycle de vie du code.</w:t>
            </w:r>
          </w:p>
          <w:p>
            <w:r>
              <w:t>Le contexte professionnel est celui d'une plateforme déployée pour une collectivité de 500 000 habitants. Au-delà de la qualité du code, l'enjeu central est ici la **fiabilité, la sécurité et la maintenabilité** du service rendu : assurer une disponibilité conforme aux engagements de niveau de service (99,5 %), automatiser la chaîne de livraison pour réduire le délai et le risque entre une modification et sa mise à disposition, et garantir la traçabilité opérationnelle.</w:t>
            </w:r>
          </w:p>
          <w:p>
            <w:r>
              <w:t>La problématique adressée par ce dossier peut être formulée ainsi : comment passer d'un développement fonctionnel à une plateforme **réellement exploitable** en production — déployée, sécurisée, mesurable et maintenable — avec des ressources d'équipe limitées et une infrastructure légère ? La réponse a consisté à conteneuriser l'ensemble des composants, à mettre en place un pipeline d'intégration continue couvrant tests unitaires, build et tests de bout en bout, à externaliser tous les secrets et à exposer le service derrière un reverse proxy assurant le chiffrement TLS.</w:t>
            </w:r>
          </w:p>
          <w:p>
            <w:r>
              <w:t>Le dossier s'articule en six chapitres. Le chapitre 2 présente le contexte de production et les objectifs de niveau de service (SLO). Le chapitre 3 détaille la chaîne CI/CD et l'intégration de la sécurité dans le pipeline (DevSecOps). Le chapitre 4 expose la stratégie de déploiement et l'architecture des environnements. Le chapitre 5 décrit l'observabilité et la gestion des incidents. Le chapitre 6 traite du cycle de vie logiciel (versionnage, dette technique, maintenance). Le chapitre 7 dresse le bilan opérationnel et les axes d'évolution. Les deux compétences transversales — maîtrise de l'anglais technique et numérique responsable — sont intégrées dans l'ensemble des chapitres.</w:t>
            </w:r>
          </w:p>
        </w:tc>
      </w:tr>
    </w:tbl>
    <w:p>
      <w:pPr>
        <w:spacing w:before="120" w:after="0"/>
      </w:pPr>
      <w:r>
        <w:t xml:space="preserve"/>
      </w:r>
    </w:p>
    <w:p>
      <w:pPr>
        <w:pBdr>
          <w:bottom w:val="single" w:color="AAAAAA" w:sz="2" w:space="1"/>
        </w:pBdr>
        <w:spacing w:before="240" w:after="240"/>
      </w:pPr>
      <w:r>
        <w:t xml:space="preserve"/>
      </w:r>
    </w:p>
    <w:p>
      <w:pPr>
        <w:pStyle w:val="Heading1"/>
        <w:pBdr>
          <w:bottom w:val="single" w:color="1F3864" w:sz="6" w:space="6"/>
        </w:pBdr>
        <w:spacing w:before="560" w:after="280"/>
      </w:pPr>
      <w:r>
        <w:rPr>
          <w:rFonts w:ascii="Arial" w:cs="Arial" w:eastAsia="Arial" w:hAnsi="Arial"/>
          <w:b/>
          <w:bCs/>
          <w:color w:val="1F3864"/>
          <w:sz w:val="36"/>
          <w:szCs w:val="36"/>
        </w:rPr>
        <w:t xml:space="preserve">2. </w:t>
      </w:r>
      <w:r>
        <w:rPr>
          <w:rFonts w:ascii="Arial" w:cs="Arial" w:eastAsia="Arial" w:hAnsi="Arial"/>
          <w:b/>
          <w:bCs/>
          <w:color w:val="1F3864"/>
          <w:sz w:val="36"/>
          <w:szCs w:val="36"/>
        </w:rPr>
        <w:t xml:space="preserve">Contexte et enjeux de la mise en production</w:t>
      </w:r>
    </w:p>
    <w:p>
      <w:pPr>
        <w:pStyle w:val="Heading2"/>
        <w:spacing w:before="400" w:after="160"/>
      </w:pPr>
      <w:r>
        <w:rPr>
          <w:rFonts w:ascii="Arial" w:cs="Arial" w:eastAsia="Arial" w:hAnsi="Arial"/>
          <w:b/>
          <w:bCs/>
          <w:color w:val="2E5FA3"/>
          <w:sz w:val="28"/>
          <w:szCs w:val="28"/>
        </w:rPr>
        <w:t xml:space="preserve">2.1  </w:t>
      </w:r>
      <w:r>
        <w:rPr>
          <w:rFonts w:ascii="Arial" w:cs="Arial" w:eastAsia="Arial" w:hAnsi="Arial"/>
          <w:b/>
          <w:bCs/>
          <w:color w:val="2E5FA3"/>
          <w:sz w:val="28"/>
          <w:szCs w:val="28"/>
        </w:rPr>
        <w:t xml:space="preserve">Presentation de l'infrastructure cible</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L'infrastructure cible repose sur un serveur privé virtuel (VPS) Linux mutualisé hébergé chez un fournisseur européen. L'ensemble des composants de la plateforme — API NestJS, frontend React, base de données PostgreSQL+PostGIS, cache Redis, broker MQTT Mosquitto, reverse proxy Caddy — est exécuté sous forme de conteneurs Docker, orchestrés par Docker Compose. Ce choix garantit la reproductibilité des environnements, simplifie la maintenance et prépare une éventuelle migration vers Kubernetes (cible M2).</w:t>
            </w:r>
          </w:p>
          <w:p>
            <w:r>
              <w:t>Trois environnements logiques sont distingués. L'environnement de **développement**, exécuté localement sur le poste du développeur, utilise un fichier Docker Compose dédié avec rechargement à chaud (Vite côté frontend, mode watch côté NestJS). L'environnement de **production** s'appuie sur un fichier `docker-compose.prod.yml` distinct, dont les services exposent des ports internes uniquement (mode « intégration » derrière un reverse proxy existant sur le VPS). Un environnement de **pré-production** (staging) peut être instancié sur un sous-domaine dédié à la demande, à partir des mêmes images.</w:t>
            </w:r>
          </w:p>
          <w:p>
            <w:r>
              <w:t>Les accès au VPS sont restreints au protocole SSH avec authentification par clé. Le réseau interne entre conteneurs est privé : seuls les ports nécessaires sont exposés au reverse proxy. Le service applicatif n'est jamais directement accessible depuis Internet. Les données persistantes (base PostgreSQL) sont stockées dans des volumes Docker nommés, sauvegardés par instantané et archivés hors du serveur.</w:t>
            </w:r>
          </w:p>
        </w:tc>
      </w:tr>
    </w:tbl>
    <w:p>
      <w:pPr>
        <w:spacing w:before="120" w:after="0"/>
      </w:pPr>
      <w:r>
        <w:t xml:space="preserve"/>
      </w:r>
    </w:p>
    <w:p>
      <w:pPr>
        <w:pStyle w:val="Heading2"/>
        <w:spacing w:before="400" w:after="160"/>
      </w:pPr>
      <w:r>
        <w:rPr>
          <w:rFonts w:ascii="Arial" w:cs="Arial" w:eastAsia="Arial" w:hAnsi="Arial"/>
          <w:b/>
          <w:bCs/>
          <w:color w:val="2E5FA3"/>
          <w:sz w:val="28"/>
          <w:szCs w:val="28"/>
        </w:rPr>
        <w:t xml:space="preserve">2.2  </w:t>
      </w:r>
      <w:r>
        <w:rPr>
          <w:rFonts w:ascii="Arial" w:cs="Arial" w:eastAsia="Arial" w:hAnsi="Arial"/>
          <w:b/>
          <w:bCs/>
          <w:color w:val="2E5FA3"/>
          <w:sz w:val="28"/>
          <w:szCs w:val="28"/>
        </w:rPr>
        <w:t xml:space="preserve">Objectifs de niveau de service (SLO / SLA)</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Les objectifs de niveau de service (SLO) ont été définis à partir des exigences non fonctionnelles du cahier des charges et calibrés en fonction de l'usage réel (gestionnaires, agents, citoyens, capteurs IoT).</w:t>
            </w:r>
          </w:p>
          <w:p>
            <w:r>
              <w:t>Disponibilité : la plateforme vise une **disponibilité de 99,5 %** sur une fenêtre mensuelle, soit un budget d'indisponibilité d'environ 3,6 heures par mois. Ce seuil tient compte d'une infrastructure mono-VPS et des fenêtres de maintenance courtes liées aux mises à jour.</w:t>
            </w:r>
          </w:p>
          <w:p>
            <w:r>
              <w:t>Latence des API : **temps de réponse inférieur à 500 ms au 95e centile** sur les routes critiques (carte temps réel, optimisation de tournée). Les requêtes SQL doivent répondre sous 200 ms pour 90 % d'entre elles, garanti par les index GiST (PostGIS) et le cache Redis.</w:t>
            </w:r>
          </w:p>
          <w:p>
            <w:r>
              <w:t>Taux d'erreur : **taux d'erreur applicative inférieur à 1 %** sur 24 heures glissantes. Les erreurs sont définies comme tout code HTTP 5xx renvoyé par l'API.</w:t>
            </w:r>
          </w:p>
          <w:p>
            <w:r>
              <w:t>Temps de déploiement : une mise à jour standard (image reconstruite + redémarrage) doit s'exécuter en **moins de cinq minutes**, validation CI incluse. Ce délai conditionne la rapidité de réaction en cas d'incident.</w:t>
            </w:r>
          </w:p>
          <w:p>
            <w:r>
              <w:t>Budget d'erreur : à partir de l'objectif de 99,5 %, un budget d'erreur mensuel de 0,5 % est défini. Son consommation guide les décisions opérationnelles (mise en pause des évolutions non critiques en cas de consommation excessive).</w:t>
            </w:r>
          </w:p>
        </w:tc>
      </w:tr>
    </w:tbl>
    <w:p>
      <w:pPr>
        <w:spacing w:before="120" w:after="0"/>
      </w:pPr>
      <w:r>
        <w:t xml:space="preserve"/>
      </w:r>
    </w:p>
    <w:p>
      <w:pPr>
        <w:spacing w:before="0" w:after="0"/>
      </w:pPr>
      <w:r>
        <w:rPr>
          <w:sz w:val="40"/>
          <w:szCs w:val="40"/>
        </w:rPr>
        <w:t xml:space="preserve"/>
      </w:r>
    </w:p>
    <w:p>
      <w:pPr>
        <w:pStyle w:val="Heading1"/>
        <w:pBdr>
          <w:bottom w:val="single" w:color="1F3864" w:sz="6" w:space="6"/>
        </w:pBdr>
        <w:spacing w:before="560" w:after="280"/>
      </w:pPr>
      <w:r>
        <w:rPr>
          <w:rFonts w:ascii="Arial" w:cs="Arial" w:eastAsia="Arial" w:hAnsi="Arial"/>
          <w:b/>
          <w:bCs/>
          <w:color w:val="1F3864"/>
          <w:sz w:val="36"/>
          <w:szCs w:val="36"/>
        </w:rPr>
        <w:t xml:space="preserve">3. </w:t>
      </w:r>
      <w:r>
        <w:rPr>
          <w:rFonts w:ascii="Arial" w:cs="Arial" w:eastAsia="Arial" w:hAnsi="Arial"/>
          <w:b/>
          <w:bCs/>
          <w:color w:val="1F3864"/>
          <w:sz w:val="36"/>
          <w:szCs w:val="36"/>
        </w:rPr>
        <w:t xml:space="preserve">Pipeline d'integration et de livraison continues (CI/CD)</w:t>
      </w:r>
    </w:p>
    <w:p>
      <w:pPr>
        <w:pStyle w:val="Heading2"/>
        <w:spacing w:before="400" w:after="160"/>
      </w:pPr>
      <w:r>
        <w:rPr>
          <w:rFonts w:ascii="Arial" w:cs="Arial" w:eastAsia="Arial" w:hAnsi="Arial"/>
          <w:b/>
          <w:bCs/>
          <w:color w:val="2E5FA3"/>
          <w:sz w:val="28"/>
          <w:szCs w:val="28"/>
        </w:rPr>
        <w:t xml:space="preserve">3.1  </w:t>
      </w:r>
      <w:r>
        <w:rPr>
          <w:rFonts w:ascii="Arial" w:cs="Arial" w:eastAsia="Arial" w:hAnsi="Arial"/>
          <w:b/>
          <w:bCs/>
          <w:color w:val="2E5FA3"/>
          <w:sz w:val="28"/>
          <w:szCs w:val="28"/>
        </w:rPr>
        <w:t xml:space="preserve">Architecture du pipeline</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Le pipeline d'intégration et de livraison continues est implémenté avec **GitHub Actions** (fichier `.github/workflows/ci.yml`). Il se déclenche automatiquement sur chaque `push` et chaque `pull_request` ciblant la branche `main`. Le pipeline complet est organisé en trois travaux (jobs) parallélisés, suivis d'un travail dépendant.</w:t>
            </w:r>
          </w:p>
          <w:p>
            <w:r>
              <w:t>Le job **backend** déroule les étapes suivantes : installation déterministe des dépendances (`npm ci`), compilation TypeScript par le CLI NestJS, exécution de la suite Jest avec collecte de couverture, et publication du rapport de couverture comme artefact téléchargeable. Une exécution typique dure environ deux minutes.</w:t>
            </w:r>
          </w:p>
          <w:p>
            <w:r>
              <w:t>Le job **frontend** procède de même : installation, vérification de type via le compilateur TypeScript et build de production via Vite. La sortie est validée mais non publiée (les images sont reconstruites côté serveur lors du déploiement). Durée environ une minute.</w:t>
            </w:r>
          </w:p>
          <w:p>
            <w:r>
              <w:t>Le job **end-to-end (E2E)**, dépendant des deux précédents, démarre la totalité de la pile applicative via `docker compose up -d --build`, attend que l'API et le frontend répondent (sondes HTTP en boucle), installe Playwright et son navigateur Chromium, puis exécute la suite de tests E2E. Le rapport HTML Playwright est publié comme artefact, ainsi que les vidéos de tests en cas d'échec. Durée environ douze minutes en intégration continue.</w:t>
            </w:r>
          </w:p>
          <w:p>
            <w:r>
              <w:t>Critères de passage : chaque étape doit se terminer avec un code de sortie nul. Une fusion sur `main` n'est autorisée que si l'intégralité du pipeline est verte. Les artefacts générés (rapports de couverture, rapport Playwright, journaux des conteneurs en cas d'échec) sont conservés sept jours pour diagnostic.</w:t>
            </w:r>
          </w:p>
        </w:tc>
      </w:tr>
    </w:tbl>
    <w:p>
      <w:pPr>
        <w:spacing w:before="120" w:after="0"/>
      </w:pPr>
      <w:r>
        <w:t xml:space="preserve"/>
      </w:r>
    </w:p>
    <w:p>
      <w:pPr>
        <w:pStyle w:val="Heading2"/>
        <w:spacing w:before="400" w:after="160"/>
      </w:pPr>
      <w:r>
        <w:rPr>
          <w:rFonts w:ascii="Arial" w:cs="Arial" w:eastAsia="Arial" w:hAnsi="Arial"/>
          <w:b/>
          <w:bCs/>
          <w:color w:val="2E5FA3"/>
          <w:sz w:val="28"/>
          <w:szCs w:val="28"/>
        </w:rPr>
        <w:t xml:space="preserve">3.2  </w:t>
      </w:r>
      <w:r>
        <w:rPr>
          <w:rFonts w:ascii="Arial" w:cs="Arial" w:eastAsia="Arial" w:hAnsi="Arial"/>
          <w:b/>
          <w:bCs/>
          <w:color w:val="2E5FA3"/>
          <w:sz w:val="28"/>
          <w:szCs w:val="28"/>
        </w:rPr>
        <w:t xml:space="preserve">Strategie de branching et gouvernance du code</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Le projet adopte une **stratégie de type Trunk-Based Development** : une unique branche longue durée, `main`, qui constitue la source de vérité et la cible de tous les déploiements. Les développements sont réalisés via des branches courtes (un à trois jours en moyenne) intégrées par requête de fusion (pull request).</w:t>
            </w:r>
          </w:p>
          <w:p>
            <w:r>
              <w:t>Ce choix est justifié par la taille réduite de l'équipe, la fréquence de livraison souhaitée et la simplicité de gestion. Une stratégie GitFlow, avec branches `develop`, `release`, `hotfix`, aurait introduit une complexité disproportionnée pour ce périmètre.</w:t>
            </w:r>
          </w:p>
          <w:p>
            <w:r>
              <w:t>Règles de protection de la branche `main` : chaque pull request doit être validée par le pipeline d'intégration continue (jobs backend, frontend, e2e) ; la convention de message de commit suit le standard Conventional Commits (préfixes `feat:`, `fix:`, `docs:`, `chore:`, etc.) pour générer un historique exploitable automatiquement ; les force-push directs sur `main` sont restreints à l'équipe principale et tracés.</w:t>
            </w:r>
          </w:p>
          <w:p>
            <w:r>
              <w:t>Processus de revue : toute modification non triviale passe par une pull request avec description explicite, lien éventuel vers une issue, et au moins une approbation. La revue porte sur la fonctionnalité, la qualité du code (lisibilité, tests), la sécurité (gestion des secrets, validation des entrées) et l'impact opérationnel (migrations, configuration). Le diagramme de la stratégie de branchement est fourni en Annexe A.</w:t>
            </w:r>
          </w:p>
        </w:tc>
      </w:tr>
    </w:tbl>
    <w:p>
      <w:pPr>
        <w:spacing w:before="120" w:after="0"/>
      </w:pPr>
      <w:r>
        <w:t xml:space="preserve"/>
      </w:r>
    </w:p>
    <w:p>
      <w:pPr>
        <w:pStyle w:val="Heading2"/>
        <w:spacing w:before="400" w:after="160"/>
      </w:pPr>
      <w:r>
        <w:rPr>
          <w:rFonts w:ascii="Arial" w:cs="Arial" w:eastAsia="Arial" w:hAnsi="Arial"/>
          <w:b/>
          <w:bCs/>
          <w:color w:val="2E5FA3"/>
          <w:sz w:val="28"/>
          <w:szCs w:val="28"/>
        </w:rPr>
        <w:t xml:space="preserve">3.3  </w:t>
      </w:r>
      <w:r>
        <w:rPr>
          <w:rFonts w:ascii="Arial" w:cs="Arial" w:eastAsia="Arial" w:hAnsi="Arial"/>
          <w:b/>
          <w:bCs/>
          <w:color w:val="2E5FA3"/>
          <w:sz w:val="28"/>
          <w:szCs w:val="28"/>
        </w:rPr>
        <w:t xml:space="preserve">Securite dans le pipeline (DevSecOps)</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La sécurité est intégrée au pipeline de livraison (approche DevSecOps) afin de la traiter en continu plutôt qu'en fin de chaîne.</w:t>
            </w:r>
          </w:p>
          <w:p>
            <w:r>
              <w:t>Gestion des secrets : aucun secret n'est jamais inscrit en clair dans le code ou versionné. La configuration sensible (clés JWT, mot de passe PostgreSQL, jetons d'API) est externalisée dans un fichier `.env` exclu du dépôt par `.gitignore`. Les secrets de production sont générés avec des outils cryptographiques (`openssl rand -hex 32`) et stockés uniquement sur le serveur. Les secrets utilisés par GitHub Actions sont stockés dans le coffre-fort de la plateforme (GitHub Secrets).</w:t>
            </w:r>
          </w:p>
          <w:p>
            <w:r>
              <w:t>Audit des dépendances : la commande `npm audit` est exécutée localement et un suivi continu des vulnérabilités est assuré par les alertes Dependabot de GitHub, configurées pour signaler automatiquement les paquets affectés. Les vulnérabilités critiques sont corrigées sous sept jours, les importantes sous trente jours.</w:t>
            </w:r>
          </w:p>
          <w:p>
            <w:r>
              <w:t>Validation et durcissement applicatif : tous les points d'entrée HTTP valident strictement leurs données via `class-validator` (rejet des champs non déclarés), un mécanisme de limitation de débit (rate limiting) de 100 requêtes par minute et par adresse IP est appliqué globalement, les en-têtes CORS sont restreints, et les communications avec la base de données passent exclusivement par un ORM (requêtes paramétrées).</w:t>
            </w:r>
          </w:p>
          <w:p>
            <w:r>
              <w:t>Audit trail : l'ensemble des opérations sensibles (authentification, modification de rôle, échecs de connexion menant à un verrouillage) est journalisé via le logger NestJS structuré. Les traces horodatées sont centralisées dans les journaux de conteneur, consultables via `docker compose logs`. Évolution prévue : SBOM (Software Bill of Materials) et scan d'image (Trivy) en mise en production M2.</w:t>
            </w:r>
          </w:p>
        </w:tc>
      </w:tr>
    </w:tbl>
    <w:p>
      <w:pPr>
        <w:spacing w:before="120" w:after="0"/>
      </w:pPr>
      <w:r>
        <w:t xml:space="preserve"/>
      </w:r>
    </w:p>
    <w:p>
      <w:pPr>
        <w:spacing w:before="0" w:after="0"/>
      </w:pPr>
      <w:r>
        <w:rPr>
          <w:sz w:val="40"/>
          <w:szCs w:val="40"/>
        </w:rPr>
        <w:t xml:space="preserve"/>
      </w:r>
    </w:p>
    <w:p>
      <w:pPr>
        <w:pStyle w:val="Heading1"/>
        <w:pBdr>
          <w:bottom w:val="single" w:color="1F3864" w:sz="6" w:space="6"/>
        </w:pBdr>
        <w:spacing w:before="560" w:after="280"/>
      </w:pPr>
      <w:r>
        <w:rPr>
          <w:rFonts w:ascii="Arial" w:cs="Arial" w:eastAsia="Arial" w:hAnsi="Arial"/>
          <w:b/>
          <w:bCs/>
          <w:color w:val="1F3864"/>
          <w:sz w:val="36"/>
          <w:szCs w:val="36"/>
        </w:rPr>
        <w:t xml:space="preserve">4. </w:t>
      </w:r>
      <w:r>
        <w:rPr>
          <w:rFonts w:ascii="Arial" w:cs="Arial" w:eastAsia="Arial" w:hAnsi="Arial"/>
          <w:b/>
          <w:bCs/>
          <w:color w:val="1F3864"/>
          <w:sz w:val="36"/>
          <w:szCs w:val="36"/>
        </w:rPr>
        <w:t xml:space="preserve">Strategie de deploiement</w:t>
      </w:r>
    </w:p>
    <w:p>
      <w:pPr>
        <w:pStyle w:val="Heading2"/>
        <w:spacing w:before="400" w:after="160"/>
      </w:pPr>
      <w:r>
        <w:rPr>
          <w:rFonts w:ascii="Arial" w:cs="Arial" w:eastAsia="Arial" w:hAnsi="Arial"/>
          <w:b/>
          <w:bCs/>
          <w:color w:val="2E5FA3"/>
          <w:sz w:val="28"/>
          <w:szCs w:val="28"/>
        </w:rPr>
        <w:t xml:space="preserve">4.1  </w:t>
      </w:r>
      <w:r>
        <w:rPr>
          <w:rFonts w:ascii="Arial" w:cs="Arial" w:eastAsia="Arial" w:hAnsi="Arial"/>
          <w:b/>
          <w:bCs/>
          <w:color w:val="2E5FA3"/>
          <w:sz w:val="28"/>
          <w:szCs w:val="28"/>
        </w:rPr>
        <w:t xml:space="preserve">Architecture des environnements</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Trois environnements sont définis. L'environnement de **développement** s'exécute localement sur le poste du développeur via `docker-compose.yml` : les ports 5173 (frontend Vite) et 3000 (API NestJS) sont exposés sur la machine, les volumes du code source sont montés dans les conteneurs pour activer le rechargement à chaud, et une base de données vide est seedée automatiquement au démarrage avec des données de démonstration (douze secteurs Lyon, cent quarante-quatre conteneurs, comptes types).</w:t>
            </w:r>
          </w:p>
          <w:p>
            <w:r>
              <w:t>L'environnement de **production** est instancié sur un VPS Linux à partir de `docker-compose.prod.yml`. Les images sont construites en mode multi-étapes (image finale légère, sans dépendances de développement). La stack écoute uniquement sur l'interface localhost (`127.0.0.1:8088`) par le reverse proxy interne Caddy, qui route `/api` et `/socket.io` vers l'API et le reste vers le frontend. Le serveur Nginx déjà présent sur le VPS gère le sous-domaine `ecotrack.lorisdev.fr`, le certificat HTTPS (Let's Encrypt via Certbot) et la terminaison TLS, puis relaie le trafic vers le port local de la stack.</w:t>
            </w:r>
          </w:p>
          <w:p>
            <w:r>
              <w:t>Un environnement de **pré-production** (staging) peut être déployé sur un sous-domaine `staging.ecotrack.lorisdev.fr` à partir des mêmes images, pour valider les changements importants avant promotion en production. Cet environnement est piloté par le même processus de déploiement et utilise une base de données distincte.</w:t>
            </w:r>
          </w:p>
          <w:p>
            <w:r>
              <w:t>La configuration de chaque environnement est isolée dans un fichier `.env` non versionné. Les valeurs de production diffèrent par les secrets, le mode de synchronisation du schéma TypeORM et le niveau de verbosité des logs. Toute promotion d'environnement est documentée dans le fichier `DEPLOY.md` du dépôt.</w:t>
            </w:r>
          </w:p>
        </w:tc>
      </w:tr>
    </w:tbl>
    <w:p>
      <w:pPr>
        <w:spacing w:before="120" w:after="0"/>
      </w:pPr>
      <w:r>
        <w:t xml:space="preserve"/>
      </w:r>
    </w:p>
    <w:p>
      <w:pPr>
        <w:pStyle w:val="Heading2"/>
        <w:spacing w:before="400" w:after="160"/>
      </w:pPr>
      <w:r>
        <w:rPr>
          <w:rFonts w:ascii="Arial" w:cs="Arial" w:eastAsia="Arial" w:hAnsi="Arial"/>
          <w:b/>
          <w:bCs/>
          <w:color w:val="2E5FA3"/>
          <w:sz w:val="28"/>
          <w:szCs w:val="28"/>
        </w:rPr>
        <w:t xml:space="preserve">4.2  </w:t>
      </w:r>
      <w:r>
        <w:rPr>
          <w:rFonts w:ascii="Arial" w:cs="Arial" w:eastAsia="Arial" w:hAnsi="Arial"/>
          <w:b/>
          <w:bCs/>
          <w:color w:val="2E5FA3"/>
          <w:sz w:val="28"/>
          <w:szCs w:val="28"/>
        </w:rPr>
        <w:t xml:space="preserve">Deploiement sans interruption de service</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Le maintien de la disponibilité lors des mises à jour repose sur une **stratégie de Rolling Update** pilotée par Docker Compose. Le choix est argumenté par la simplicité opérationnelle et la maîtrise des coûts : sur une infrastructure mono-VPS, le déploiement Blue/Green ou Canary imposerait soit une duplication complète des composants (coût matériel doublé), soit une orchestration tierce (Kubernetes) non justifiée à ce stade du projet.</w:t>
            </w:r>
          </w:p>
          <w:p>
            <w:r>
              <w:t>Procédure de déploiement : (1) récupération du code via `git pull` ; (2) reconstruction des images modifiées via `docker compose -f docker-compose.prod.yml build` ; (3) ré-initialisation progressive des conteneurs par `docker compose up -d`, qui arrête et redémarre les services dans l'ordre de leurs dépendances. La base de données et le broker MQTT ne sont pas recréés sauf modification explicite, préservant les données et l'état d'ingestion.</w:t>
            </w:r>
          </w:p>
          <w:p>
            <w:r>
              <w:t>Procédure de retour arrière : en cas d'incident détecté après un déploiement, un retour en arrière s'effectue par `git checkout` du dernier tag stable suivi d'un nouveau cycle de déploiement. Les images Docker précédentes restant disponibles localement, le redémarrage est immédiat. Le diagramme de la procédure est fourni en Annexe B.</w:t>
            </w:r>
          </w:p>
          <w:p>
            <w:r>
              <w:t>Évolutions envisagées en M2 : passage à un orchestrateur Kubernetes avec déploiement Blue/Green ou Canary géré par Helm, basculement automatisé par tests de fumée (Sanity Check) et observabilité des métriques de service mesh.</w:t>
            </w:r>
          </w:p>
        </w:tc>
      </w:tr>
    </w:tbl>
    <w:p>
      <w:pPr>
        <w:spacing w:before="120" w:after="0"/>
      </w:pPr>
      <w:r>
        <w:t xml:space="preserve"/>
      </w:r>
    </w:p>
    <w:p>
      <w:pPr>
        <w:spacing w:before="0" w:after="0"/>
      </w:pPr>
      <w:r>
        <w:rPr>
          <w:sz w:val="40"/>
          <w:szCs w:val="40"/>
        </w:rPr>
        <w:t xml:space="preserve"/>
      </w:r>
    </w:p>
    <w:p>
      <w:pPr>
        <w:pStyle w:val="Heading1"/>
        <w:pBdr>
          <w:bottom w:val="single" w:color="1F3864" w:sz="6" w:space="6"/>
        </w:pBdr>
        <w:spacing w:before="560" w:after="280"/>
      </w:pPr>
      <w:r>
        <w:rPr>
          <w:rFonts w:ascii="Arial" w:cs="Arial" w:eastAsia="Arial" w:hAnsi="Arial"/>
          <w:b/>
          <w:bCs/>
          <w:color w:val="1F3864"/>
          <w:sz w:val="36"/>
          <w:szCs w:val="36"/>
        </w:rPr>
        <w:t xml:space="preserve">5. </w:t>
      </w:r>
      <w:r>
        <w:rPr>
          <w:rFonts w:ascii="Arial" w:cs="Arial" w:eastAsia="Arial" w:hAnsi="Arial"/>
          <w:b/>
          <w:bCs/>
          <w:color w:val="1F3864"/>
          <w:sz w:val="36"/>
          <w:szCs w:val="36"/>
        </w:rPr>
        <w:t xml:space="preserve">Observabilite et monitoring</w:t>
      </w:r>
    </w:p>
    <w:p>
      <w:pPr>
        <w:pStyle w:val="Heading2"/>
        <w:spacing w:before="400" w:after="160"/>
      </w:pPr>
      <w:r>
        <w:rPr>
          <w:rFonts w:ascii="Arial" w:cs="Arial" w:eastAsia="Arial" w:hAnsi="Arial"/>
          <w:b/>
          <w:bCs/>
          <w:color w:val="2E5FA3"/>
          <w:sz w:val="28"/>
          <w:szCs w:val="28"/>
        </w:rPr>
        <w:t xml:space="preserve">5.1  </w:t>
      </w:r>
      <w:r>
        <w:rPr>
          <w:rFonts w:ascii="Arial" w:cs="Arial" w:eastAsia="Arial" w:hAnsi="Arial"/>
          <w:b/>
          <w:bCs/>
          <w:color w:val="2E5FA3"/>
          <w:sz w:val="28"/>
          <w:szCs w:val="28"/>
        </w:rPr>
        <w:t xml:space="preserve">Stack d'observabilite</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L'observabilité s'appuie sur les trois piliers classiques — métriques, logs et traces — adaptés à l'échelle et aux moyens du projet en M1.</w:t>
            </w:r>
          </w:p>
          <w:p>
            <w:r>
              <w:t>Métriques : un point d'entrée `/health` expose à tout moment l'état du service (statut, horodatage). Les indicateurs RED — Rate (débit), Errors (taux d'erreur), Duration (latence) — sont accessibles via les logs structurés et via la console Docker. L'instrumentation Prometheus (exporteur Node.js, Alertmanager, dashboards Grafana) est planifiée en évolution M2.</w:t>
            </w:r>
          </w:p>
          <w:p>
            <w:r>
              <w:t>Logs : NestJS produit des logs structurés en JSON, horodatés et catégorisés (LOG, WARN, ERROR, DEBUG). Ils sont consultables centralement via `docker compose logs -f backend`. La rotation est gérée par Docker (taille maximale et nombre de fichiers). La centralisation par ELK ou Loki est envisagée en M2 pour des recherches multi-services.</w:t>
            </w:r>
          </w:p>
          <w:p>
            <w:r>
              <w:t>Traces : le traçage distribué (OpenTelemetry vers Jaeger) constitue une évolution M2 ; en M1, l'identifiant de corrélation est porté implicitement par les logs au niveau de chaque requête.</w:t>
            </w:r>
          </w:p>
          <w:p>
            <w:r>
              <w:t>Tableaux de bord et alertes : pour la version M1, le pilotage opérationnel s'effectue via la commande `docker compose ps` (état des services), les sondes du reverse proxy et un suivi visuel de l'application déployée. La mise en place d'Alertmanager (notifications Slack ou PagerDuty sur seuils Prometheus) constitue la première priorité M2. Les captures d'écran représentatives sont fournies en Annexe C.</w:t>
            </w:r>
          </w:p>
        </w:tc>
      </w:tr>
    </w:tbl>
    <w:p>
      <w:pPr>
        <w:spacing w:before="120" w:after="0"/>
      </w:pPr>
      <w:r>
        <w:t xml:space="preserve"/>
      </w:r>
    </w:p>
    <w:p>
      <w:pPr>
        <w:pStyle w:val="Heading2"/>
        <w:spacing w:before="400" w:after="160"/>
      </w:pPr>
      <w:r>
        <w:rPr>
          <w:rFonts w:ascii="Arial" w:cs="Arial" w:eastAsia="Arial" w:hAnsi="Arial"/>
          <w:b/>
          <w:bCs/>
          <w:color w:val="2E5FA3"/>
          <w:sz w:val="28"/>
          <w:szCs w:val="28"/>
        </w:rPr>
        <w:t xml:space="preserve">5.2  </w:t>
      </w:r>
      <w:r>
        <w:rPr>
          <w:rFonts w:ascii="Arial" w:cs="Arial" w:eastAsia="Arial" w:hAnsi="Arial"/>
          <w:b/>
          <w:bCs/>
          <w:color w:val="2E5FA3"/>
          <w:sz w:val="28"/>
          <w:szCs w:val="28"/>
        </w:rPr>
        <w:t xml:space="preserve">Gestion des incidents et runbook operationnel</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Les incidents sont classés selon une grille de sévérité à quatre niveaux, inspirée des pratiques SRE.</w:t>
            </w:r>
          </w:p>
          <w:p>
            <w:r>
              <w:t>P0 — Critique : service indisponible (frontend ou API inaccessibles) ou perte de données. Délai de réponse : immédiat (≤ 15 minutes). Escalade automatique à l'équipe de garde.</w:t>
            </w:r>
          </w:p>
          <w:p>
            <w:r>
              <w:t>P1 — Élevé : fonctionnalité majeure dégradée (carte temps réel KO, optimisation indisponible). Délai de réponse : ≤ 1 heure ouvrée. Mobilisation du responsable technique.</w:t>
            </w:r>
          </w:p>
          <w:p>
            <w:r>
              <w:t>P2 — Moyen : impact partiel ou contournement existant (signalement citoyen lent, badge non débloqué). Délai de réponse : ≤ 4 heures ouvrées.</w:t>
            </w:r>
          </w:p>
          <w:p>
            <w:r>
              <w:t>P3 — Mineur : impact cosmétique ou demande d'évolution. Traité dans le cycle de sprint habituel.</w:t>
            </w:r>
          </w:p>
          <w:p>
            <w:r>
              <w:t>Procédure d'escalade : l'incident est ouvert dans le suivi GitHub Issues avec son niveau de sévérité, le responsable technique évalue la situation à partir des logs et de l'état des conteneurs, applique le runbook approprié, communique l'avancement via le canal d'équipe, et clôt l'incident par un compte rendu (cause racine, action corrective, prévention).</w:t>
            </w:r>
          </w:p>
          <w:p>
            <w:r>
              <w:t>Plan de communication : pour les incidents P0/P1, une communication aux utilisateurs est diffusée sous trente minutes via le canal interne et, le cas échéant, via une bannière en haut de l'application. Le runbook complet est fourni en Annexe D : procédures de redémarrage, restauration d'une sauvegarde PostgreSQL, renouvellement manuel du certificat Let's Encrypt, vidage du cache Redis.</w:t>
            </w:r>
          </w:p>
        </w:tc>
      </w:tr>
    </w:tbl>
    <w:p>
      <w:pPr>
        <w:spacing w:before="120" w:after="0"/>
      </w:pPr>
      <w:r>
        <w:t xml:space="preserve"/>
      </w:r>
    </w:p>
    <w:p>
      <w:pPr>
        <w:spacing w:before="0" w:after="0"/>
      </w:pPr>
      <w:r>
        <w:rPr>
          <w:sz w:val="40"/>
          <w:szCs w:val="40"/>
        </w:rPr>
        <w:t xml:space="preserve"/>
      </w:r>
    </w:p>
    <w:p>
      <w:pPr>
        <w:pStyle w:val="Heading1"/>
        <w:pBdr>
          <w:bottom w:val="single" w:color="1F3864" w:sz="6" w:space="6"/>
        </w:pBdr>
        <w:spacing w:before="560" w:after="280"/>
      </w:pPr>
      <w:r>
        <w:rPr>
          <w:rFonts w:ascii="Arial" w:cs="Arial" w:eastAsia="Arial" w:hAnsi="Arial"/>
          <w:b/>
          <w:bCs/>
          <w:color w:val="1F3864"/>
          <w:sz w:val="36"/>
          <w:szCs w:val="36"/>
        </w:rPr>
        <w:t xml:space="preserve">6. </w:t>
      </w:r>
      <w:r>
        <w:rPr>
          <w:rFonts w:ascii="Arial" w:cs="Arial" w:eastAsia="Arial" w:hAnsi="Arial"/>
          <w:b/>
          <w:bCs/>
          <w:color w:val="1F3864"/>
          <w:sz w:val="36"/>
          <w:szCs w:val="36"/>
        </w:rPr>
        <w:t xml:space="preserve">Gestion du cycle de vie logiciel</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Le versionnage suit la convention **Semantic Versioning (SemVer)** : MAJOR.MINOR.PATCH. L'incrément MAJOR concerne les ruptures de compatibilité d'API, MINOR l'ajout de fonctionnalités rétrocompatibles, et PATCH la correction d'anomalies. La version courante est tracée dans le `package.json` de chaque module et matérialisée par des tags Git annotés.</w:t>
            </w:r>
          </w:p>
          <w:p>
            <w:r>
              <w:t>Changelog : un fichier `CHANGELOG.md` est tenu à jour à partir des messages de commit suivant la convention Conventional Commits. Sa génération est partiellement automatisable via un outil comme `standard-version`, et fait l'objet d'une revue avant chaque tag.</w:t>
            </w:r>
          </w:p>
          <w:p>
            <w:r>
              <w:t>Gestion de la dette technique : la dette identifiée fait l'objet d'un backlog dédié dans GitHub Issues, étiqueté `tech-debt`. Un budget équivalent à environ 15 % de la capacité de sprint y est consacré régulièrement. Les indicateurs de qualité de code (complexité cyclomatique, couverture de tests, duplication) seront automatisés via SonarQube en évolution M2.</w:t>
            </w:r>
          </w:p>
          <w:p>
            <w:r>
              <w:t>Politique de support : la branche `main` constitue la seule version supportée. Les anciens tags restent disponibles à des fins de retour arrière mais ne reçoivent pas de correctifs. Toute mise à jour de dépendance majeure fait l'objet d'une étape de tests renforcés (E2E complets) avant fusion.</w:t>
            </w:r>
          </w:p>
        </w:tc>
      </w:tr>
    </w:tbl>
    <w:p>
      <w:pPr>
        <w:spacing w:before="120" w:after="0"/>
      </w:pPr>
      <w:r>
        <w:t xml:space="preserve"/>
      </w:r>
    </w:p>
    <w:p>
      <w:pPr>
        <w:spacing w:before="0" w:after="0"/>
      </w:pPr>
      <w:r>
        <w:rPr>
          <w:sz w:val="40"/>
          <w:szCs w:val="40"/>
        </w:rPr>
        <w:t xml:space="preserve"/>
      </w:r>
    </w:p>
    <w:p>
      <w:pPr>
        <w:pStyle w:val="Heading1"/>
        <w:pBdr>
          <w:bottom w:val="single" w:color="1F3864" w:sz="6" w:space="6"/>
        </w:pBdr>
        <w:spacing w:before="560" w:after="280"/>
      </w:pPr>
      <w:r>
        <w:rPr>
          <w:rFonts w:ascii="Arial" w:cs="Arial" w:eastAsia="Arial" w:hAnsi="Arial"/>
          <w:b/>
          <w:bCs/>
          <w:color w:val="1F3864"/>
          <w:sz w:val="36"/>
          <w:szCs w:val="36"/>
        </w:rPr>
        <w:t xml:space="preserve">7. </w:t>
      </w:r>
      <w:r>
        <w:rPr>
          <w:rFonts w:ascii="Arial" w:cs="Arial" w:eastAsia="Arial" w:hAnsi="Arial"/>
          <w:b/>
          <w:bCs/>
          <w:color w:val="1F3864"/>
          <w:sz w:val="36"/>
          <w:szCs w:val="36"/>
        </w:rPr>
        <w:t xml:space="preserve">Conclusion et bilan operationnel</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8503"/>
      </w:tblGrid>
      <w:tr>
        <w:tc>
          <w:tcPr>
            <w:tcW w:type="dxa" w:w="8503"/>
            <w:tcBorders>
              <w:top w:val="single" w:color="2E5FA3" w:sz="2"/>
              <w:left w:val="single" w:color="2E5FA3" w:sz="2"/>
              <w:bottom w:val="none" w:color="FFFFFF" w:sz="0"/>
              <w:right w:val="single" w:color="2E5FA3" w:sz="2"/>
            </w:tcBorders>
            <w:shd w:fill="EBF3FB" w:val="clear"/>
            <w:tcMar>
              <w:top w:type="dxa" w:w="60"/>
              <w:left w:type="dxa" w:w="180"/>
              <w:bottom w:type="dxa" w:w="60"/>
              <w:right w:type="dxa" w:w="180"/>
            </w:tcMar>
          </w:tcPr>
          <w:p>
            <w:r>
              <w:t>La plateforme ECOTRACK est aujourd'hui **déployée et fonctionnelle en production** à l'adresse https://ecotrack.lorisdev.fr. Les objectifs de niveau de service sont atteints sur la période d'observation : disponibilité effective de 100 %, temps de réponse des API significativement inférieurs à la cible de 500 ms au 95e centile sur les routes mesurées, et aucun incident critique constaté.</w:t>
            </w:r>
          </w:p>
          <w:p>
            <w:r>
              <w:t>Points forts du pipeline mis en place : la chaîne CI/CD couvre l'intégralité du parcours de validation (unitaires, build, intégration de bout en bout avec la stack réelle), la sécurité est traitée dès la conception (secrets externalisés, audit de dépendances, durcissement applicatif et MFA opt-in pour les rôles sensibles), et la conteneurisation rend l'environnement reproductible et le déploiement rapide.</w:t>
            </w:r>
          </w:p>
          <w:p>
            <w:r>
              <w:t>Axes d'amélioration identifiés pour la phase M2 : passage d'un déploiement Rolling à une stratégie Blue/Green orchestrée par Kubernetes, mise en place d'une observabilité complète (Prometheus, Grafana, Alertmanager, traçage OpenTelemetry), centralisation des logs (Loki ou ELK), automatisation du SBOM et des scans d'image (Trivy), et intégration d'un bus d'événements distribué (Kafka) pour absorber la montée en charge IoT à l'échelle de plusieurs métropoles.</w:t>
            </w:r>
          </w:p>
          <w:p>
            <w:r>
              <w:t>Enseignements de cette expérience DevSecOps : l'investissement initial dans l'automatisation (CI/CD, conteneurisation, gestion des secrets) se rentabilise dès les premières itérations en éliminant les erreurs humaines récurrentes ; la simplicité de l'infrastructure (Docker Compose + reverse proxy Nginx + Certbot) suffit largement au périmètre M1, tout en posant les fondations propres pour la montée en complexité prévue en M2 ; enfin, traiter la sécurité comme une préoccupation transverse plutôt qu'un chantier ultérieur a permis d'intégrer la double authentification et le verrouillage de compte sans régression dans l'expérience utilisateur.</w:t>
            </w:r>
          </w:p>
        </w:tc>
      </w:tr>
    </w:tbl>
    <w:p>
      <w:pPr>
        <w:spacing w:before="120" w:after="0"/>
      </w:pPr>
      <w:r>
        <w:t xml:space="preserve"/>
      </w:r>
    </w:p>
    <w:p>
      <w:pPr>
        <w:pBdr>
          <w:bottom w:val="single" w:color="AAAAAA" w:sz="2" w:space="1"/>
        </w:pBdr>
        <w:spacing w:before="240" w:after="240"/>
      </w:pPr>
      <w:r>
        <w:t xml:space="preserve"/>
      </w:r>
    </w:p>
    <w:p>
      <w:pPr>
        <w:pBdr>
          <w:bottom w:val="single" w:color="AAAAAA" w:sz="2" w:space="1"/>
        </w:pBdr>
        <w:spacing w:before="240" w:after="240"/>
      </w:pPr>
      <w:r>
        <w:t xml:space="preserve"/>
      </w:r>
    </w:p>
    <w:p>
      <w:pPr>
        <w:pStyle w:val="Heading1"/>
        <w:pBdr>
          <w:bottom w:val="single" w:color="1F3864" w:sz="6" w:space="6"/>
        </w:pBdr>
        <w:spacing w:before="560" w:after="280"/>
      </w:pPr>
      <w:r>
        <w:rPr>
          <w:rFonts w:ascii="Arial" w:cs="Arial" w:eastAsia="Arial" w:hAnsi="Arial"/>
          <w:b/>
          <w:bCs/>
          <w:color w:val="1F3864"/>
          <w:sz w:val="36"/>
          <w:szCs w:val="36"/>
        </w:rPr>
        <w:t xml:space="preserve">Modalites. </w:t>
      </w:r>
      <w:r>
        <w:rPr>
          <w:rFonts w:ascii="Arial" w:cs="Arial" w:eastAsia="Arial" w:hAnsi="Arial"/>
          <w:b/>
          <w:bCs/>
          <w:color w:val="1F3864"/>
          <w:sz w:val="36"/>
          <w:szCs w:val="36"/>
        </w:rPr>
        <w:t xml:space="preserve">Volume attendu et instructions de remise</w:t>
      </w:r>
    </w:p>
    <w:p>
      <w:pPr>
        <w:spacing w:before="0" w:after="160" w:line="360"/>
        <w:ind w:firstLine="720"/>
        <w:jc w:val="both"/>
      </w:pPr>
      <w:r>
        <w:rPr>
          <w:rFonts w:ascii="Times New Roman" w:cs="Times New Roman" w:eastAsia="Times New Roman" w:hAnsi="Times New Roman"/>
          <w:sz w:val="24"/>
          <w:szCs w:val="24"/>
        </w:rPr>
        <w:t xml:space="preserve">Le present dossier professionnel doit etre transmis a l'equipe pedagogique dans un delai de deux a quatre semaines avant la date de soutenance, selon le calendrier communique par votre responsable de formation. Tout dossier remis hors delai pourra entrainer le report de la soutenance.</w:t>
      </w:r>
    </w:p>
    <w:p>
      <w:pPr>
        <w:spacing w:before="0" w:after="0"/>
      </w:pPr>
      <w:r>
        <w:rPr>
          <w:sz w:val="20"/>
          <w:szCs w:val="20"/>
        </w:rPr>
        <w:t xml:space="preserve"/>
      </w:r>
    </w:p>
    <w:p>
      <w:pPr>
        <w:spacing w:before="0" w:after="80"/>
      </w:pPr>
      <w:r>
        <w:rPr>
          <w:rFonts w:ascii="Arial" w:cs="Arial" w:eastAsia="Arial" w:hAnsi="Arial"/>
          <w:b/>
          <w:bCs/>
          <w:color w:val="1F3864"/>
          <w:sz w:val="24"/>
          <w:szCs w:val="24"/>
        </w:rPr>
        <w:t xml:space="preserve">Volume minimal attendu : 22 pages hors annexes (maximum conseille : 35 pages)</w:t>
      </w:r>
    </w:p>
    <w:tbl>
      <w:tblPr>
        <w:tblW w:type="dxa" w:w="8503"/>
        <w:tblBorders>
          <w:top w:val="single" w:color="auto" w:sz="4"/>
          <w:left w:val="single" w:color="auto" w:sz="4"/>
          <w:bottom w:val="single" w:color="auto" w:sz="4"/>
          <w:right w:val="single" w:color="auto" w:sz="4"/>
          <w:insideH w:val="single" w:color="auto" w:sz="4"/>
          <w:insideV w:val="single" w:color="auto" w:sz="4"/>
        </w:tblBorders>
      </w:tblPr>
      <w:tblGrid>
        <w:gridCol w:w="5500"/>
        <w:gridCol w:w="1500"/>
        <w:gridCol w:w="1503"/>
      </w:tblGrid>
      <w:tr>
        <w:trPr>
          <w:tblHeader/>
        </w:trPr>
        <w:tc>
          <w:tcPr>
            <w:tcW w:type="dxa" w:w="5500"/>
            <w:tcBorders>
              <w:top w:val="single" w:color="888888" w:sz="2"/>
              <w:left w:val="single" w:color="888888" w:sz="2"/>
              <w:bottom w:val="single" w:color="888888" w:sz="2"/>
              <w:right w:val="single" w:color="888888" w:sz="2"/>
            </w:tcBorders>
            <w:shd w:fill="1F3864" w:val="clear"/>
            <w:tcMar>
              <w:top w:type="dxa" w:w="80"/>
              <w:left w:type="dxa" w:w="140"/>
              <w:bottom w:type="dxa" w:w="80"/>
              <w:right w:type="dxa" w:w="140"/>
            </w:tcMar>
          </w:tcPr>
          <w:p>
            <w:r>
              <w:rPr>
                <w:rFonts w:ascii="Arial" w:cs="Arial" w:eastAsia="Arial" w:hAnsi="Arial"/>
                <w:b/>
                <w:bCs/>
                <w:color w:val="FFFFFF"/>
                <w:sz w:val="20"/>
                <w:szCs w:val="20"/>
              </w:rPr>
              <w:t xml:space="preserve">Chapitre</w:t>
            </w:r>
          </w:p>
        </w:tc>
        <w:tc>
          <w:tcPr>
            <w:tcW w:type="dxa" w:w="1500"/>
            <w:tcBorders>
              <w:top w:val="single" w:color="888888" w:sz="2"/>
              <w:left w:val="single" w:color="888888" w:sz="2"/>
              <w:bottom w:val="single" w:color="888888" w:sz="2"/>
              <w:right w:val="single" w:color="888888" w:sz="2"/>
            </w:tcBorders>
            <w:shd w:fill="1F3864" w:val="clear"/>
            <w:tcMar>
              <w:top w:type="dxa" w:w="80"/>
              <w:left w:type="dxa" w:w="80"/>
              <w:bottom w:type="dxa" w:w="80"/>
              <w:right w:type="dxa" w:w="80"/>
            </w:tcMar>
          </w:tcPr>
          <w:p>
            <w:pPr>
              <w:jc w:val="center"/>
            </w:pPr>
            <w:r>
              <w:rPr>
                <w:rFonts w:ascii="Arial" w:cs="Arial" w:eastAsia="Arial" w:hAnsi="Arial"/>
                <w:b/>
                <w:bCs/>
                <w:color w:val="FFFFFF"/>
                <w:sz w:val="20"/>
                <w:szCs w:val="20"/>
              </w:rPr>
              <w:t xml:space="preserve">Min.</w:t>
            </w:r>
          </w:p>
        </w:tc>
        <w:tc>
          <w:tcPr>
            <w:tcW w:type="dxa" w:w="1503"/>
            <w:tcBorders>
              <w:top w:val="single" w:color="888888" w:sz="2"/>
              <w:left w:val="single" w:color="888888" w:sz="2"/>
              <w:bottom w:val="single" w:color="888888" w:sz="2"/>
              <w:right w:val="single" w:color="888888" w:sz="2"/>
            </w:tcBorders>
            <w:shd w:fill="1F3864" w:val="clear"/>
            <w:tcMar>
              <w:top w:type="dxa" w:w="80"/>
              <w:left w:type="dxa" w:w="80"/>
              <w:bottom w:type="dxa" w:w="80"/>
              <w:right w:type="dxa" w:w="80"/>
            </w:tcMar>
          </w:tcPr>
          <w:p>
            <w:pPr>
              <w:jc w:val="center"/>
            </w:pPr>
            <w:r>
              <w:rPr>
                <w:rFonts w:ascii="Arial" w:cs="Arial" w:eastAsia="Arial" w:hAnsi="Arial"/>
                <w:b/>
                <w:bCs/>
                <w:color w:val="FFFFFF"/>
                <w:sz w:val="20"/>
                <w:szCs w:val="20"/>
              </w:rPr>
              <w:t xml:space="preserve">Max.</w:t>
            </w:r>
          </w:p>
        </w:tc>
      </w:tr>
      <w:tr>
        <w:tc>
          <w:tcPr>
            <w:tcW w:type="dxa" w:w="5500"/>
            <w:tcBorders>
              <w:top w:val="single" w:color="CCCCCC" w:sz="1"/>
              <w:left w:val="single" w:color="888888" w:sz="2"/>
              <w:bottom w:val="single" w:color="CCCCCC" w:sz="1"/>
              <w:right w:val="single" w:color="CCCCCC" w:sz="1"/>
            </w:tcBorders>
            <w:shd w:fill="FFFFFF" w:val="clear"/>
            <w:tcMar>
              <w:top w:type="dxa" w:w="60"/>
              <w:left w:type="dxa" w:w="140"/>
              <w:bottom w:type="dxa" w:w="60"/>
              <w:right w:type="dxa" w:w="140"/>
            </w:tcMar>
          </w:tcPr>
          <w:p>
            <w:r>
              <w:rPr>
                <w:rFonts w:ascii="Times New Roman" w:cs="Times New Roman" w:eastAsia="Times New Roman" w:hAnsi="Times New Roman"/>
                <w:sz w:val="20"/>
                <w:szCs w:val="20"/>
              </w:rPr>
              <w:t xml:space="preserve">Introduction — Contexte et problematique</w:t>
            </w:r>
          </w:p>
        </w:tc>
        <w:tc>
          <w:tcPr>
            <w:tcW w:type="dxa" w:w="15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1p</w:t>
            </w:r>
          </w:p>
        </w:tc>
        <w:tc>
          <w:tcPr>
            <w:tcW w:type="dxa" w:w="1503"/>
            <w:tcBorders>
              <w:top w:val="single" w:color="CCCCCC" w:sz="1"/>
              <w:left w:val="single" w:color="CCCCCC" w:sz="1"/>
              <w:bottom w:val="single" w:color="CCCCCC" w:sz="1"/>
              <w:right w:val="single" w:color="888888" w:sz="2"/>
            </w:tcBorders>
            <w:shd w:fill="FFFFFF"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2p</w:t>
            </w:r>
          </w:p>
        </w:tc>
      </w:tr>
      <w:tr>
        <w:tc>
          <w:tcPr>
            <w:tcW w:type="dxa" w:w="5500"/>
            <w:tcBorders>
              <w:top w:val="single" w:color="CCCCCC" w:sz="1"/>
              <w:left w:val="single" w:color="888888" w:sz="2"/>
              <w:bottom w:val="single" w:color="CCCCCC" w:sz="1"/>
              <w:right w:val="single" w:color="CCCCCC" w:sz="1"/>
            </w:tcBorders>
            <w:shd w:fill="F7FAFE" w:val="clear"/>
            <w:tcMar>
              <w:top w:type="dxa" w:w="60"/>
              <w:left w:type="dxa" w:w="140"/>
              <w:bottom w:type="dxa" w:w="60"/>
              <w:right w:type="dxa" w:w="140"/>
            </w:tcMar>
          </w:tcPr>
          <w:p>
            <w:r>
              <w:rPr>
                <w:rFonts w:ascii="Times New Roman" w:cs="Times New Roman" w:eastAsia="Times New Roman" w:hAnsi="Times New Roman"/>
                <w:sz w:val="20"/>
                <w:szCs w:val="20"/>
              </w:rPr>
              <w:t xml:space="preserve">Chapitre 2 — Contexte et enjeux de la mise en production</w:t>
            </w:r>
          </w:p>
        </w:tc>
        <w:tc>
          <w:tcPr>
            <w:tcW w:type="dxa" w:w="1500"/>
            <w:tcBorders>
              <w:top w:val="single" w:color="CCCCCC" w:sz="1"/>
              <w:left w:val="single" w:color="CCCCCC" w:sz="1"/>
              <w:bottom w:val="single" w:color="CCCCCC" w:sz="1"/>
              <w:right w:val="single" w:color="CCCCCC" w:sz="1"/>
            </w:tcBorders>
            <w:shd w:fill="F7FAFE"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2p</w:t>
            </w:r>
          </w:p>
        </w:tc>
        <w:tc>
          <w:tcPr>
            <w:tcW w:type="dxa" w:w="1503"/>
            <w:tcBorders>
              <w:top w:val="single" w:color="CCCCCC" w:sz="1"/>
              <w:left w:val="single" w:color="CCCCCC" w:sz="1"/>
              <w:bottom w:val="single" w:color="CCCCCC" w:sz="1"/>
              <w:right w:val="single" w:color="888888" w:sz="2"/>
            </w:tcBorders>
            <w:shd w:fill="F7FAFE"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4p</w:t>
            </w:r>
          </w:p>
        </w:tc>
      </w:tr>
      <w:tr>
        <w:tc>
          <w:tcPr>
            <w:tcW w:type="dxa" w:w="5500"/>
            <w:tcBorders>
              <w:top w:val="single" w:color="CCCCCC" w:sz="1"/>
              <w:left w:val="single" w:color="888888" w:sz="2"/>
              <w:bottom w:val="single" w:color="CCCCCC" w:sz="1"/>
              <w:right w:val="single" w:color="CCCCCC" w:sz="1"/>
            </w:tcBorders>
            <w:shd w:fill="FFFFFF" w:val="clear"/>
            <w:tcMar>
              <w:top w:type="dxa" w:w="60"/>
              <w:left w:type="dxa" w:w="140"/>
              <w:bottom w:type="dxa" w:w="60"/>
              <w:right w:type="dxa" w:w="140"/>
            </w:tcMar>
          </w:tcPr>
          <w:p>
            <w:r>
              <w:rPr>
                <w:rFonts w:ascii="Times New Roman" w:cs="Times New Roman" w:eastAsia="Times New Roman" w:hAnsi="Times New Roman"/>
                <w:sz w:val="20"/>
                <w:szCs w:val="20"/>
              </w:rPr>
              <w:t xml:space="preserve">Chapitre 3 — Pipeline CI/CD</w:t>
            </w:r>
          </w:p>
        </w:tc>
        <w:tc>
          <w:tcPr>
            <w:tcW w:type="dxa" w:w="15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5p</w:t>
            </w:r>
          </w:p>
        </w:tc>
        <w:tc>
          <w:tcPr>
            <w:tcW w:type="dxa" w:w="1503"/>
            <w:tcBorders>
              <w:top w:val="single" w:color="CCCCCC" w:sz="1"/>
              <w:left w:val="single" w:color="CCCCCC" w:sz="1"/>
              <w:bottom w:val="single" w:color="CCCCCC" w:sz="1"/>
              <w:right w:val="single" w:color="888888" w:sz="2"/>
            </w:tcBorders>
            <w:shd w:fill="FFFFFF"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8p</w:t>
            </w:r>
          </w:p>
        </w:tc>
      </w:tr>
      <w:tr>
        <w:tc>
          <w:tcPr>
            <w:tcW w:type="dxa" w:w="5500"/>
            <w:tcBorders>
              <w:top w:val="single" w:color="CCCCCC" w:sz="1"/>
              <w:left w:val="single" w:color="888888" w:sz="2"/>
              <w:bottom w:val="single" w:color="CCCCCC" w:sz="1"/>
              <w:right w:val="single" w:color="CCCCCC" w:sz="1"/>
            </w:tcBorders>
            <w:shd w:fill="F7FAFE" w:val="clear"/>
            <w:tcMar>
              <w:top w:type="dxa" w:w="60"/>
              <w:left w:type="dxa" w:w="140"/>
              <w:bottom w:type="dxa" w:w="60"/>
              <w:right w:type="dxa" w:w="140"/>
            </w:tcMar>
          </w:tcPr>
          <w:p>
            <w:r>
              <w:rPr>
                <w:rFonts w:ascii="Times New Roman" w:cs="Times New Roman" w:eastAsia="Times New Roman" w:hAnsi="Times New Roman"/>
                <w:sz w:val="20"/>
                <w:szCs w:val="20"/>
              </w:rPr>
              <w:t xml:space="preserve">Chapitre 4 — Strategie de deploiement</w:t>
            </w:r>
          </w:p>
        </w:tc>
        <w:tc>
          <w:tcPr>
            <w:tcW w:type="dxa" w:w="1500"/>
            <w:tcBorders>
              <w:top w:val="single" w:color="CCCCCC" w:sz="1"/>
              <w:left w:val="single" w:color="CCCCCC" w:sz="1"/>
              <w:bottom w:val="single" w:color="CCCCCC" w:sz="1"/>
              <w:right w:val="single" w:color="CCCCCC" w:sz="1"/>
            </w:tcBorders>
            <w:shd w:fill="F7FAFE"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4p</w:t>
            </w:r>
          </w:p>
        </w:tc>
        <w:tc>
          <w:tcPr>
            <w:tcW w:type="dxa" w:w="1503"/>
            <w:tcBorders>
              <w:top w:val="single" w:color="CCCCCC" w:sz="1"/>
              <w:left w:val="single" w:color="CCCCCC" w:sz="1"/>
              <w:bottom w:val="single" w:color="CCCCCC" w:sz="1"/>
              <w:right w:val="single" w:color="888888" w:sz="2"/>
            </w:tcBorders>
            <w:shd w:fill="F7FAFE"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6p</w:t>
            </w:r>
          </w:p>
        </w:tc>
      </w:tr>
      <w:tr>
        <w:tc>
          <w:tcPr>
            <w:tcW w:type="dxa" w:w="5500"/>
            <w:tcBorders>
              <w:top w:val="single" w:color="CCCCCC" w:sz="1"/>
              <w:left w:val="single" w:color="888888" w:sz="2"/>
              <w:bottom w:val="single" w:color="CCCCCC" w:sz="1"/>
              <w:right w:val="single" w:color="CCCCCC" w:sz="1"/>
            </w:tcBorders>
            <w:shd w:fill="FFFFFF" w:val="clear"/>
            <w:tcMar>
              <w:top w:type="dxa" w:w="60"/>
              <w:left w:type="dxa" w:w="140"/>
              <w:bottom w:type="dxa" w:w="60"/>
              <w:right w:type="dxa" w:w="140"/>
            </w:tcMar>
          </w:tcPr>
          <w:p>
            <w:r>
              <w:rPr>
                <w:rFonts w:ascii="Times New Roman" w:cs="Times New Roman" w:eastAsia="Times New Roman" w:hAnsi="Times New Roman"/>
                <w:sz w:val="20"/>
                <w:szCs w:val="20"/>
              </w:rPr>
              <w:t xml:space="preserve">Chapitre 5 — Observabilite et monitoring</w:t>
            </w:r>
          </w:p>
        </w:tc>
        <w:tc>
          <w:tcPr>
            <w:tcW w:type="dxa" w:w="15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4p</w:t>
            </w:r>
          </w:p>
        </w:tc>
        <w:tc>
          <w:tcPr>
            <w:tcW w:type="dxa" w:w="1503"/>
            <w:tcBorders>
              <w:top w:val="single" w:color="CCCCCC" w:sz="1"/>
              <w:left w:val="single" w:color="CCCCCC" w:sz="1"/>
              <w:bottom w:val="single" w:color="CCCCCC" w:sz="1"/>
              <w:right w:val="single" w:color="888888" w:sz="2"/>
            </w:tcBorders>
            <w:shd w:fill="FFFFFF"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6p</w:t>
            </w:r>
          </w:p>
        </w:tc>
      </w:tr>
      <w:tr>
        <w:tc>
          <w:tcPr>
            <w:tcW w:type="dxa" w:w="5500"/>
            <w:tcBorders>
              <w:top w:val="single" w:color="CCCCCC" w:sz="1"/>
              <w:left w:val="single" w:color="888888" w:sz="2"/>
              <w:bottom w:val="single" w:color="CCCCCC" w:sz="1"/>
              <w:right w:val="single" w:color="CCCCCC" w:sz="1"/>
            </w:tcBorders>
            <w:shd w:fill="F7FAFE" w:val="clear"/>
            <w:tcMar>
              <w:top w:type="dxa" w:w="60"/>
              <w:left w:type="dxa" w:w="140"/>
              <w:bottom w:type="dxa" w:w="60"/>
              <w:right w:type="dxa" w:w="140"/>
            </w:tcMar>
          </w:tcPr>
          <w:p>
            <w:r>
              <w:rPr>
                <w:rFonts w:ascii="Times New Roman" w:cs="Times New Roman" w:eastAsia="Times New Roman" w:hAnsi="Times New Roman"/>
                <w:sz w:val="20"/>
                <w:szCs w:val="20"/>
              </w:rPr>
              <w:t xml:space="preserve">Chapitre 6 — Gestion du cycle de vie logiciel</w:t>
            </w:r>
          </w:p>
        </w:tc>
        <w:tc>
          <w:tcPr>
            <w:tcW w:type="dxa" w:w="1500"/>
            <w:tcBorders>
              <w:top w:val="single" w:color="CCCCCC" w:sz="1"/>
              <w:left w:val="single" w:color="CCCCCC" w:sz="1"/>
              <w:bottom w:val="single" w:color="CCCCCC" w:sz="1"/>
              <w:right w:val="single" w:color="CCCCCC" w:sz="1"/>
            </w:tcBorders>
            <w:shd w:fill="F7FAFE"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2p</w:t>
            </w:r>
          </w:p>
        </w:tc>
        <w:tc>
          <w:tcPr>
            <w:tcW w:type="dxa" w:w="1503"/>
            <w:tcBorders>
              <w:top w:val="single" w:color="CCCCCC" w:sz="1"/>
              <w:left w:val="single" w:color="CCCCCC" w:sz="1"/>
              <w:bottom w:val="single" w:color="CCCCCC" w:sz="1"/>
              <w:right w:val="single" w:color="888888" w:sz="2"/>
            </w:tcBorders>
            <w:shd w:fill="F7FAFE"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4p</w:t>
            </w:r>
          </w:p>
        </w:tc>
      </w:tr>
      <w:tr>
        <w:tc>
          <w:tcPr>
            <w:tcW w:type="dxa" w:w="5500"/>
            <w:tcBorders>
              <w:top w:val="single" w:color="CCCCCC" w:sz="1"/>
              <w:left w:val="single" w:color="888888" w:sz="2"/>
              <w:bottom w:val="single" w:color="CCCCCC" w:sz="1"/>
              <w:right w:val="single" w:color="CCCCCC" w:sz="1"/>
            </w:tcBorders>
            <w:shd w:fill="FFFFFF" w:val="clear"/>
            <w:tcMar>
              <w:top w:type="dxa" w:w="60"/>
              <w:left w:type="dxa" w:w="140"/>
              <w:bottom w:type="dxa" w:w="60"/>
              <w:right w:type="dxa" w:w="140"/>
            </w:tcMar>
          </w:tcPr>
          <w:p>
            <w:r>
              <w:rPr>
                <w:rFonts w:ascii="Times New Roman" w:cs="Times New Roman" w:eastAsia="Times New Roman" w:hAnsi="Times New Roman"/>
                <w:sz w:val="20"/>
                <w:szCs w:val="20"/>
              </w:rPr>
              <w:t xml:space="preserve">Chapitre 7 — Conclusion et bilan operationnel</w:t>
            </w:r>
          </w:p>
        </w:tc>
        <w:tc>
          <w:tcPr>
            <w:tcW w:type="dxa" w:w="15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1p</w:t>
            </w:r>
          </w:p>
        </w:tc>
        <w:tc>
          <w:tcPr>
            <w:tcW w:type="dxa" w:w="1503"/>
            <w:tcBorders>
              <w:top w:val="single" w:color="CCCCCC" w:sz="1"/>
              <w:left w:val="single" w:color="CCCCCC" w:sz="1"/>
              <w:bottom w:val="single" w:color="CCCCCC" w:sz="1"/>
              <w:right w:val="single" w:color="888888" w:sz="2"/>
            </w:tcBorders>
            <w:shd w:fill="FFFFFF" w:val="clear"/>
            <w:tcMar>
              <w:top w:type="dxa" w:w="60"/>
              <w:left w:type="dxa" w:w="80"/>
              <w:bottom w:type="dxa" w:w="60"/>
              <w:right w:type="dxa" w:w="80"/>
            </w:tcMar>
          </w:tcPr>
          <w:p>
            <w:pPr>
              <w:jc w:val="center"/>
            </w:pPr>
            <w:r>
              <w:rPr>
                <w:rFonts w:ascii="Times New Roman" w:cs="Times New Roman" w:eastAsia="Times New Roman" w:hAnsi="Times New Roman"/>
                <w:sz w:val="20"/>
                <w:szCs w:val="20"/>
              </w:rPr>
              <w:t xml:space="preserve">2p</w:t>
            </w:r>
          </w:p>
        </w:tc>
      </w:tr>
      <w:tr>
        <w:tc>
          <w:tcPr>
            <w:tcW w:type="dxa" w:w="8503"/>
            <w:gridSpan w:val="3"/>
            <w:tcBorders>
              <w:top w:val="single" w:color="888888" w:sz="2"/>
              <w:left w:val="single" w:color="888888" w:sz="2"/>
              <w:bottom w:val="single" w:color="888888" w:sz="2"/>
              <w:right w:val="single" w:color="888888" w:sz="2"/>
            </w:tcBorders>
            <w:shd w:fill="EBF3FB" w:val="clear"/>
            <w:tcMar>
              <w:top w:type="dxa" w:w="80"/>
              <w:left w:type="dxa" w:w="140"/>
              <w:bottom w:type="dxa" w:w="80"/>
              <w:right w:type="dxa" w:w="140"/>
            </w:tcMar>
          </w:tcPr>
          <w:p>
            <w:r>
              <w:rPr>
                <w:rFonts w:ascii="Arial" w:cs="Arial" w:eastAsia="Arial" w:hAnsi="Arial"/>
                <w:b/>
                <w:bCs/>
                <w:color w:val="1F3864"/>
                <w:sz w:val="20"/>
                <w:szCs w:val="20"/>
              </w:rPr>
              <w:t xml:space="preserve">TOTAL hors annexes : </w:t>
            </w:r>
            <w:r>
              <w:rPr>
                <w:rFonts w:ascii="Times New Roman" w:cs="Times New Roman" w:eastAsia="Times New Roman" w:hAnsi="Times New Roman"/>
                <w:b/>
                <w:bCs/>
                <w:sz w:val="20"/>
                <w:szCs w:val="20"/>
              </w:rPr>
              <w:t xml:space="preserve">22 pages minimum — 35 pages maximum conseille</w:t>
            </w:r>
          </w:p>
        </w:tc>
      </w:tr>
    </w:tbl>
    <w:p>
      <w:pPr>
        <w:spacing w:before="0" w:after="0"/>
      </w:pPr>
      <w:r>
        <w:rPr>
          <w:sz w:val="40"/>
          <w:szCs w:val="40"/>
        </w:rPr>
        <w:t xml:space="preserve"/>
      </w:r>
    </w:p>
    <w:p>
      <w:pPr>
        <w:spacing w:before="0" w:after="160" w:line="360"/>
        <w:jc w:val="both"/>
      </w:pPr>
      <w:r>
        <w:rPr>
          <w:rFonts w:ascii="Times New Roman" w:cs="Times New Roman" w:eastAsia="Times New Roman" w:hAnsi="Times New Roman"/>
          <w:sz w:val="24"/>
          <w:szCs w:val="24"/>
        </w:rPr>
        <w:t xml:space="preserve">Le document doit etre soumis en format PDF natif, nomme selon la convention suivante :</w:t>
      </w:r>
    </w:p>
    <w:p>
      <w:pPr>
        <w:spacing w:before="80" w:after="80"/>
        <w:ind w:left="720"/>
      </w:pPr>
      <w:r>
        <w:rPr>
          <w:rFonts w:ascii="Courier New" w:cs="Courier New" w:eastAsia="Courier New" w:hAnsi="Courier New"/>
          <w:b/>
          <w:bCs/>
          <w:color w:val="2E5FA3"/>
          <w:sz w:val="24"/>
          <w:szCs w:val="24"/>
        </w:rPr>
        <w:t xml:space="preserve">NOM_Prenom_BLOC[N]_[SPECIALITE]_[ANNEE].pdf</w:t>
      </w:r>
    </w:p>
    <w:p>
      <w:pPr>
        <w:spacing w:before="0" w:after="160" w:line="360"/>
        <w:ind w:firstLine="720"/>
        <w:jc w:val="both"/>
      </w:pPr>
      <w:r>
        <w:rPr>
          <w:rFonts w:ascii="Times New Roman" w:cs="Times New Roman" w:eastAsia="Times New Roman" w:hAnsi="Times New Roman"/>
          <w:sz w:val="24"/>
          <w:szCs w:val="24"/>
        </w:rPr>
        <w:t xml:space="preserve">Les annexes (code source, captures d'ecran, certificats, rapports d'outils) doivent etre numerotees et referenciees dans le corps du texte. Elles ne sont pas comptabilisees dans le volume ci-dessus. La qualite de l'argumentation et la rigueur de l'analyse priment sur le volume.</w:t>
      </w:r>
    </w:p>
    <w:p>
      <w:pPr>
        <w:spacing w:before="0" w:after="160" w:line="360"/>
        <w:ind w:firstLine="720"/>
        <w:jc w:val="both"/>
      </w:pPr>
      <w:r>
        <w:rPr>
          <w:rFonts w:ascii="Times New Roman" w:cs="Times New Roman" w:eastAsia="Times New Roman" w:hAnsi="Times New Roman"/>
          <w:sz w:val="24"/>
          <w:szCs w:val="24"/>
        </w:rPr>
        <w:t xml:space="preserve">Les deux competences transversales — maitrise de l'anglais technique et integration des principes du numerique responsable — doivent etre demonstrees dans l'ensemble du dossier et lors de la soutenance orale.</w:t>
      </w:r>
    </w:p>
    <w:p>
      <w:pPr>
        <w:spacing w:before="0" w:after="0"/>
      </w:pPr>
      <w:r>
        <w:rPr>
          <w:sz w:val="40"/>
          <w:szCs w:val="40"/>
        </w:rPr>
        <w:t xml:space="preserve"/>
      </w:r>
    </w:p>
    <w:p>
      <w:r>
        <w:br w:type="page"/>
      </w:r>
    </w:p>
    <w:sectPr>
      <w:pgSz w:w="11906" w:h="16838" w:orient="portrait"/>
      <w:pgMar w:top="1701" w:right="1418" w:bottom="1701" w:left="198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560" w:after="280"/>
      <w:outlineLvl w:val="0"/>
    </w:pPr>
    <w:rPr>
      <w:rFonts w:ascii="Arial" w:cs="Arial" w:eastAsia="Arial" w:hAnsi="Arial"/>
      <w:b/>
      <w:bCs/>
      <w:color w:val="1F3864"/>
      <w:sz w:val="36"/>
      <w:szCs w:val="36"/>
    </w:rPr>
  </w:style>
  <w:style w:type="paragraph" w:styleId="Heading2">
    <w:name w:val="Heading 2"/>
    <w:basedOn w:val="Normal"/>
    <w:next w:val="Normal"/>
    <w:qFormat/>
    <w:pPr>
      <w:spacing w:before="400" w:after="160"/>
      <w:outlineLvl w:val="1"/>
    </w:pPr>
    <w:rPr>
      <w:rFonts w:ascii="Arial" w:cs="Arial" w:eastAsia="Arial" w:hAnsi="Arial"/>
      <w:b/>
      <w:bCs/>
      <w:color w:val="2E5FA3"/>
      <w:sz w:val="28"/>
      <w:szCs w:val="28"/>
    </w:rPr>
  </w:style>
  <w:style w:type="paragraph" w:styleId="Heading3">
    <w:name w:val="Heading 3"/>
    <w:basedOn w:val="Normal"/>
    <w:next w:val="Normal"/>
    <w:qFormat/>
    <w:pPr>
      <w:spacing w:before="280" w:after="8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2026-03-30T08:25:31.393Z</dcterms:created>
  <dcterms:modified xsi:type="dcterms:W3CDTF">2026-03-30T08:25:31.393Z</dcterms:modified>
</cp:coreProperties>
</file>

<file path=docProps/custom.xml><?xml version="1.0" encoding="utf-8"?>
<Properties xmlns="http://schemas.openxmlformats.org/officeDocument/2006/custom-properties" xmlns:vt="http://schemas.openxmlformats.org/officeDocument/2006/docPropsVTypes"/>
</file>