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C55A11" w:sz="4" w:space="8"/>
          <w:bottom w:val="single" w:color="C55A11" w:sz="4" w:space="8"/>
        </w:pBdr>
        <w:shd w:fill="F0F5FF" w:val="clear"/>
        <w:spacing w:before="200" w:after="0"/>
        <w:jc w:val="center"/>
      </w:pPr>
      <w:r>
        <w:rPr>
          <w:rFonts w:ascii="Arial" w:cs="Arial" w:eastAsia="Arial" w:hAnsi="Arial"/>
          <w:b/>
          <w:bCs/>
          <w:color w:val="C55A11"/>
          <w:sz w:val="40"/>
          <w:szCs w:val="40"/>
        </w:rPr>
        <w:t xml:space="preserve">BLOC 3 — </w:t>
      </w:r>
      <w:r>
        <w:rPr>
          <w:rFonts w:ascii="Arial" w:cs="Arial" w:eastAsia="Arial" w:hAnsi="Arial"/>
          <w:b/>
          <w:bCs/>
          <w:color w:val="1F3864"/>
          <w:sz w:val="40"/>
          <w:szCs w:val="40"/>
        </w:rPr>
        <w:t xml:space="preserve">PILOTER LA MISE EN PRODUCTION</w:t>
      </w:r>
    </w:p>
    <w:p>
      <w:pPr>
        <w:spacing w:before="20" w:after="200"/>
        <w:jc w:val="center"/>
      </w:pPr>
      <w:r>
        <w:rPr>
          <w:rFonts w:ascii="Arial" w:cs="Arial" w:eastAsia="Arial" w:hAnsi="Arial"/>
          <w:i/>
          <w:iCs/>
          <w:color w:val="444444"/>
          <w:sz w:val="26"/>
          <w:szCs w:val="26"/>
        </w:rPr>
        <w:t xml:space="preserve">Specialite : Developpement Logiciel</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2026-2027</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3</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Ce dossier traite de la mise en oeuvre des pratiques DevSecOps et de la gestion du cycle de vie en production de la solution applicative developpee en Mastere 1. Il retrace la conception du pipeline d'integration et de livraison continues, la strategie de deploiement, la mise en place de l'observabilite et les pratiques de securisation en production.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Contexte et enjeux de la mise en production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 contexte de production : organisation, environnements, contraintes de disponibilite et objectifs de niveau de service (SLO). Ce chapitre est a rediger en prose argumentee.</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Presentation de l'infrastructure cible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l'infrastructure : cloud provider, container orchestration, environnements (dev / staging / production), acces et securite des environnements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Objectifs de niveau de service (SLO / SLA)</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Definissez les indicateurs de service que vous vous engagez a respecter (disponibilite, temps de reponse, taux d'erreur). Argumentez le choix de ces seuils.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Definition et argumentation des SLO : disponibilite, latence P95, taux d'erreur, temps de deploiement, budget d'erreur</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Pipeline d'integration et de livraison continues (CI/CD)</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la conception et l'implementation de votre pipeline CI/CD. Joignez les fichiers de configuration (YAML) en Annexe et referenciez-les dans le texte. Chaque etape doit etre justifiee.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Architecture du pipeline</w:t>
      </w:r>
    </w:p>
    <w:p>
      <w:pPr>
        <w:spacing w:before="0" w:after="160" w:line="360"/>
        <w:ind w:firstLine="720"/>
        <w:jc w:val="both"/>
      </w:pPr>
      <w:r>
        <w:rPr>
          <w:rFonts w:ascii="Times New Roman" w:cs="Times New Roman" w:eastAsia="Times New Roman" w:hAnsi="Times New Roman"/>
          <w:sz w:val="24"/>
          <w:szCs w:val="24"/>
        </w:rPr>
        <w:t xml:space="preserve">Le pipeline CI/CD constitue la colonne vertebrale du processus de livraison logicielle. Il garantit que chaque modification de code est automatiquement verifiee, testee et potentiellement deployee, reduisant les risques d'introduction de regressions ou de vulnerabilites en production.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detaillee des etapes du pipeline : build, tests unitaires, tests d'integration, analyse de securite (SAST/DAST), construction de l'image Docker, push vers le registre, deploiement staging, tests E2E, deploiement production — pour chaque etape : outil utilise, condition de passage, duree moyenne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Strategie de branching et gouvernance du code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votre strategie de gestion des branches (GitFlow, Trunk-Based Development...) et les regles de protection associees (revue de code, quality gates, verifications de statut).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de branching retenue, regles de protection des branches principales, processus de revue de code — Reference vers le schema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Securite dans le pipeline (DevSecOps)</w:t>
      </w:r>
    </w:p>
    <w:p>
      <w:pPr>
        <w:spacing w:before="0" w:after="160" w:line="360"/>
        <w:ind w:firstLine="720"/>
        <w:jc w:val="both"/>
      </w:pPr>
      <w:r>
        <w:rPr>
          <w:rFonts w:ascii="Times New Roman" w:cs="Times New Roman" w:eastAsia="Times New Roman" w:hAnsi="Times New Roman"/>
          <w:sz w:val="24"/>
          <w:szCs w:val="24"/>
        </w:rPr>
        <w:t xml:space="preserve">L'integration de la securite dans le pipeline de livraison — approche communement designee sous le terme DevSecOps — constitue une exigence fondamentale pour tout systeme expose.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Mesures de securite integrees au pipeline : gestion des secrets (Vault / gestionnaire de secrets cloud), scan de vulnerabilites des images (Trivy / Snyk), SBOM, politique de mise a jour des dependances (Dependabot), audit trail des deployements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Strategie de deploiement</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en detail la strategie de deploiement retenue et argumentez ce choix face aux alternatives.</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Architecture des environnements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chaque environnement (dev, staging, production) : infrastructure, mode de deploiement, acces, URL, specificites de configuration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Deploiement sans interruption de service</w:t>
      </w:r>
    </w:p>
    <w:p>
      <w:pPr>
        <w:spacing w:before="0" w:after="160" w:line="360"/>
        <w:ind w:firstLine="720"/>
        <w:jc w:val="both"/>
      </w:pPr>
      <w:r>
        <w:rPr>
          <w:rFonts w:ascii="Times New Roman" w:cs="Times New Roman" w:eastAsia="Times New Roman" w:hAnsi="Times New Roman"/>
          <w:sz w:val="24"/>
          <w:szCs w:val="24"/>
        </w:rPr>
        <w:t xml:space="preserve">Le maintien de la disponibilite du service lors des mises a jour constitue une contrainte operationnelle majeure. Plusieurs strategies permettent de repondre a cet objectif, chacune presentant des compromis distincts en termes de complexite, de cout et de risque.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retenue (Blue/Green, Canary, Rolling Update) : description, justification du choix, procedure de rollback automatise en cas d'incident — Reference vers schema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Observabilite et monitoring</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la stack d'observabilite mise en place. L'observabilite s'appuie sur trois piliers complementaires : les metriques, les logs et les traces. Joignez les captures de dashboards en Annexe.</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Stack d'observabilite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la stack d'observabilite : outils retenus pour chaque pilier (metriques, logs, traces), metriques RED definies (Rate, Errors, Duration), configuration des alertes, captures des dashboards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Gestion des incidents et runbook operationnel</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la classification des incidents par severite et le processus de response associe. Le runbook complet est a joindre en Annexe.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Classification des incidents (P0 a P3), delais de reponse par severite, procedure d'escalade, plan de communication — Reference vers le runbook complet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Gestion du cycle de vie logiciel</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votre strategie de versionnage (Semantic Versioning), de gestion de la dette technique et de maintenance evolutive.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de versionnage SemVer, processus de changelog, gestion de la dette technique (backlog dedie, metriques SonarQube), politique de support des versions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bilan operationnel</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 conclusion synthetise les apports de cette experience DevOps, les indicateurs atteints en production et les evolutions envisagees.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Bilan : SLO atteints vs vises, points forts du pipeline, axes d'amelioration identifies, enseignements tires pour la prochaine iteration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22 pages hors annexes (maximum conseille : 35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Contexte et enjeux de la mise en production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Pipeline CI/CD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Strategie de deploiement</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Observabilite et monitoring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Gestion du cycle de vie logiciel</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bilan operationnel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22 pages minimum — 35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2026-03-30T08:25:31.393Z</dcterms:created>
  <dcterms:modified xsi:type="dcterms:W3CDTF">2026-03-30T08:25:31.393Z</dcterms:modified>
</cp:coreProperties>
</file>

<file path=docProps/custom.xml><?xml version="1.0" encoding="utf-8"?>
<Properties xmlns="http://schemas.openxmlformats.org/officeDocument/2006/custom-properties" xmlns:vt="http://schemas.openxmlformats.org/officeDocument/2006/docPropsVTypes"/>
</file>