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1433" w14:textId="77777777" w:rsidR="0008738E" w:rsidRDefault="0008738E" w:rsidP="00CD7F25">
      <w:pPr>
        <w:pStyle w:val="Titre1"/>
        <w:jc w:val="both"/>
      </w:pPr>
      <w:r w:rsidRPr="0008738E">
        <w:t>Utilisation de données spectrale pour la prédiction de traits d’intérêt du colz</w:t>
      </w:r>
      <w:r>
        <w:t>a</w:t>
      </w:r>
    </w:p>
    <w:p w14:paraId="41807AB5" w14:textId="77777777" w:rsidR="0008738E" w:rsidRDefault="0008738E" w:rsidP="00CD7F25">
      <w:pPr>
        <w:jc w:val="both"/>
      </w:pPr>
    </w:p>
    <w:p w14:paraId="7B5EF261" w14:textId="7FAF9449" w:rsidR="0008738E" w:rsidRPr="0008738E" w:rsidRDefault="0008738E" w:rsidP="00CD7F25">
      <w:pPr>
        <w:jc w:val="both"/>
        <w:sectPr w:rsidR="0008738E" w:rsidRPr="0008738E">
          <w:pgSz w:w="11906" w:h="16838"/>
          <w:pgMar w:top="1417" w:right="1417" w:bottom="1417" w:left="1417" w:header="708" w:footer="708" w:gutter="0"/>
          <w:cols w:space="708"/>
          <w:docGrid w:linePitch="360"/>
        </w:sectPr>
      </w:pPr>
    </w:p>
    <w:p w14:paraId="3FDD3F71" w14:textId="41090B96" w:rsidR="0008738E" w:rsidRDefault="0008738E" w:rsidP="00CD7F25">
      <w:pPr>
        <w:pStyle w:val="Titre2"/>
        <w:jc w:val="both"/>
      </w:pPr>
      <w:r>
        <w:t>Contexte</w:t>
      </w:r>
    </w:p>
    <w:p w14:paraId="50DF4DC7" w14:textId="1DF3987B" w:rsidR="00E21C18" w:rsidRDefault="0008738E" w:rsidP="00CD7F25">
      <w:pPr>
        <w:spacing w:line="240" w:lineRule="auto"/>
        <w:jc w:val="both"/>
        <w:rPr>
          <w:rFonts w:cstheme="minorHAnsi"/>
        </w:rPr>
      </w:pPr>
      <w:r>
        <w:rPr>
          <w:rFonts w:cstheme="minorHAnsi"/>
        </w:rPr>
        <w:t>En science du végétale, le travail de sélection variétale occupe une place très importante.</w:t>
      </w:r>
      <w:r w:rsidR="00D2786E">
        <w:rPr>
          <w:rFonts w:cstheme="minorHAnsi"/>
        </w:rPr>
        <w:t xml:space="preserve"> La sélection variétale consiste en une sélection phénotypique de différentes variétés de plantes pour répondre à des enjeux agronomique (résistance à certains pathogène, meilleur développement de la plante, augmentation de la taille des grains, etc…). Une véritable problématique dans ce domaine est de pouvoir prédire les caractéristiques phénotypiques de certaines variétés, pour une sélection plus efficace.</w:t>
      </w:r>
      <w:r>
        <w:rPr>
          <w:rFonts w:cstheme="minorHAnsi"/>
        </w:rPr>
        <w:t xml:space="preserve"> </w:t>
      </w:r>
      <w:r w:rsidR="00D2786E">
        <w:rPr>
          <w:rFonts w:cstheme="minorHAnsi"/>
        </w:rPr>
        <w:t>Usuellement, l</w:t>
      </w:r>
      <w:r w:rsidR="00E21C18">
        <w:rPr>
          <w:rFonts w:cstheme="minorHAnsi"/>
        </w:rPr>
        <w:t xml:space="preserve">es données génomiques sont utilisées pour prédire </w:t>
      </w:r>
      <w:r w:rsidR="00D2786E">
        <w:rPr>
          <w:rFonts w:cstheme="minorHAnsi"/>
        </w:rPr>
        <w:t>le</w:t>
      </w:r>
      <w:r w:rsidR="00E21C18">
        <w:rPr>
          <w:rFonts w:cstheme="minorHAnsi"/>
        </w:rPr>
        <w:t xml:space="preserve"> phénotype </w:t>
      </w:r>
      <w:r w:rsidR="00D2786E">
        <w:rPr>
          <w:rFonts w:cstheme="minorHAnsi"/>
        </w:rPr>
        <w:t>des variétés étudiées</w:t>
      </w:r>
      <w:r w:rsidR="00E21C18">
        <w:rPr>
          <w:rFonts w:cstheme="minorHAnsi"/>
        </w:rPr>
        <w:t>. Or</w:t>
      </w:r>
      <w:r>
        <w:rPr>
          <w:rFonts w:cstheme="minorHAnsi"/>
        </w:rPr>
        <w:t xml:space="preserve">, </w:t>
      </w:r>
      <w:r w:rsidR="00E21C18">
        <w:rPr>
          <w:rFonts w:cstheme="minorHAnsi"/>
        </w:rPr>
        <w:t>l’acquisition de telles données génomiques sont cher</w:t>
      </w:r>
      <w:r w:rsidR="00D2786E">
        <w:rPr>
          <w:rFonts w:cstheme="minorHAnsi"/>
        </w:rPr>
        <w:t>, et longue</w:t>
      </w:r>
      <w:r w:rsidR="00E21C18">
        <w:rPr>
          <w:rFonts w:cstheme="minorHAnsi"/>
        </w:rPr>
        <w:t xml:space="preserve">. Une alternative moins couteuse </w:t>
      </w:r>
      <w:r w:rsidR="00BD639F">
        <w:rPr>
          <w:rFonts w:cstheme="minorHAnsi"/>
        </w:rPr>
        <w:t xml:space="preserve">et plus rapide </w:t>
      </w:r>
      <w:r w:rsidR="00E21C18">
        <w:rPr>
          <w:rFonts w:cstheme="minorHAnsi"/>
        </w:rPr>
        <w:t xml:space="preserve">est d’utiliser des données issues de spectres proches infrarouges (NIRS pour Near </w:t>
      </w:r>
      <w:proofErr w:type="spellStart"/>
      <w:r w:rsidR="00E21C18">
        <w:rPr>
          <w:rFonts w:cstheme="minorHAnsi"/>
        </w:rPr>
        <w:t>InfraRed</w:t>
      </w:r>
      <w:proofErr w:type="spellEnd"/>
      <w:r w:rsidR="00E21C18">
        <w:rPr>
          <w:rFonts w:cstheme="minorHAnsi"/>
        </w:rPr>
        <w:t xml:space="preserve">  </w:t>
      </w:r>
      <w:proofErr w:type="spellStart"/>
      <w:r w:rsidR="00E21C18">
        <w:rPr>
          <w:rFonts w:cstheme="minorHAnsi"/>
        </w:rPr>
        <w:t>Spectrocsop</w:t>
      </w:r>
      <w:r w:rsidR="00393E6B">
        <w:rPr>
          <w:rFonts w:cstheme="minorHAnsi"/>
        </w:rPr>
        <w:t>y</w:t>
      </w:r>
      <w:proofErr w:type="spellEnd"/>
      <w:r w:rsidR="00E21C18">
        <w:rPr>
          <w:rFonts w:cstheme="minorHAnsi"/>
        </w:rPr>
        <w:t xml:space="preserve">). </w:t>
      </w:r>
      <w:r w:rsidR="00D2786E">
        <w:rPr>
          <w:rFonts w:cstheme="minorHAnsi"/>
        </w:rPr>
        <w:t xml:space="preserve">L’hypothèse est </w:t>
      </w:r>
      <w:r w:rsidR="00E21C18">
        <w:rPr>
          <w:rFonts w:cstheme="minorHAnsi"/>
        </w:rPr>
        <w:t xml:space="preserve">que les données NIRS sont un bon </w:t>
      </w:r>
      <w:r w:rsidR="00D2786E">
        <w:rPr>
          <w:rFonts w:cstheme="minorHAnsi"/>
        </w:rPr>
        <w:t>estimateur</w:t>
      </w:r>
      <w:r w:rsidR="00E21C18">
        <w:rPr>
          <w:rFonts w:cstheme="minorHAnsi"/>
        </w:rPr>
        <w:t xml:space="preserve"> du phénotype</w:t>
      </w:r>
      <w:r w:rsidR="00D2786E">
        <w:rPr>
          <w:rFonts w:cstheme="minorHAnsi"/>
        </w:rPr>
        <w:t xml:space="preserve"> des plantes</w:t>
      </w:r>
      <w:r w:rsidR="00E21C18">
        <w:rPr>
          <w:rFonts w:cstheme="minorHAnsi"/>
        </w:rPr>
        <w:t xml:space="preserve">. </w:t>
      </w:r>
    </w:p>
    <w:p w14:paraId="10814010" w14:textId="3A554993" w:rsidR="00F26227" w:rsidRDefault="00E21C18" w:rsidP="00CD7F25">
      <w:pPr>
        <w:spacing w:line="240" w:lineRule="auto"/>
        <w:jc w:val="both"/>
        <w:rPr>
          <w:rFonts w:cstheme="minorHAnsi"/>
        </w:rPr>
      </w:pPr>
      <w:r>
        <w:rPr>
          <w:rFonts w:cstheme="minorHAnsi"/>
        </w:rPr>
        <w:t>Dans c</w:t>
      </w:r>
      <w:r w:rsidR="00D2786E">
        <w:rPr>
          <w:rFonts w:cstheme="minorHAnsi"/>
        </w:rPr>
        <w:t>ette problématique</w:t>
      </w:r>
      <w:r>
        <w:rPr>
          <w:rFonts w:cstheme="minorHAnsi"/>
        </w:rPr>
        <w:t>, l</w:t>
      </w:r>
      <w:r w:rsidR="003279EC">
        <w:rPr>
          <w:rFonts w:cstheme="minorHAnsi"/>
        </w:rPr>
        <w:t xml:space="preserve">a thèse M. </w:t>
      </w:r>
      <w:proofErr w:type="spellStart"/>
      <w:r w:rsidR="003279EC">
        <w:rPr>
          <w:rFonts w:cstheme="minorHAnsi"/>
        </w:rPr>
        <w:t>Laurençon</w:t>
      </w:r>
      <w:proofErr w:type="spellEnd"/>
      <w:r w:rsidR="003279EC">
        <w:rPr>
          <w:rFonts w:cstheme="minorHAnsi"/>
        </w:rPr>
        <w:t xml:space="preserve"> se focalise sur la prédiction </w:t>
      </w:r>
      <w:r>
        <w:rPr>
          <w:rFonts w:cstheme="minorHAnsi"/>
        </w:rPr>
        <w:t>d</w:t>
      </w:r>
      <w:r w:rsidR="00703B99">
        <w:rPr>
          <w:rFonts w:cstheme="minorHAnsi"/>
        </w:rPr>
        <w:t>e phénotypes</w:t>
      </w:r>
      <w:r>
        <w:rPr>
          <w:rFonts w:cstheme="minorHAnsi"/>
        </w:rPr>
        <w:t xml:space="preserve"> </w:t>
      </w:r>
      <w:r w:rsidR="00D2786E">
        <w:rPr>
          <w:rFonts w:cstheme="minorHAnsi"/>
        </w:rPr>
        <w:t xml:space="preserve">de différentes variétés de Colza, </w:t>
      </w:r>
      <w:r w:rsidR="00703B99">
        <w:rPr>
          <w:rFonts w:cstheme="minorHAnsi"/>
        </w:rPr>
        <w:t>pendant la</w:t>
      </w:r>
      <w:r>
        <w:rPr>
          <w:rFonts w:cstheme="minorHAnsi"/>
        </w:rPr>
        <w:t xml:space="preserve"> germination </w:t>
      </w:r>
      <w:r w:rsidR="006F33D0">
        <w:rPr>
          <w:rFonts w:cstheme="minorHAnsi"/>
        </w:rPr>
        <w:t>et l</w:t>
      </w:r>
      <w:r w:rsidR="001C206C">
        <w:rPr>
          <w:rFonts w:cstheme="minorHAnsi"/>
        </w:rPr>
        <w:t xml:space="preserve">e développement </w:t>
      </w:r>
      <w:r w:rsidR="00703B99">
        <w:rPr>
          <w:rFonts w:cstheme="minorHAnsi"/>
        </w:rPr>
        <w:t>précoce</w:t>
      </w:r>
      <w:r w:rsidR="00D2786E">
        <w:rPr>
          <w:rFonts w:cstheme="minorHAnsi"/>
        </w:rPr>
        <w:t>,</w:t>
      </w:r>
      <w:r w:rsidR="006F33D0">
        <w:rPr>
          <w:rFonts w:cstheme="minorHAnsi"/>
        </w:rPr>
        <w:t xml:space="preserve"> </w:t>
      </w:r>
      <w:r w:rsidR="00703B99">
        <w:rPr>
          <w:rFonts w:cstheme="minorHAnsi"/>
        </w:rPr>
        <w:t>à</w:t>
      </w:r>
      <w:r>
        <w:rPr>
          <w:rFonts w:cstheme="minorHAnsi"/>
        </w:rPr>
        <w:t xml:space="preserve"> partir de données NIRS.</w:t>
      </w:r>
      <w:r w:rsidR="001C206C">
        <w:rPr>
          <w:rFonts w:cstheme="minorHAnsi"/>
        </w:rPr>
        <w:t xml:space="preserve"> Elle cherche notamment à trouver des traits d’intérêts décrivant la vigueur précoce.</w:t>
      </w:r>
      <w:r>
        <w:rPr>
          <w:rFonts w:cstheme="minorHAnsi"/>
        </w:rPr>
        <w:t xml:space="preserve"> </w:t>
      </w:r>
      <w:r w:rsidR="00D2786E">
        <w:rPr>
          <w:rFonts w:cstheme="minorHAnsi"/>
        </w:rPr>
        <w:t>Si elle parvient à prédire assez efficacement les phénotype</w:t>
      </w:r>
      <w:r w:rsidR="001C206C">
        <w:rPr>
          <w:rFonts w:cstheme="minorHAnsi"/>
        </w:rPr>
        <w:t>s</w:t>
      </w:r>
      <w:r w:rsidR="00D2786E">
        <w:rPr>
          <w:rFonts w:cstheme="minorHAnsi"/>
        </w:rPr>
        <w:t xml:space="preserve"> de la plante au stade de la germination (à partir de spectre</w:t>
      </w:r>
      <w:r w:rsidR="001C206C">
        <w:rPr>
          <w:rFonts w:cstheme="minorHAnsi"/>
        </w:rPr>
        <w:t>s</w:t>
      </w:r>
      <w:r w:rsidR="00D2786E">
        <w:rPr>
          <w:rFonts w:cstheme="minorHAnsi"/>
        </w:rPr>
        <w:t xml:space="preserve"> observé</w:t>
      </w:r>
      <w:r w:rsidR="001C206C">
        <w:rPr>
          <w:rFonts w:cstheme="minorHAnsi"/>
        </w:rPr>
        <w:t>s</w:t>
      </w:r>
      <w:r w:rsidR="00D2786E">
        <w:rPr>
          <w:rFonts w:cstheme="minorHAnsi"/>
        </w:rPr>
        <w:t xml:space="preserve"> sur des graines séchées et réduites en poudre), </w:t>
      </w:r>
      <w:r w:rsidR="00703B99">
        <w:rPr>
          <w:rFonts w:cstheme="minorHAnsi"/>
        </w:rPr>
        <w:t xml:space="preserve">les résultats sur la </w:t>
      </w:r>
      <w:r w:rsidR="001C206C">
        <w:rPr>
          <w:rFonts w:cstheme="minorHAnsi"/>
        </w:rPr>
        <w:t>phase</w:t>
      </w:r>
      <w:r w:rsidR="00703B99">
        <w:rPr>
          <w:rFonts w:cstheme="minorHAnsi"/>
        </w:rPr>
        <w:t xml:space="preserve"> précoce ne sont pas satisfaisants. </w:t>
      </w:r>
      <w:r w:rsidR="001C206C" w:rsidRPr="00BE31EB">
        <w:rPr>
          <w:rFonts w:cstheme="minorHAnsi"/>
        </w:rPr>
        <w:t xml:space="preserve">La phase </w:t>
      </w:r>
      <w:r w:rsidR="001C206C" w:rsidRPr="0078502D">
        <w:rPr>
          <w:rFonts w:cstheme="minorHAnsi"/>
        </w:rPr>
        <w:t>précoce</w:t>
      </w:r>
      <w:r w:rsidR="001C206C" w:rsidRPr="00BE31EB">
        <w:rPr>
          <w:rFonts w:cstheme="minorHAnsi"/>
        </w:rPr>
        <w:t xml:space="preserve"> est la phase de croissance du colza entre la germination et l'étape ou la plante </w:t>
      </w:r>
      <w:r w:rsidR="00005F3B">
        <w:rPr>
          <w:rFonts w:cstheme="minorHAnsi"/>
        </w:rPr>
        <w:t>a</w:t>
      </w:r>
      <w:r w:rsidR="001C206C" w:rsidRPr="00BE31EB">
        <w:rPr>
          <w:rFonts w:cstheme="minorHAnsi"/>
        </w:rPr>
        <w:t xml:space="preserve"> </w:t>
      </w:r>
      <w:r w:rsidR="00005F3B" w:rsidRPr="0078502D">
        <w:rPr>
          <w:rFonts w:cstheme="minorHAnsi"/>
        </w:rPr>
        <w:t>développ</w:t>
      </w:r>
      <w:r w:rsidR="00005F3B">
        <w:rPr>
          <w:rFonts w:cstheme="minorHAnsi"/>
        </w:rPr>
        <w:t>é</w:t>
      </w:r>
      <w:r w:rsidR="001C206C" w:rsidRPr="00BE31EB">
        <w:rPr>
          <w:rFonts w:cstheme="minorHAnsi"/>
        </w:rPr>
        <w:t xml:space="preserve"> 4 à 5 </w:t>
      </w:r>
      <w:r w:rsidR="001C206C" w:rsidRPr="0078502D">
        <w:rPr>
          <w:rFonts w:cstheme="minorHAnsi"/>
        </w:rPr>
        <w:t>feuilles</w:t>
      </w:r>
      <w:r w:rsidR="00005F3B">
        <w:rPr>
          <w:rFonts w:cstheme="minorHAnsi"/>
        </w:rPr>
        <w:t>. La plante est alors beaucoup plus soumise à des facteurs environnementaux, et le spectre n’expliquerai pas tout le phénotype</w:t>
      </w:r>
      <w:r w:rsidR="00F26227">
        <w:rPr>
          <w:rFonts w:cstheme="minorHAnsi"/>
        </w:rPr>
        <w:t>, ce qui justifierai la mauvaise prédiction de son modèle.</w:t>
      </w:r>
    </w:p>
    <w:p w14:paraId="5BD2CEEC" w14:textId="130E446C" w:rsidR="00F26227" w:rsidRPr="00BE31EB" w:rsidRDefault="00F26227" w:rsidP="00CD7F25">
      <w:pPr>
        <w:spacing w:line="240" w:lineRule="auto"/>
        <w:jc w:val="both"/>
        <w:rPr>
          <w:rFonts w:cstheme="minorHAnsi"/>
        </w:rPr>
      </w:pPr>
      <w:r>
        <w:rPr>
          <w:rFonts w:cstheme="minorHAnsi"/>
        </w:rPr>
        <w:t xml:space="preserve">Dans son approche statistique, M. </w:t>
      </w:r>
      <w:proofErr w:type="spellStart"/>
      <w:r>
        <w:rPr>
          <w:rFonts w:cstheme="minorHAnsi"/>
        </w:rPr>
        <w:t>Laurençon</w:t>
      </w:r>
      <w:proofErr w:type="spellEnd"/>
      <w:r>
        <w:rPr>
          <w:rFonts w:cstheme="minorHAnsi"/>
        </w:rPr>
        <w:t xml:space="preserve"> n’utilise pas du tout de données fonctionnelles, et nous nous proposons donc de les implémenter sur ces données NIRS et de phénotype de colza. Nous allons explorer plusieurs méthodes d’analyse de données fonctionnelles pour faire le lien entre le phénotype et le génotype via ces spectres NIRS. </w:t>
      </w:r>
    </w:p>
    <w:p w14:paraId="216BB673" w14:textId="6F5124FC" w:rsidR="001C206C" w:rsidRDefault="00F26227" w:rsidP="00CD7F25">
      <w:pPr>
        <w:pStyle w:val="Titre2"/>
        <w:jc w:val="both"/>
      </w:pPr>
      <w:r>
        <w:t xml:space="preserve">Jeu de donnée </w:t>
      </w:r>
    </w:p>
    <w:p w14:paraId="51504A06" w14:textId="52A00C90" w:rsidR="00E57AB5" w:rsidRPr="00E57AB5" w:rsidRDefault="00E57AB5" w:rsidP="00CD7F25">
      <w:pPr>
        <w:jc w:val="both"/>
      </w:pPr>
      <w:r>
        <w:t xml:space="preserve">Le jeu de données contient plusieurs tableaux. Le premier décrit les phénotypes des différents génotypes (ou variété). Dans ce tableau, chaque ligne est un génotype. Les colonnes sont différents phénotypes. Le second tableau </w:t>
      </w:r>
      <w:r w:rsidR="00BD11C3">
        <w:t xml:space="preserve">regroupe les spectres NIRS pour les différents génotypes. Les lignes correspondent aux génotypes et les colonnes aux valeurs d’absorbances pour les différentes longueurs d’ondes. </w:t>
      </w:r>
    </w:p>
    <w:p w14:paraId="3D07F54A" w14:textId="6F25EA8E" w:rsidR="0094774A" w:rsidRDefault="0094774A" w:rsidP="00CD7F25">
      <w:pPr>
        <w:pStyle w:val="Titre3"/>
        <w:jc w:val="both"/>
      </w:pPr>
      <w:r>
        <w:t>Génotypes</w:t>
      </w:r>
    </w:p>
    <w:p w14:paraId="650323E3" w14:textId="49355498" w:rsidR="0094774A" w:rsidRPr="0094774A" w:rsidRDefault="0094774A" w:rsidP="00CD7F25">
      <w:pPr>
        <w:jc w:val="both"/>
      </w:pPr>
      <w:r>
        <w:t xml:space="preserve">Les plantes utilisées pour cette thèse sont issues de 4 types de génotypes différents. Le type </w:t>
      </w:r>
      <w:r w:rsidRPr="0094774A">
        <w:rPr>
          <w:b/>
          <w:bCs/>
        </w:rPr>
        <w:t>WORS</w:t>
      </w:r>
      <w:r>
        <w:t xml:space="preserve"> regroupe les 133 génotypes de colza oléagineux d’hiver. Le type </w:t>
      </w:r>
      <w:r w:rsidRPr="0094774A">
        <w:rPr>
          <w:b/>
          <w:bCs/>
        </w:rPr>
        <w:t>WFR</w:t>
      </w:r>
      <w:r>
        <w:t xml:space="preserve"> regroupe les 13 génotypes de colza fourragers d’hiver. Le type </w:t>
      </w:r>
      <w:r w:rsidRPr="0094774A">
        <w:rPr>
          <w:b/>
          <w:bCs/>
        </w:rPr>
        <w:t>SOSR</w:t>
      </w:r>
      <w:r>
        <w:t xml:space="preserve"> regroupe les 85 génotypes de colza </w:t>
      </w:r>
      <w:r>
        <w:lastRenderedPageBreak/>
        <w:t xml:space="preserve">oléagineux de printemps, et le type </w:t>
      </w:r>
      <w:proofErr w:type="spellStart"/>
      <w:r w:rsidRPr="0094774A">
        <w:rPr>
          <w:b/>
          <w:bCs/>
        </w:rPr>
        <w:t>Swede</w:t>
      </w:r>
      <w:proofErr w:type="spellEnd"/>
      <w:r>
        <w:t xml:space="preserve"> comprend 2 génotypes de rutabaga. Les rutabagas ont été introduits dans l’expérimentation afin d’augmenter la diversité génétique dans l’expérimentation. En effet, tout comme le colza, le rutabaga fait partie de l’espèce </w:t>
      </w:r>
      <w:proofErr w:type="spellStart"/>
      <w:r>
        <w:t>Brassica</w:t>
      </w:r>
      <w:proofErr w:type="spellEnd"/>
      <w:r>
        <w:t>, et il est intéressant d’étudier son phénotype puisqu’il partage une grande part de son génotype avec le colza.</w:t>
      </w:r>
    </w:p>
    <w:p w14:paraId="7247ECE7" w14:textId="100A230A" w:rsidR="0094774A" w:rsidRPr="0094774A" w:rsidRDefault="00BD639F" w:rsidP="00CD7F25">
      <w:pPr>
        <w:pStyle w:val="Titre3"/>
        <w:jc w:val="both"/>
      </w:pPr>
      <w:r>
        <w:t>Données NIRS</w:t>
      </w:r>
    </w:p>
    <w:p w14:paraId="2D3AD080" w14:textId="6477B1B4" w:rsidR="00F26227" w:rsidRDefault="00BD639F" w:rsidP="00CD7F25">
      <w:pPr>
        <w:pStyle w:val="Titre4"/>
        <w:jc w:val="both"/>
      </w:pPr>
      <w:r>
        <w:t>Création des expérimentations</w:t>
      </w:r>
    </w:p>
    <w:p w14:paraId="48D4AA95" w14:textId="449D9A1F" w:rsidR="0073724E" w:rsidRDefault="0073724E" w:rsidP="00CD7F25">
      <w:pPr>
        <w:jc w:val="both"/>
      </w:pPr>
      <w:r>
        <w:t xml:space="preserve">Les spectres ont été obtenus de trois manières différentes : </w:t>
      </w:r>
    </w:p>
    <w:p w14:paraId="2AB5989C" w14:textId="4FE2C093" w:rsidR="0073724E" w:rsidRDefault="0073724E" w:rsidP="00CD7F25">
      <w:pPr>
        <w:pStyle w:val="Paragraphedeliste"/>
        <w:numPr>
          <w:ilvl w:val="0"/>
          <w:numId w:val="6"/>
        </w:numPr>
        <w:jc w:val="both"/>
      </w:pPr>
      <w:r>
        <w:t>Soit à partir de graines séchées et broyées</w:t>
      </w:r>
    </w:p>
    <w:p w14:paraId="5EC01D3E" w14:textId="08F8BD76" w:rsidR="0073724E" w:rsidRPr="0073724E" w:rsidRDefault="0073724E" w:rsidP="00CD7F25">
      <w:pPr>
        <w:pStyle w:val="Paragraphedeliste"/>
        <w:numPr>
          <w:ilvl w:val="0"/>
          <w:numId w:val="6"/>
        </w:numPr>
        <w:jc w:val="both"/>
      </w:pPr>
      <w:r>
        <w:t xml:space="preserve">Soit à partir de feuilles. Les graines ont été plantées dans des caissons sur trois expérimentations différentes. A chaque fois, un caisson contient 4 génotypes, et chaque partie du caisson correspondant à un génotype contient 4 plantes (pour avoir des répétitions). Il y a eu 3 expérimentations. La première consiste à un phénotypage des génotype </w:t>
      </w:r>
      <w:r w:rsidRPr="00CF3BCB">
        <w:rPr>
          <w:b/>
          <w:bCs/>
        </w:rPr>
        <w:t>SOSR</w:t>
      </w:r>
      <w:r>
        <w:t xml:space="preserve"> et </w:t>
      </w:r>
      <w:proofErr w:type="spellStart"/>
      <w:r w:rsidRPr="00CF3BCB">
        <w:rPr>
          <w:b/>
          <w:bCs/>
        </w:rPr>
        <w:t>Swede</w:t>
      </w:r>
      <w:proofErr w:type="spellEnd"/>
      <w:r>
        <w:t xml:space="preserve"> qui ont été planté en mars. Pour éviter un effet de l’orientation du tunnel, il y a eu deux répétitions de cette expérimentation en inversant les bacs de place. Les génotypes </w:t>
      </w:r>
      <w:r w:rsidRPr="00CF3BCB">
        <w:rPr>
          <w:b/>
          <w:bCs/>
        </w:rPr>
        <w:t>WOSR</w:t>
      </w:r>
      <w:r>
        <w:t xml:space="preserve"> et </w:t>
      </w:r>
      <w:r w:rsidRPr="00CF3BCB">
        <w:rPr>
          <w:b/>
          <w:bCs/>
        </w:rPr>
        <w:t>WFR</w:t>
      </w:r>
      <w:r>
        <w:t xml:space="preserve"> ont été planté en août puis en septembre (faisant office de seconde répétition)</w:t>
      </w:r>
      <w:r w:rsidR="009D5EAD">
        <w:t>. On a ensuite réalisé nos mesures phénotypiques sur ces plantes, mesuré leurs valeurs de réflectance en spectre infrarouge sur les feuilles fraiches, puis elles ont été séchée</w:t>
      </w:r>
      <w:r w:rsidR="00CF3BCB">
        <w:t>s</w:t>
      </w:r>
      <w:r w:rsidR="009D5EAD">
        <w:t xml:space="preserve"> et réduite en poudre pour une mesure de l’absorbance en spectre proche infrarouge par spectrométrie</w:t>
      </w:r>
    </w:p>
    <w:p w14:paraId="33A84506" w14:textId="4268873E" w:rsidR="00BD639F" w:rsidRDefault="00BD639F" w:rsidP="00CD7F25">
      <w:pPr>
        <w:pStyle w:val="Titre4"/>
        <w:jc w:val="both"/>
      </w:pPr>
      <w:r>
        <w:t>Méthode de prétraitement utilisés</w:t>
      </w:r>
    </w:p>
    <w:p w14:paraId="0DFED7BA" w14:textId="52F1A2AF" w:rsidR="00830E20" w:rsidRDefault="00830E20" w:rsidP="00CD7F25">
      <w:pPr>
        <w:jc w:val="both"/>
      </w:pPr>
      <w:r>
        <w:t>Les données de spectres ont eu 3 méthodes de prétraitement différentes.</w:t>
      </w:r>
    </w:p>
    <w:p w14:paraId="28BA7E70" w14:textId="13987139" w:rsidR="00830E20" w:rsidRPr="00E52675" w:rsidRDefault="00830E20" w:rsidP="00CD7F25">
      <w:pPr>
        <w:jc w:val="both"/>
        <w:rPr>
          <w:b/>
          <w:bCs/>
          <w:u w:val="single"/>
        </w:rPr>
      </w:pPr>
      <w:r w:rsidRPr="00E52675">
        <w:rPr>
          <w:b/>
          <w:bCs/>
          <w:u w:val="single"/>
        </w:rPr>
        <w:t>Correction 1 :</w:t>
      </w:r>
    </w:p>
    <w:p w14:paraId="57848295" w14:textId="79BD1005" w:rsidR="00830E20" w:rsidRDefault="00830E20" w:rsidP="00CD7F25">
      <w:pPr>
        <w:jc w:val="both"/>
      </w:pPr>
      <w:r>
        <w:tab/>
      </w:r>
      <w:r w:rsidR="00C7294D">
        <w:t>La première correction consiste en l</w:t>
      </w:r>
      <w:r>
        <w:t>’o</w:t>
      </w:r>
      <w:r w:rsidRPr="00830E20">
        <w:t>b</w:t>
      </w:r>
      <w:r w:rsidRPr="00E52675">
        <w:t>te</w:t>
      </w:r>
      <w:r w:rsidRPr="00830E20">
        <w:t>n</w:t>
      </w:r>
      <w:r>
        <w:t xml:space="preserve">tion d’un spectre moyen par génotype, pour les feuilles sèches et les graines. Ce spectre est calculé comme la moyenne arithmétique des spectres </w:t>
      </w:r>
      <w:r w:rsidR="00C7294D">
        <w:t xml:space="preserve">des réplicas </w:t>
      </w:r>
      <w:r>
        <w:t>pour un génotype (jeu de donnée MEAN). Les modèles seront nommés HBLUP</w:t>
      </w:r>
      <w:r>
        <w:rPr>
          <w:vertAlign w:val="subscript"/>
        </w:rPr>
        <w:t>leaf1</w:t>
      </w:r>
      <w:r>
        <w:t xml:space="preserve"> pour les feuilles et HBLUP</w:t>
      </w:r>
      <w:r>
        <w:softHyphen/>
      </w:r>
      <w:r>
        <w:softHyphen/>
      </w:r>
      <w:r>
        <w:softHyphen/>
      </w:r>
      <w:r w:rsidR="00E52675">
        <w:rPr>
          <w:vertAlign w:val="subscript"/>
        </w:rPr>
        <w:t>seed1</w:t>
      </w:r>
      <w:r w:rsidR="00E52675">
        <w:t xml:space="preserve"> pour les graines</w:t>
      </w:r>
    </w:p>
    <w:p w14:paraId="52F5EFBC" w14:textId="7D543922" w:rsidR="00E52675" w:rsidRPr="00E52675" w:rsidRDefault="00E52675" w:rsidP="00CD7F25">
      <w:pPr>
        <w:jc w:val="both"/>
        <w:rPr>
          <w:b/>
          <w:bCs/>
          <w:u w:val="single"/>
        </w:rPr>
      </w:pPr>
      <w:r w:rsidRPr="00E52675">
        <w:rPr>
          <w:b/>
          <w:bCs/>
          <w:u w:val="single"/>
        </w:rPr>
        <w:t>Correction 2 :</w:t>
      </w:r>
    </w:p>
    <w:p w14:paraId="59291470" w14:textId="33E91C2A" w:rsidR="00E52675" w:rsidRDefault="00E52675" w:rsidP="00CD7F25">
      <w:pPr>
        <w:jc w:val="both"/>
      </w:pPr>
      <w:r>
        <w:tab/>
      </w:r>
      <w:r w:rsidR="00C7294D">
        <w:t>La seconde correction est un calcul</w:t>
      </w:r>
      <w:r>
        <w:t xml:space="preserve"> de moyennes ajustées (BLUE) pour chaque longueur d’onde et chaque génotype pour corriger les effets environnementaux </w:t>
      </w:r>
      <w:r w:rsidR="00C7294D">
        <w:t xml:space="preserve">potentiellement </w:t>
      </w:r>
      <w:r>
        <w:t xml:space="preserve">subis par les plantes pendant l’acquisition des données. </w:t>
      </w:r>
      <w:r w:rsidR="00C7294D">
        <w:t xml:space="preserve">Ces effets sont un effet bloc car pour chaque bloc on peut observer des différences de température, d’expositions, … et un effet lié à la méthode d’acquisition. </w:t>
      </w:r>
      <w:r>
        <w:t xml:space="preserve">Cette correction n’est pas appliquée sur les graines qui ont subis les mêmes conditions d’obtention. Le modèle utilisé pour calculer les valeurs BLUE sont obtenus avec le modèle suivant : </w:t>
      </w:r>
    </w:p>
    <w:p w14:paraId="3AAEA707" w14:textId="27FF2EFC" w:rsidR="00E52675" w:rsidRDefault="00E52675" w:rsidP="00CD7F25">
      <w:pPr>
        <w:jc w:val="both"/>
        <w:rPr>
          <w:rFonts w:ascii="Cambria Math" w:hAnsi="Cambria Math" w:cs="Cambria Math"/>
          <w:sz w:val="22"/>
          <w:vertAlign w:val="subscript"/>
        </w:rPr>
      </w:pPr>
      <w:r w:rsidRPr="00E52675">
        <w:rPr>
          <w:rFonts w:ascii="Cambria Math" w:hAnsi="Cambria Math" w:cs="Cambria Math"/>
          <w:sz w:val="22"/>
        </w:rPr>
        <w:t>𝐴</w:t>
      </w:r>
      <w:r w:rsidRPr="00E52675">
        <w:rPr>
          <w:sz w:val="22"/>
        </w:rPr>
        <w:t xml:space="preserve"> = </w:t>
      </w:r>
      <w:r w:rsidRPr="00E52675">
        <w:rPr>
          <w:rFonts w:ascii="Cambria Math" w:hAnsi="Cambria Math" w:cs="Cambria Math"/>
          <w:sz w:val="22"/>
        </w:rPr>
        <w:t>𝜇</w:t>
      </w:r>
      <w:r w:rsidR="00C7294D">
        <w:rPr>
          <w:rFonts w:ascii="Cambria Math" w:hAnsi="Cambria Math" w:cs="Cambria Math"/>
          <w:sz w:val="22"/>
        </w:rPr>
        <w:t xml:space="preserve"> </w:t>
      </w:r>
      <w:r w:rsidRPr="00E52675">
        <w:rPr>
          <w:sz w:val="22"/>
        </w:rPr>
        <w:t>+</w:t>
      </w:r>
      <w:r w:rsidR="00C7294D">
        <w:rPr>
          <w:sz w:val="22"/>
        </w:rPr>
        <w:t xml:space="preserve"> </w:t>
      </w:r>
      <w:r w:rsidRPr="00E52675">
        <w:rPr>
          <w:rFonts w:ascii="Cambria Math" w:hAnsi="Cambria Math" w:cs="Cambria Math"/>
          <w:sz w:val="22"/>
        </w:rPr>
        <w:t>𝑏𝑙𝑜𝑐</w:t>
      </w:r>
      <w:r w:rsidRPr="00E52675">
        <w:rPr>
          <w:rFonts w:ascii="Cambria Math" w:hAnsi="Cambria Math" w:cs="Cambria Math"/>
          <w:sz w:val="22"/>
          <w:vertAlign w:val="subscript"/>
        </w:rPr>
        <w:t>j</w:t>
      </w:r>
      <w:r w:rsidR="00C7294D">
        <w:rPr>
          <w:rFonts w:ascii="Cambria Math" w:hAnsi="Cambria Math" w:cs="Cambria Math"/>
          <w:sz w:val="22"/>
          <w:vertAlign w:val="subscript"/>
        </w:rPr>
        <w:t xml:space="preserve"> </w:t>
      </w:r>
      <w:r w:rsidRPr="00E52675">
        <w:rPr>
          <w:sz w:val="22"/>
        </w:rPr>
        <w:t>+</w:t>
      </w:r>
      <w:r w:rsidR="00C7294D">
        <w:rPr>
          <w:sz w:val="22"/>
        </w:rPr>
        <w:t xml:space="preserve"> </w:t>
      </w:r>
      <w:r w:rsidRPr="00E52675">
        <w:rPr>
          <w:rFonts w:ascii="Cambria Math" w:hAnsi="Cambria Math" w:cs="Cambria Math"/>
          <w:sz w:val="22"/>
        </w:rPr>
        <w:t>𝑇</w:t>
      </w:r>
      <w:r w:rsidRPr="00E52675">
        <w:rPr>
          <w:sz w:val="22"/>
        </w:rPr>
        <w:t>é</w:t>
      </w:r>
      <w:r w:rsidRPr="00E52675">
        <w:rPr>
          <w:rFonts w:ascii="Cambria Math" w:hAnsi="Cambria Math" w:cs="Cambria Math"/>
          <w:sz w:val="22"/>
        </w:rPr>
        <w:t>𝑚𝑜𝑖𝑛</w:t>
      </w:r>
      <w:r w:rsidRPr="00E52675">
        <w:rPr>
          <w:rFonts w:ascii="Cambria Math" w:hAnsi="Cambria Math" w:cs="Cambria Math"/>
          <w:sz w:val="22"/>
          <w:vertAlign w:val="subscript"/>
        </w:rPr>
        <w:t>l</w:t>
      </w:r>
      <w:r w:rsidR="00C7294D">
        <w:rPr>
          <w:rFonts w:ascii="Cambria Math" w:hAnsi="Cambria Math" w:cs="Cambria Math"/>
          <w:sz w:val="22"/>
          <w:vertAlign w:val="subscript"/>
        </w:rPr>
        <w:t xml:space="preserve"> </w:t>
      </w:r>
      <w:r w:rsidRPr="00E52675">
        <w:rPr>
          <w:sz w:val="22"/>
        </w:rPr>
        <w:t>+</w:t>
      </w:r>
      <w:r w:rsidR="00C7294D">
        <w:rPr>
          <w:sz w:val="22"/>
        </w:rPr>
        <w:t xml:space="preserve"> </w:t>
      </w:r>
      <w:r w:rsidRPr="00E52675">
        <w:rPr>
          <w:rFonts w:ascii="Cambria Math" w:hAnsi="Cambria Math" w:cs="Cambria Math"/>
          <w:sz w:val="22"/>
        </w:rPr>
        <w:t>𝐺</w:t>
      </w:r>
      <w:r w:rsidRPr="00E52675">
        <w:rPr>
          <w:sz w:val="22"/>
        </w:rPr>
        <w:t>é</w:t>
      </w:r>
      <w:r w:rsidRPr="00E52675">
        <w:rPr>
          <w:rFonts w:ascii="Cambria Math" w:hAnsi="Cambria Math" w:cs="Cambria Math"/>
          <w:sz w:val="22"/>
        </w:rPr>
        <w:t>𝑛𝑜𝑡𝑦𝑝𝑒</w:t>
      </w:r>
      <w:r w:rsidRPr="00E52675">
        <w:rPr>
          <w:rFonts w:ascii="Cambria Math" w:hAnsi="Cambria Math" w:cs="Cambria Math"/>
          <w:sz w:val="22"/>
          <w:vertAlign w:val="subscript"/>
        </w:rPr>
        <w:t>i(j)</w:t>
      </w:r>
      <w:r w:rsidRPr="00E52675">
        <w:rPr>
          <w:sz w:val="22"/>
        </w:rPr>
        <w:t xml:space="preserve"> +</w:t>
      </w:r>
      <w:r w:rsidR="00C7294D">
        <w:rPr>
          <w:sz w:val="22"/>
        </w:rPr>
        <w:t xml:space="preserve"> </w:t>
      </w:r>
      <w:r w:rsidRPr="00E52675">
        <w:rPr>
          <w:rFonts w:ascii="Cambria Math" w:hAnsi="Cambria Math" w:cs="Cambria Math"/>
          <w:sz w:val="22"/>
        </w:rPr>
        <w:t>𝑚</w:t>
      </w:r>
      <w:r w:rsidRPr="00E52675">
        <w:rPr>
          <w:sz w:val="22"/>
        </w:rPr>
        <w:t>é</w:t>
      </w:r>
      <w:r w:rsidRPr="00E52675">
        <w:rPr>
          <w:rFonts w:ascii="Cambria Math" w:hAnsi="Cambria Math" w:cs="Cambria Math"/>
          <w:sz w:val="22"/>
        </w:rPr>
        <w:t>𝑡ℎ𝑜𝑑𝑒</w:t>
      </w:r>
      <w:r w:rsidRPr="00E52675">
        <w:rPr>
          <w:sz w:val="22"/>
        </w:rPr>
        <w:t>_</w:t>
      </w:r>
      <w:r w:rsidRPr="00E52675">
        <w:rPr>
          <w:rFonts w:ascii="Cambria Math" w:hAnsi="Cambria Math" w:cs="Cambria Math"/>
          <w:sz w:val="22"/>
        </w:rPr>
        <w:t>𝑎𝑐𝑞𝑢𝑖𝑠𝑖𝑡𝑖𝑜𝑛</w:t>
      </w:r>
      <w:r w:rsidRPr="00E52675">
        <w:rPr>
          <w:rFonts w:ascii="Cambria Math" w:hAnsi="Cambria Math" w:cs="Cambria Math"/>
          <w:sz w:val="22"/>
          <w:vertAlign w:val="subscript"/>
        </w:rPr>
        <w:t>k</w:t>
      </w:r>
      <w:r w:rsidRPr="00E52675">
        <w:rPr>
          <w:sz w:val="22"/>
        </w:rPr>
        <w:t xml:space="preserve"> +</w:t>
      </w:r>
      <w:r w:rsidR="00C7294D">
        <w:rPr>
          <w:sz w:val="22"/>
        </w:rPr>
        <w:t xml:space="preserve"> </w:t>
      </w:r>
      <w:r w:rsidRPr="00E52675">
        <w:rPr>
          <w:rFonts w:ascii="Cambria Math" w:hAnsi="Cambria Math" w:cs="Cambria Math"/>
          <w:sz w:val="22"/>
        </w:rPr>
        <w:t>𝜀</w:t>
      </w:r>
      <w:proofErr w:type="spellStart"/>
      <w:r w:rsidRPr="00E52675">
        <w:rPr>
          <w:rFonts w:ascii="Cambria Math" w:hAnsi="Cambria Math" w:cs="Cambria Math"/>
          <w:sz w:val="22"/>
          <w:vertAlign w:val="subscript"/>
        </w:rPr>
        <w:t>ijk</w:t>
      </w:r>
      <w:proofErr w:type="spellEnd"/>
    </w:p>
    <w:p w14:paraId="40FCBB91" w14:textId="65FA9F6C" w:rsidR="00E52675" w:rsidRDefault="00E52675" w:rsidP="00CD7F25">
      <w:pPr>
        <w:jc w:val="both"/>
        <w:rPr>
          <w:rFonts w:cstheme="minorHAnsi"/>
        </w:rPr>
      </w:pPr>
      <w:r>
        <w:rPr>
          <w:rFonts w:ascii="Cambria Math" w:hAnsi="Cambria Math" w:cs="Cambria Math"/>
          <w:vertAlign w:val="subscript"/>
        </w:rPr>
        <w:lastRenderedPageBreak/>
        <w:tab/>
      </w:r>
      <w:r>
        <w:rPr>
          <w:rFonts w:cstheme="minorHAnsi"/>
        </w:rPr>
        <w:t>Le modèle est nommé HBLUP</w:t>
      </w:r>
      <w:r>
        <w:rPr>
          <w:rFonts w:cstheme="minorHAnsi"/>
          <w:vertAlign w:val="subscript"/>
        </w:rPr>
        <w:t>leaf2</w:t>
      </w:r>
    </w:p>
    <w:p w14:paraId="00AB2918" w14:textId="2AA4CEB3" w:rsidR="00E52675" w:rsidRDefault="00E52675" w:rsidP="00CD7F25">
      <w:pPr>
        <w:jc w:val="both"/>
        <w:rPr>
          <w:rFonts w:cstheme="minorHAnsi"/>
          <w:b/>
          <w:bCs/>
          <w:u w:val="single"/>
        </w:rPr>
      </w:pPr>
      <w:r w:rsidRPr="00E52675">
        <w:rPr>
          <w:rFonts w:cstheme="minorHAnsi"/>
          <w:b/>
          <w:bCs/>
          <w:u w:val="single"/>
        </w:rPr>
        <w:t>Correction 3 :</w:t>
      </w:r>
    </w:p>
    <w:p w14:paraId="349B7BD5" w14:textId="6BF0A902" w:rsidR="00E52675" w:rsidRDefault="00E52675" w:rsidP="00CD7F25">
      <w:pPr>
        <w:jc w:val="both"/>
        <w:rPr>
          <w:rFonts w:cstheme="minorHAnsi"/>
        </w:rPr>
      </w:pPr>
      <w:r>
        <w:rPr>
          <w:rFonts w:cstheme="minorHAnsi"/>
        </w:rPr>
        <w:tab/>
        <w:t>L’obtention de valeur génétiques (BLUP) pour chaque longueur d’onde et chaque génotype. (</w:t>
      </w:r>
      <w:proofErr w:type="spellStart"/>
      <w:r>
        <w:rPr>
          <w:rFonts w:cstheme="minorHAnsi"/>
        </w:rPr>
        <w:t>cf</w:t>
      </w:r>
      <w:proofErr w:type="spellEnd"/>
      <w:r>
        <w:rPr>
          <w:rFonts w:cstheme="minorHAnsi"/>
        </w:rPr>
        <w:t xml:space="preserve"> thèse, page 80). Les modèles sont nommés respectivement HBLUP</w:t>
      </w:r>
      <w:r>
        <w:rPr>
          <w:rFonts w:cstheme="minorHAnsi"/>
          <w:vertAlign w:val="subscript"/>
        </w:rPr>
        <w:t>seed3</w:t>
      </w:r>
      <w:r>
        <w:rPr>
          <w:rFonts w:cstheme="minorHAnsi"/>
        </w:rPr>
        <w:t xml:space="preserve"> et HBLUP</w:t>
      </w:r>
      <w:r>
        <w:rPr>
          <w:rFonts w:cstheme="minorHAnsi"/>
          <w:vertAlign w:val="subscript"/>
        </w:rPr>
        <w:t>leaf3</w:t>
      </w:r>
    </w:p>
    <w:p w14:paraId="2F875FBB" w14:textId="77777777" w:rsidR="00467AFA" w:rsidRPr="00E52675" w:rsidRDefault="00467AFA" w:rsidP="00CD7F25">
      <w:pPr>
        <w:jc w:val="both"/>
        <w:rPr>
          <w:rFonts w:cstheme="minorHAnsi"/>
        </w:rPr>
      </w:pPr>
    </w:p>
    <w:p w14:paraId="2C004952" w14:textId="2D8669B1" w:rsidR="00467AFA" w:rsidRPr="000E6056" w:rsidRDefault="00467AFA" w:rsidP="00CD7F25">
      <w:pPr>
        <w:jc w:val="both"/>
      </w:pPr>
      <w:r w:rsidRPr="000E6056">
        <w:rPr>
          <w:b/>
          <w:bCs/>
        </w:rPr>
        <w:t>Prétraitement possible de notre côté :</w:t>
      </w:r>
      <w:r w:rsidR="000E6056">
        <w:rPr>
          <w:b/>
          <w:bCs/>
        </w:rPr>
        <w:t xml:space="preserve"> </w:t>
      </w:r>
      <w:r w:rsidR="000E6056">
        <w:t>(à explorer)</w:t>
      </w:r>
    </w:p>
    <w:p w14:paraId="5D82187A" w14:textId="77705881" w:rsidR="00BD639F" w:rsidRDefault="00BD639F" w:rsidP="00CD7F25">
      <w:pPr>
        <w:pStyle w:val="Paragraphedeliste"/>
        <w:numPr>
          <w:ilvl w:val="0"/>
          <w:numId w:val="2"/>
        </w:numPr>
        <w:jc w:val="both"/>
      </w:pPr>
      <w:r>
        <w:t>Centrage réduction (</w:t>
      </w:r>
      <w:proofErr w:type="spellStart"/>
      <w:r>
        <w:t>snv</w:t>
      </w:r>
      <w:proofErr w:type="spellEnd"/>
      <w:r>
        <w:t> ?)</w:t>
      </w:r>
    </w:p>
    <w:p w14:paraId="6F13B217" w14:textId="310F2D9F" w:rsidR="00BD639F" w:rsidRPr="00BD639F" w:rsidRDefault="00BD639F" w:rsidP="00CD7F25">
      <w:pPr>
        <w:pStyle w:val="Paragraphedeliste"/>
        <w:numPr>
          <w:ilvl w:val="0"/>
          <w:numId w:val="2"/>
        </w:numPr>
        <w:jc w:val="both"/>
      </w:pPr>
      <w:r>
        <w:t xml:space="preserve">Lissage de </w:t>
      </w:r>
      <w:proofErr w:type="spellStart"/>
      <w:r w:rsidRPr="00BD639F">
        <w:t>Savitzky</w:t>
      </w:r>
      <w:proofErr w:type="spellEnd"/>
      <w:r w:rsidRPr="00BD639F">
        <w:t>-Golay</w:t>
      </w:r>
    </w:p>
    <w:p w14:paraId="0A00AEEE" w14:textId="7C405C66" w:rsidR="00BD639F" w:rsidRDefault="00BD639F" w:rsidP="00CD7F25">
      <w:pPr>
        <w:pStyle w:val="Titre3"/>
        <w:tabs>
          <w:tab w:val="left" w:pos="1843"/>
        </w:tabs>
        <w:jc w:val="both"/>
      </w:pPr>
      <w:r>
        <w:t>Données de phénotype</w:t>
      </w:r>
    </w:p>
    <w:p w14:paraId="6A6EF001" w14:textId="66552A55" w:rsidR="000401AA" w:rsidRDefault="000401AA" w:rsidP="00CD7F25">
      <w:pPr>
        <w:pStyle w:val="Sansinterligne"/>
        <w:jc w:val="both"/>
      </w:pPr>
      <w:r>
        <w:t xml:space="preserve">Les données de </w:t>
      </w:r>
      <w:r w:rsidR="00C927A5">
        <w:t>phénotype</w:t>
      </w:r>
      <w:r>
        <w:t xml:space="preserve"> contiennent une variable qualitative "</w:t>
      </w:r>
      <w:proofErr w:type="spellStart"/>
      <w:r>
        <w:t>variety</w:t>
      </w:r>
      <w:proofErr w:type="spellEnd"/>
      <w:r>
        <w:t xml:space="preserve">" et 23 </w:t>
      </w:r>
      <w:proofErr w:type="spellStart"/>
      <w:r>
        <w:t>varibales</w:t>
      </w:r>
      <w:proofErr w:type="spellEnd"/>
      <w:r>
        <w:t xml:space="preserve"> quantitatives :</w:t>
      </w:r>
    </w:p>
    <w:p w14:paraId="60113F6F" w14:textId="77777777" w:rsidR="00CB2948" w:rsidRDefault="00CB2948" w:rsidP="00CD7F25">
      <w:pPr>
        <w:pStyle w:val="Sansinterligne"/>
        <w:jc w:val="both"/>
      </w:pPr>
    </w:p>
    <w:p w14:paraId="00809173" w14:textId="12094F96" w:rsidR="00CB2948" w:rsidRPr="008C6FED" w:rsidRDefault="00CB2948" w:rsidP="00CD7F25">
      <w:pPr>
        <w:pStyle w:val="Sansinterligne"/>
        <w:jc w:val="both"/>
        <w:rPr>
          <w:u w:val="single"/>
        </w:rPr>
      </w:pPr>
      <w:r w:rsidRPr="008C6FED">
        <w:rPr>
          <w:u w:val="single"/>
        </w:rPr>
        <w:t>Traits physiologiques</w:t>
      </w:r>
    </w:p>
    <w:p w14:paraId="3CFA4CAD" w14:textId="3F220161" w:rsidR="000401AA" w:rsidRPr="00072C8D" w:rsidRDefault="000401AA" w:rsidP="00CD7F25">
      <w:pPr>
        <w:pStyle w:val="Sansinterligne"/>
        <w:numPr>
          <w:ilvl w:val="0"/>
          <w:numId w:val="3"/>
        </w:numPr>
        <w:jc w:val="both"/>
      </w:pPr>
      <w:r w:rsidRPr="00072C8D">
        <w:t>LA</w:t>
      </w:r>
      <w:r w:rsidR="003B23E8" w:rsidRPr="00072C8D">
        <w:t> </w:t>
      </w:r>
      <w:r w:rsidR="003B57DA">
        <w:t>(</w:t>
      </w:r>
      <w:proofErr w:type="spellStart"/>
      <w:r w:rsidR="00072C8D" w:rsidRPr="00072C8D">
        <w:t>Leaf</w:t>
      </w:r>
      <w:proofErr w:type="spellEnd"/>
      <w:r w:rsidR="00072C8D" w:rsidRPr="00072C8D">
        <w:t xml:space="preserve"> Area</w:t>
      </w:r>
      <w:r w:rsidR="003B57DA">
        <w:t>) :</w:t>
      </w:r>
      <w:r w:rsidR="00072C8D">
        <w:t xml:space="preserve"> surface foliaire en cm</w:t>
      </w:r>
      <w:r w:rsidR="00072C8D" w:rsidRPr="003B57DA">
        <w:rPr>
          <w:vertAlign w:val="superscript"/>
        </w:rPr>
        <w:t>-2</w:t>
      </w:r>
    </w:p>
    <w:p w14:paraId="695C5B6B" w14:textId="0FF49697" w:rsidR="000401AA" w:rsidRPr="003B23E8" w:rsidRDefault="000401AA" w:rsidP="00CD7F25">
      <w:pPr>
        <w:pStyle w:val="Sansinterligne"/>
        <w:numPr>
          <w:ilvl w:val="0"/>
          <w:numId w:val="3"/>
        </w:numPr>
        <w:jc w:val="both"/>
      </w:pPr>
      <w:r w:rsidRPr="003B23E8">
        <w:t>TDW</w:t>
      </w:r>
      <w:r w:rsidR="003B57DA">
        <w:t xml:space="preserve"> (</w:t>
      </w:r>
      <w:r w:rsidR="00072C8D" w:rsidRPr="00072C8D">
        <w:t xml:space="preserve">Total Dry </w:t>
      </w:r>
      <w:proofErr w:type="spellStart"/>
      <w:r w:rsidR="00072C8D" w:rsidRPr="00072C8D">
        <w:t>Weight</w:t>
      </w:r>
      <w:proofErr w:type="spellEnd"/>
      <w:r w:rsidR="003B57DA">
        <w:t>) :</w:t>
      </w:r>
      <w:r w:rsidR="00072C8D" w:rsidRPr="00072C8D">
        <w:t xml:space="preserve"> </w:t>
      </w:r>
      <w:r w:rsidR="003B23E8" w:rsidRPr="003B23E8">
        <w:t>Masse s</w:t>
      </w:r>
      <w:r w:rsidR="003B23E8">
        <w:t>è</w:t>
      </w:r>
      <w:r w:rsidR="003B23E8" w:rsidRPr="003B23E8">
        <w:t xml:space="preserve">che de la plante totale </w:t>
      </w:r>
      <w:r w:rsidR="00072C8D">
        <w:t>en g/plante</w:t>
      </w:r>
    </w:p>
    <w:p w14:paraId="172BF828" w14:textId="1C77E893" w:rsidR="000401AA" w:rsidRPr="003B23E8" w:rsidRDefault="000401AA" w:rsidP="00CD7F25">
      <w:pPr>
        <w:pStyle w:val="Sansinterligne"/>
        <w:numPr>
          <w:ilvl w:val="0"/>
          <w:numId w:val="3"/>
        </w:numPr>
        <w:jc w:val="both"/>
      </w:pPr>
      <w:r w:rsidRPr="003B23E8">
        <w:t>ADW</w:t>
      </w:r>
      <w:r w:rsidR="003B57DA">
        <w:t xml:space="preserve"> (</w:t>
      </w:r>
      <w:proofErr w:type="spellStart"/>
      <w:r w:rsidR="00072C8D" w:rsidRPr="00072C8D">
        <w:t>Aerial</w:t>
      </w:r>
      <w:proofErr w:type="spellEnd"/>
      <w:r w:rsidR="00072C8D" w:rsidRPr="00072C8D">
        <w:t xml:space="preserve"> Dry </w:t>
      </w:r>
      <w:proofErr w:type="spellStart"/>
      <w:r w:rsidR="00072C8D" w:rsidRPr="00072C8D">
        <w:t>Weigh</w:t>
      </w:r>
      <w:proofErr w:type="spellEnd"/>
      <w:r w:rsidR="003B57DA">
        <w:t>) :</w:t>
      </w:r>
      <w:r w:rsidR="00072C8D" w:rsidRPr="00072C8D">
        <w:t xml:space="preserve"> </w:t>
      </w:r>
      <w:r w:rsidR="003B23E8" w:rsidRPr="003B23E8">
        <w:t>Masse s</w:t>
      </w:r>
      <w:r w:rsidR="003B23E8">
        <w:t>è</w:t>
      </w:r>
      <w:r w:rsidR="003B23E8" w:rsidRPr="003B23E8">
        <w:t xml:space="preserve">che de la </w:t>
      </w:r>
      <w:r w:rsidR="003B23E8">
        <w:t xml:space="preserve">partie aérienne de la </w:t>
      </w:r>
      <w:r w:rsidR="003B23E8" w:rsidRPr="003B23E8">
        <w:t>plante</w:t>
      </w:r>
      <w:r w:rsidR="00072C8D">
        <w:t xml:space="preserve"> en g/plante</w:t>
      </w:r>
    </w:p>
    <w:p w14:paraId="0CDBD9AC" w14:textId="22E45667" w:rsidR="000401AA" w:rsidRPr="003B23E8" w:rsidRDefault="000401AA" w:rsidP="00CD7F25">
      <w:pPr>
        <w:pStyle w:val="Sansinterligne"/>
        <w:numPr>
          <w:ilvl w:val="0"/>
          <w:numId w:val="3"/>
        </w:numPr>
        <w:jc w:val="both"/>
      </w:pPr>
      <w:r w:rsidRPr="003B23E8">
        <w:t>RDW</w:t>
      </w:r>
      <w:r w:rsidR="003B57DA">
        <w:t xml:space="preserve"> (</w:t>
      </w:r>
      <w:r w:rsidR="00072C8D">
        <w:t>Root</w:t>
      </w:r>
      <w:r w:rsidR="00072C8D" w:rsidRPr="00072C8D">
        <w:t xml:space="preserve"> Dry </w:t>
      </w:r>
      <w:proofErr w:type="spellStart"/>
      <w:r w:rsidR="00072C8D" w:rsidRPr="00072C8D">
        <w:t>Weigh</w:t>
      </w:r>
      <w:proofErr w:type="spellEnd"/>
      <w:r w:rsidR="003B57DA">
        <w:t>) :</w:t>
      </w:r>
      <w:r w:rsidR="00072C8D" w:rsidRPr="00072C8D">
        <w:t xml:space="preserve"> </w:t>
      </w:r>
      <w:r w:rsidR="003B23E8" w:rsidRPr="003B23E8">
        <w:t>Masse s</w:t>
      </w:r>
      <w:r w:rsidR="003B23E8">
        <w:t>è</w:t>
      </w:r>
      <w:r w:rsidR="003B23E8" w:rsidRPr="003B23E8">
        <w:t xml:space="preserve">che </w:t>
      </w:r>
      <w:r w:rsidR="003B23E8">
        <w:t>des racines</w:t>
      </w:r>
      <w:r w:rsidR="00072C8D">
        <w:t xml:space="preserve"> en g/plante</w:t>
      </w:r>
    </w:p>
    <w:p w14:paraId="37FD6AC4" w14:textId="46BB1AE0" w:rsidR="005D262B" w:rsidRPr="005D262B" w:rsidRDefault="000401AA" w:rsidP="00CD7F25">
      <w:pPr>
        <w:pStyle w:val="Sansinterligne"/>
        <w:numPr>
          <w:ilvl w:val="0"/>
          <w:numId w:val="3"/>
        </w:numPr>
        <w:jc w:val="both"/>
      </w:pPr>
      <w:r w:rsidRPr="005D262B">
        <w:t>LWR</w:t>
      </w:r>
      <w:r w:rsidR="003B57DA">
        <w:t xml:space="preserve"> (</w:t>
      </w:r>
      <w:proofErr w:type="spellStart"/>
      <w:r w:rsidR="00072C8D" w:rsidRPr="00072C8D">
        <w:t>Leaf</w:t>
      </w:r>
      <w:proofErr w:type="spellEnd"/>
      <w:r w:rsidR="00072C8D" w:rsidRPr="00072C8D">
        <w:t xml:space="preserve"> </w:t>
      </w:r>
      <w:proofErr w:type="spellStart"/>
      <w:r w:rsidR="00072C8D" w:rsidRPr="00072C8D">
        <w:t>Weight</w:t>
      </w:r>
      <w:proofErr w:type="spellEnd"/>
      <w:r w:rsidR="00072C8D" w:rsidRPr="00072C8D">
        <w:t xml:space="preserve"> Ratio</w:t>
      </w:r>
      <w:r w:rsidR="003B57DA">
        <w:t>) :</w:t>
      </w:r>
      <w:r w:rsidR="00072C8D" w:rsidRPr="00072C8D">
        <w:t xml:space="preserve"> </w:t>
      </w:r>
      <w:r w:rsidR="003B57DA">
        <w:t>Ratio entre la l</w:t>
      </w:r>
      <w:r w:rsidR="005D262B" w:rsidRPr="005D262B">
        <w:t>ongueur</w:t>
      </w:r>
      <w:r w:rsidR="003B57DA">
        <w:t xml:space="preserve"> et la </w:t>
      </w:r>
      <w:r w:rsidR="003B57DA" w:rsidRPr="005D262B">
        <w:t>largeur</w:t>
      </w:r>
      <w:r w:rsidR="003B57DA">
        <w:t xml:space="preserve"> d’une feuille</w:t>
      </w:r>
    </w:p>
    <w:p w14:paraId="4F73514C" w14:textId="0DF67673" w:rsidR="000401AA" w:rsidRPr="005D262B" w:rsidRDefault="000401AA" w:rsidP="00CD7F25">
      <w:pPr>
        <w:pStyle w:val="Sansinterligne"/>
        <w:numPr>
          <w:ilvl w:val="0"/>
          <w:numId w:val="3"/>
        </w:numPr>
        <w:jc w:val="both"/>
      </w:pPr>
      <w:r w:rsidRPr="005D262B">
        <w:t>LAR</w:t>
      </w:r>
      <w:r w:rsidR="005D262B" w:rsidRPr="005D262B">
        <w:t> </w:t>
      </w:r>
      <w:r w:rsidR="003B57DA">
        <w:t>(</w:t>
      </w:r>
      <w:proofErr w:type="spellStart"/>
      <w:r w:rsidR="005D262B" w:rsidRPr="005D262B">
        <w:t>Leaf</w:t>
      </w:r>
      <w:proofErr w:type="spellEnd"/>
      <w:r w:rsidR="005D262B" w:rsidRPr="005D262B">
        <w:t xml:space="preserve"> </w:t>
      </w:r>
      <w:r w:rsidR="003B57DA">
        <w:t>A</w:t>
      </w:r>
      <w:r w:rsidR="00072C8D">
        <w:t>rea</w:t>
      </w:r>
      <w:r w:rsidR="005D262B" w:rsidRPr="005D262B">
        <w:t xml:space="preserve"> </w:t>
      </w:r>
      <w:r w:rsidR="003B57DA">
        <w:t>R</w:t>
      </w:r>
      <w:r w:rsidR="00072C8D">
        <w:t>atio</w:t>
      </w:r>
      <w:r w:rsidR="003B57DA">
        <w:t>) :</w:t>
      </w:r>
      <w:r w:rsidR="005D262B" w:rsidRPr="005D262B">
        <w:t xml:space="preserve"> </w:t>
      </w:r>
      <w:r w:rsidR="003B57DA">
        <w:t>C</w:t>
      </w:r>
      <w:r w:rsidR="005D262B" w:rsidRPr="005D262B">
        <w:t xml:space="preserve">orrespond </w:t>
      </w:r>
      <w:r w:rsidR="00072C8D">
        <w:t xml:space="preserve">au rapport entre la surface foliaire LA et la masse sèche de la plante totale TDW en </w:t>
      </w:r>
      <w:r w:rsidR="00072C8D" w:rsidRPr="00072C8D">
        <w:t>cm².g</w:t>
      </w:r>
      <w:r w:rsidR="00072C8D" w:rsidRPr="003B57DA">
        <w:rPr>
          <w:vertAlign w:val="superscript"/>
        </w:rPr>
        <w:t>‐1</w:t>
      </w:r>
    </w:p>
    <w:p w14:paraId="47110DE2" w14:textId="77777777" w:rsidR="00C927A5" w:rsidRPr="00C927A5" w:rsidRDefault="000401AA" w:rsidP="00CD7F25">
      <w:pPr>
        <w:pStyle w:val="Sansinterligne"/>
        <w:numPr>
          <w:ilvl w:val="0"/>
          <w:numId w:val="3"/>
        </w:numPr>
        <w:jc w:val="both"/>
      </w:pPr>
      <w:r w:rsidRPr="005D262B">
        <w:t>SLA</w:t>
      </w:r>
      <w:r w:rsidR="003B57DA">
        <w:t xml:space="preserve"> (</w:t>
      </w:r>
      <w:proofErr w:type="spellStart"/>
      <w:r w:rsidR="00F32AE9" w:rsidRPr="00F32AE9">
        <w:t>Specific</w:t>
      </w:r>
      <w:proofErr w:type="spellEnd"/>
      <w:r w:rsidR="00F32AE9" w:rsidRPr="00F32AE9">
        <w:t xml:space="preserve"> </w:t>
      </w:r>
      <w:proofErr w:type="spellStart"/>
      <w:r w:rsidR="00F32AE9" w:rsidRPr="00F32AE9">
        <w:t>Leaf</w:t>
      </w:r>
      <w:proofErr w:type="spellEnd"/>
      <w:r w:rsidR="00F32AE9" w:rsidRPr="00F32AE9">
        <w:t xml:space="preserve"> Area</w:t>
      </w:r>
      <w:r w:rsidR="003B57DA">
        <w:t>) :</w:t>
      </w:r>
      <w:r w:rsidR="00F32AE9" w:rsidRPr="00F32AE9">
        <w:t xml:space="preserve"> </w:t>
      </w:r>
      <w:r w:rsidR="003B57DA">
        <w:t>R</w:t>
      </w:r>
      <w:r w:rsidR="005D262B">
        <w:t>apport entre la surface foliaire et la masse sèche des feuilles</w:t>
      </w:r>
      <w:r w:rsidR="00F32AE9">
        <w:t xml:space="preserve"> en </w:t>
      </w:r>
      <w:r w:rsidR="00F32AE9" w:rsidRPr="00F32AE9">
        <w:t>cm².g</w:t>
      </w:r>
      <w:r w:rsidR="00F32AE9" w:rsidRPr="003B57DA">
        <w:rPr>
          <w:vertAlign w:val="superscript"/>
        </w:rPr>
        <w:t>‐1</w:t>
      </w:r>
      <w:r w:rsidR="00C927A5">
        <w:rPr>
          <w:vertAlign w:val="superscript"/>
        </w:rPr>
        <w:t xml:space="preserve"> </w:t>
      </w:r>
    </w:p>
    <w:p w14:paraId="6CBECB9D" w14:textId="744E6BD8" w:rsidR="000401AA" w:rsidRDefault="00C927A5" w:rsidP="00CD7F25">
      <w:pPr>
        <w:pStyle w:val="Sansinterligne"/>
        <w:numPr>
          <w:ilvl w:val="0"/>
          <w:numId w:val="3"/>
        </w:numPr>
        <w:jc w:val="both"/>
      </w:pPr>
      <w:r>
        <w:t>SR (</w:t>
      </w:r>
      <w:r w:rsidRPr="00981D73">
        <w:t>Shoot</w:t>
      </w:r>
      <w:r>
        <w:t>-</w:t>
      </w:r>
      <w:r w:rsidRPr="00981D73">
        <w:t>Root Ratio</w:t>
      </w:r>
      <w:r>
        <w:t>) : Rapport entre la masse sèche aérienne ADW et la masse sèche de racine RDW.</w:t>
      </w:r>
    </w:p>
    <w:p w14:paraId="5EB6BCE0" w14:textId="76E99AF6" w:rsidR="000401AA" w:rsidRPr="00981D73" w:rsidRDefault="000401AA" w:rsidP="00CD7F25">
      <w:pPr>
        <w:pStyle w:val="Sansinterligne"/>
        <w:numPr>
          <w:ilvl w:val="0"/>
          <w:numId w:val="3"/>
        </w:numPr>
        <w:jc w:val="both"/>
      </w:pPr>
      <w:r w:rsidRPr="00981D73">
        <w:t>SNQ</w:t>
      </w:r>
      <w:r w:rsidR="005D262B" w:rsidRPr="00981D73">
        <w:t> </w:t>
      </w:r>
      <w:r w:rsidR="003B57DA">
        <w:t>(</w:t>
      </w:r>
      <w:r w:rsidR="00981D73" w:rsidRPr="00981D73">
        <w:t xml:space="preserve">Shoot </w:t>
      </w:r>
      <w:proofErr w:type="spellStart"/>
      <w:r w:rsidR="00981D73" w:rsidRPr="00981D73">
        <w:t>Nitrogen</w:t>
      </w:r>
      <w:proofErr w:type="spellEnd"/>
      <w:r w:rsidR="00981D73" w:rsidRPr="00981D73">
        <w:t xml:space="preserve"> </w:t>
      </w:r>
      <w:proofErr w:type="spellStart"/>
      <w:r w:rsidR="00981D73" w:rsidRPr="00981D73">
        <w:t>Quantity</w:t>
      </w:r>
      <w:proofErr w:type="spellEnd"/>
      <w:r w:rsidR="003B57DA">
        <w:t>) :</w:t>
      </w:r>
      <w:r w:rsidR="00981D73" w:rsidRPr="00981D73">
        <w:t xml:space="preserve"> </w:t>
      </w:r>
      <w:r w:rsidR="003B57DA">
        <w:t>Q</w:t>
      </w:r>
      <w:r w:rsidR="00981D73" w:rsidRPr="00981D73">
        <w:t>ua</w:t>
      </w:r>
      <w:r w:rsidR="00981D73">
        <w:t>ntité d’azote dans les parties aérienne en g</w:t>
      </w:r>
    </w:p>
    <w:p w14:paraId="22D85E1B" w14:textId="6D2432CA" w:rsidR="000401AA" w:rsidRPr="00981D73" w:rsidRDefault="000401AA" w:rsidP="00CD7F25">
      <w:pPr>
        <w:pStyle w:val="Sansinterligne"/>
        <w:numPr>
          <w:ilvl w:val="0"/>
          <w:numId w:val="3"/>
        </w:numPr>
        <w:jc w:val="both"/>
      </w:pPr>
      <w:r w:rsidRPr="00981D73">
        <w:t>LASNQ</w:t>
      </w:r>
      <w:r w:rsidR="005D262B" w:rsidRPr="00981D73">
        <w:t> </w:t>
      </w:r>
      <w:r w:rsidR="003B57DA">
        <w:t>(</w:t>
      </w:r>
      <w:proofErr w:type="spellStart"/>
      <w:r w:rsidR="00981D73" w:rsidRPr="00981D73">
        <w:t>Leaf</w:t>
      </w:r>
      <w:proofErr w:type="spellEnd"/>
      <w:r w:rsidR="00981D73" w:rsidRPr="00981D73">
        <w:t xml:space="preserve"> Area</w:t>
      </w:r>
      <w:r w:rsidR="003B57DA">
        <w:t>-</w:t>
      </w:r>
      <w:r w:rsidR="00981D73" w:rsidRPr="00981D73">
        <w:t xml:space="preserve">Shoot </w:t>
      </w:r>
      <w:proofErr w:type="spellStart"/>
      <w:r w:rsidR="00981D73" w:rsidRPr="00981D73">
        <w:t>Nitrogen</w:t>
      </w:r>
      <w:proofErr w:type="spellEnd"/>
      <w:r w:rsidR="00981D73" w:rsidRPr="00981D73">
        <w:t xml:space="preserve"> </w:t>
      </w:r>
      <w:proofErr w:type="spellStart"/>
      <w:r w:rsidR="00981D73" w:rsidRPr="00981D73">
        <w:t>Quantity</w:t>
      </w:r>
      <w:proofErr w:type="spellEnd"/>
      <w:r w:rsidR="003B57DA">
        <w:t>) :</w:t>
      </w:r>
      <w:r w:rsidR="00981D73" w:rsidRPr="00981D73">
        <w:t xml:space="preserve"> Rapport entre la su</w:t>
      </w:r>
      <w:r w:rsidR="00981D73">
        <w:t xml:space="preserve">rface foliaire LA et la </w:t>
      </w:r>
      <w:r w:rsidR="00981D73" w:rsidRPr="00981D73">
        <w:t>qua</w:t>
      </w:r>
      <w:r w:rsidR="00981D73">
        <w:t xml:space="preserve">ntité d’azote dans les parties aérienne SNQ en </w:t>
      </w:r>
      <w:r w:rsidR="00981D73" w:rsidRPr="00981D73">
        <w:t>cm².g</w:t>
      </w:r>
      <w:r w:rsidR="00981D73" w:rsidRPr="003B57DA">
        <w:rPr>
          <w:vertAlign w:val="superscript"/>
        </w:rPr>
        <w:t>‐1</w:t>
      </w:r>
    </w:p>
    <w:p w14:paraId="463921C3" w14:textId="1546BEC5" w:rsidR="000401AA" w:rsidRPr="00981D73" w:rsidRDefault="000401AA" w:rsidP="00CD7F25">
      <w:pPr>
        <w:pStyle w:val="Sansinterligne"/>
        <w:numPr>
          <w:ilvl w:val="0"/>
          <w:numId w:val="3"/>
        </w:numPr>
        <w:jc w:val="both"/>
      </w:pPr>
      <w:r w:rsidRPr="00981D73">
        <w:t>TNQ</w:t>
      </w:r>
      <w:r w:rsidR="005D262B" w:rsidRPr="00981D73">
        <w:t> </w:t>
      </w:r>
      <w:r w:rsidR="003B57DA">
        <w:t>(</w:t>
      </w:r>
      <w:r w:rsidR="00981D73" w:rsidRPr="00981D73">
        <w:t xml:space="preserve">Total </w:t>
      </w:r>
      <w:proofErr w:type="spellStart"/>
      <w:r w:rsidR="00981D73" w:rsidRPr="00981D73">
        <w:t>Nitrogen</w:t>
      </w:r>
      <w:proofErr w:type="spellEnd"/>
      <w:r w:rsidR="00981D73" w:rsidRPr="00981D73">
        <w:t xml:space="preserve"> </w:t>
      </w:r>
      <w:proofErr w:type="spellStart"/>
      <w:r w:rsidR="00981D73" w:rsidRPr="00981D73">
        <w:t>Quantity</w:t>
      </w:r>
      <w:proofErr w:type="spellEnd"/>
      <w:r w:rsidR="003B57DA">
        <w:t>) :</w:t>
      </w:r>
      <w:r w:rsidR="00981D73">
        <w:t xml:space="preserve"> Quantité totale d’azote dans la plante</w:t>
      </w:r>
      <w:r w:rsidR="003B57DA">
        <w:t xml:space="preserve"> en g</w:t>
      </w:r>
    </w:p>
    <w:p w14:paraId="5AC8B436" w14:textId="2D550715" w:rsidR="000401AA" w:rsidRPr="00D53191" w:rsidRDefault="000401AA" w:rsidP="00CD7F25">
      <w:pPr>
        <w:pStyle w:val="Sansinterligne"/>
        <w:numPr>
          <w:ilvl w:val="0"/>
          <w:numId w:val="3"/>
        </w:numPr>
        <w:jc w:val="both"/>
      </w:pPr>
      <w:r w:rsidRPr="00D53191">
        <w:t>SNU</w:t>
      </w:r>
      <w:r w:rsidR="005D262B" w:rsidRPr="00D53191">
        <w:t> </w:t>
      </w:r>
      <w:r w:rsidR="008C6FED">
        <w:t>(P</w:t>
      </w:r>
      <w:r w:rsidR="00D53191" w:rsidRPr="00D53191">
        <w:t>lant-</w:t>
      </w:r>
      <w:proofErr w:type="spellStart"/>
      <w:r w:rsidR="00D53191" w:rsidRPr="00D53191">
        <w:t>Specific</w:t>
      </w:r>
      <w:proofErr w:type="spellEnd"/>
      <w:r w:rsidR="00D53191" w:rsidRPr="00D53191">
        <w:t xml:space="preserve"> N </w:t>
      </w:r>
      <w:proofErr w:type="spellStart"/>
      <w:r w:rsidR="00D53191" w:rsidRPr="00D53191">
        <w:t>Uptake</w:t>
      </w:r>
      <w:proofErr w:type="spellEnd"/>
      <w:r w:rsidR="008C6FED">
        <w:t>) :</w:t>
      </w:r>
      <w:r w:rsidR="00D53191" w:rsidRPr="00D53191">
        <w:t xml:space="preserve"> </w:t>
      </w:r>
      <w:r w:rsidR="008C6FED">
        <w:t>C</w:t>
      </w:r>
      <w:r w:rsidR="00D53191" w:rsidRPr="00D53191">
        <w:t>orrespond à la pente de</w:t>
      </w:r>
      <w:r w:rsidR="00D53191">
        <w:t xml:space="preserve"> la régression entre la quantité d’azote totale dans la plante et la masse sèche de racine</w:t>
      </w:r>
    </w:p>
    <w:p w14:paraId="44B2D5B2" w14:textId="21181D3A" w:rsidR="000401AA" w:rsidRPr="00D53191" w:rsidRDefault="000401AA" w:rsidP="00CD7F25">
      <w:pPr>
        <w:pStyle w:val="Sansinterligne"/>
        <w:numPr>
          <w:ilvl w:val="0"/>
          <w:numId w:val="3"/>
        </w:numPr>
        <w:jc w:val="both"/>
      </w:pPr>
      <w:proofErr w:type="spellStart"/>
      <w:r w:rsidRPr="00D53191">
        <w:t>NUtE_tot</w:t>
      </w:r>
      <w:proofErr w:type="spellEnd"/>
      <w:r w:rsidR="008C6FED">
        <w:t xml:space="preserve"> : </w:t>
      </w:r>
      <w:r w:rsidR="00D53191" w:rsidRPr="00D53191">
        <w:t>Ratio entre le</w:t>
      </w:r>
      <w:r w:rsidR="00D53191">
        <w:t>s apports et les sorties d’azote pour l’ensemble de la plante</w:t>
      </w:r>
    </w:p>
    <w:p w14:paraId="587AAB76" w14:textId="4DDB3836" w:rsidR="000401AA" w:rsidRDefault="000401AA" w:rsidP="00CD7F25">
      <w:pPr>
        <w:pStyle w:val="Sansinterligne"/>
        <w:numPr>
          <w:ilvl w:val="0"/>
          <w:numId w:val="3"/>
        </w:numPr>
        <w:jc w:val="both"/>
      </w:pPr>
      <w:proofErr w:type="spellStart"/>
      <w:r w:rsidRPr="00D53191">
        <w:t>NUtE_aer</w:t>
      </w:r>
      <w:proofErr w:type="spellEnd"/>
      <w:r w:rsidR="00D53191" w:rsidRPr="00D53191">
        <w:t>: Ratio entre le</w:t>
      </w:r>
      <w:r w:rsidR="00D53191">
        <w:t>s apports et les sorties d’azote pour les parties aériennes de la plante</w:t>
      </w:r>
    </w:p>
    <w:p w14:paraId="541F7AB7" w14:textId="77777777" w:rsidR="00CB2948" w:rsidRDefault="00CB2948" w:rsidP="00CD7F25">
      <w:pPr>
        <w:pStyle w:val="Sansinterligne"/>
        <w:jc w:val="both"/>
      </w:pPr>
    </w:p>
    <w:p w14:paraId="4617AEBB" w14:textId="06A6C3E9" w:rsidR="00CB2948" w:rsidRPr="008C6FED" w:rsidRDefault="00CB2948" w:rsidP="00CD7F25">
      <w:pPr>
        <w:pStyle w:val="Sansinterligne"/>
        <w:jc w:val="both"/>
        <w:rPr>
          <w:u w:val="single"/>
        </w:rPr>
      </w:pPr>
      <w:r w:rsidRPr="008C6FED">
        <w:rPr>
          <w:u w:val="single"/>
        </w:rPr>
        <w:t>Traits développementaux </w:t>
      </w:r>
    </w:p>
    <w:p w14:paraId="63EE0716" w14:textId="7940579D" w:rsidR="003B23E8" w:rsidRPr="00D53191" w:rsidRDefault="003B23E8" w:rsidP="00CD7F25">
      <w:pPr>
        <w:pStyle w:val="Sansinterligne"/>
        <w:numPr>
          <w:ilvl w:val="0"/>
          <w:numId w:val="4"/>
        </w:numPr>
        <w:jc w:val="both"/>
      </w:pPr>
      <w:proofErr w:type="spellStart"/>
      <w:r w:rsidRPr="00D53191">
        <w:t>AUC_L</w:t>
      </w:r>
      <w:r w:rsidR="00981D73">
        <w:t>a</w:t>
      </w:r>
      <w:r w:rsidRPr="00D53191">
        <w:t>_L</w:t>
      </w:r>
      <w:r w:rsidR="00981D73">
        <w:t>b</w:t>
      </w:r>
      <w:proofErr w:type="spellEnd"/>
      <w:r w:rsidR="00D53191">
        <w:t> :</w:t>
      </w:r>
      <w:r w:rsidR="00981D73">
        <w:t xml:space="preserve"> Aire sous la courbe </w:t>
      </w:r>
      <w:r w:rsidR="007C6ADF">
        <w:t xml:space="preserve">décrivant la surface foliaire au cours du temps </w:t>
      </w:r>
      <w:r w:rsidR="00981D73">
        <w:t>entre l</w:t>
      </w:r>
      <w:r w:rsidR="003B57DA">
        <w:t>’émergence des</w:t>
      </w:r>
      <w:r w:rsidR="00981D73">
        <w:t xml:space="preserve"> feuilles a et b</w:t>
      </w:r>
    </w:p>
    <w:p w14:paraId="603A740B" w14:textId="736520B0" w:rsidR="003B23E8" w:rsidRDefault="003B23E8" w:rsidP="00CD7F25">
      <w:pPr>
        <w:pStyle w:val="Sansinterligne"/>
        <w:numPr>
          <w:ilvl w:val="0"/>
          <w:numId w:val="4"/>
        </w:numPr>
        <w:jc w:val="both"/>
      </w:pPr>
      <w:proofErr w:type="spellStart"/>
      <w:r>
        <w:t>Sp_L</w:t>
      </w:r>
      <w:r w:rsidR="00981D73">
        <w:t>a</w:t>
      </w:r>
      <w:r>
        <w:t>_L</w:t>
      </w:r>
      <w:r w:rsidR="00981D73">
        <w:t>b</w:t>
      </w:r>
      <w:proofErr w:type="spellEnd"/>
      <w:r w:rsidR="00981D73">
        <w:t> : Vitesse de développement entre les feuilles a et b</w:t>
      </w:r>
    </w:p>
    <w:p w14:paraId="4AC07193" w14:textId="16556E13" w:rsidR="00232F8E" w:rsidRDefault="003B23E8" w:rsidP="00CD7F25">
      <w:pPr>
        <w:pStyle w:val="Sansinterligne"/>
        <w:numPr>
          <w:ilvl w:val="0"/>
          <w:numId w:val="4"/>
        </w:numPr>
        <w:jc w:val="both"/>
      </w:pPr>
      <w:r>
        <w:t>SCA</w:t>
      </w:r>
      <w:r w:rsidR="00072C8D">
        <w:t xml:space="preserve"> : Résultat d’analyse des correspondances simple </w:t>
      </w:r>
    </w:p>
    <w:p w14:paraId="53737AD7" w14:textId="77777777" w:rsidR="000401AA" w:rsidRPr="003B23E8" w:rsidRDefault="000401AA" w:rsidP="00CD7F25">
      <w:pPr>
        <w:pStyle w:val="Sansinterligne"/>
        <w:jc w:val="both"/>
      </w:pPr>
    </w:p>
    <w:p w14:paraId="24D5A48F" w14:textId="6EE91158" w:rsidR="002D3AD4" w:rsidRPr="0094774A" w:rsidRDefault="002D3AD4" w:rsidP="00CD7F25">
      <w:pPr>
        <w:pStyle w:val="Titre4"/>
        <w:jc w:val="both"/>
      </w:pPr>
      <w:r w:rsidRPr="0094774A">
        <w:lastRenderedPageBreak/>
        <w:t>ACP/AFM</w:t>
      </w:r>
    </w:p>
    <w:p w14:paraId="7F7F253E" w14:textId="77777777" w:rsidR="00A471D2" w:rsidRDefault="00A471D2" w:rsidP="00CD7F25">
      <w:pPr>
        <w:pStyle w:val="Sansinterligne"/>
        <w:jc w:val="both"/>
        <w:rPr>
          <w:u w:val="single"/>
        </w:rPr>
      </w:pPr>
      <w:r w:rsidRPr="00232F8E">
        <w:rPr>
          <w:u w:val="single"/>
        </w:rPr>
        <w:t>AFM</w:t>
      </w:r>
    </w:p>
    <w:p w14:paraId="4BC4AA91" w14:textId="3ADC4A33" w:rsidR="00A471D2" w:rsidRDefault="00A471D2" w:rsidP="00CD7F25">
      <w:pPr>
        <w:pStyle w:val="Sansinterligne"/>
        <w:jc w:val="both"/>
      </w:pPr>
      <w:r w:rsidRPr="00232F8E">
        <w:t xml:space="preserve">Une analyse factorielle </w:t>
      </w:r>
      <w:r>
        <w:t>a été réalisée pour</w:t>
      </w:r>
      <w:r w:rsidRPr="00232F8E">
        <w:t xml:space="preserve"> voir les ressemblances entre variétés</w:t>
      </w:r>
      <w:r w:rsidR="00BB197E">
        <w:t>/génotypes</w:t>
      </w:r>
      <w:r w:rsidRPr="00232F8E">
        <w:t xml:space="preserve"> pour l'ensemble des </w:t>
      </w:r>
      <w:r w:rsidR="00BB197E">
        <w:t>phénotypes et</w:t>
      </w:r>
      <w:r w:rsidRPr="00232F8E">
        <w:t xml:space="preserve"> de voir la relation en les variables.</w:t>
      </w:r>
      <w:r>
        <w:t xml:space="preserve"> Plus précisément, </w:t>
      </w:r>
      <w:r w:rsidRPr="00232F8E">
        <w:t>une</w:t>
      </w:r>
      <w:r>
        <w:t xml:space="preserve"> </w:t>
      </w:r>
      <w:r w:rsidRPr="00232F8E">
        <w:t xml:space="preserve">AFM </w:t>
      </w:r>
      <w:r>
        <w:t>a été réalisée en considérant les groupes de variables «</w:t>
      </w:r>
      <w:r w:rsidRPr="00232F8E">
        <w:t>Traits physiologiques</w:t>
      </w:r>
      <w:r>
        <w:t> » et « </w:t>
      </w:r>
      <w:r w:rsidRPr="00232F8E">
        <w:t>Traits développementaux</w:t>
      </w:r>
      <w:r>
        <w:t xml:space="preserve"> ». Le but est </w:t>
      </w:r>
      <w:r w:rsidRPr="00232F8E">
        <w:t>de voir les différences ou ressemblances entre les deux groupes de variables</w:t>
      </w:r>
      <w:r>
        <w:t xml:space="preserve"> du point de vue des variables et des individus. </w:t>
      </w:r>
    </w:p>
    <w:p w14:paraId="52D05E02" w14:textId="77777777" w:rsidR="00A471D2" w:rsidRDefault="00A471D2" w:rsidP="00CD7F25">
      <w:pPr>
        <w:pStyle w:val="Sansinterligne"/>
        <w:jc w:val="both"/>
      </w:pPr>
    </w:p>
    <w:p w14:paraId="1EB34AB2" w14:textId="77777777" w:rsidR="00A471D2" w:rsidRDefault="00A471D2" w:rsidP="00CD7F25">
      <w:pPr>
        <w:pStyle w:val="Sansinterligne"/>
        <w:jc w:val="both"/>
      </w:pPr>
      <w:r>
        <w:t>Le plan 1,2 explique 56.6 % de la variabilité</w:t>
      </w:r>
    </w:p>
    <w:p w14:paraId="5F454B94" w14:textId="77777777" w:rsidR="00A471D2" w:rsidRDefault="00A471D2" w:rsidP="00CD7F25">
      <w:pPr>
        <w:pStyle w:val="Sansinterligne"/>
        <w:jc w:val="both"/>
      </w:pPr>
      <w:r>
        <w:t xml:space="preserve">Les variables du groupes « traits développementaux » sont corrélées aux dimensions 1 et 2 (0.84 et 0.55 respectivement). </w:t>
      </w:r>
    </w:p>
    <w:p w14:paraId="00716076" w14:textId="77777777" w:rsidR="00A471D2" w:rsidRDefault="00A471D2" w:rsidP="00CD7F25">
      <w:pPr>
        <w:pStyle w:val="Sansinterligne"/>
        <w:jc w:val="both"/>
      </w:pPr>
      <w:r>
        <w:t>Les variables du groupes « t</w:t>
      </w:r>
      <w:r w:rsidRPr="00232F8E">
        <w:t>raits physiologiques</w:t>
      </w:r>
      <w:r>
        <w:t xml:space="preserve"> » sont corrélées aux dimensions 1, 2, 3 et 4 (0.8, 0.6,  0.99 et 0.99 respectivement). </w:t>
      </w:r>
    </w:p>
    <w:p w14:paraId="188E2D5E" w14:textId="77777777" w:rsidR="00A471D2" w:rsidRDefault="00A471D2" w:rsidP="00CD7F25">
      <w:pPr>
        <w:pStyle w:val="Sansinterligne"/>
        <w:jc w:val="both"/>
      </w:pPr>
    </w:p>
    <w:p w14:paraId="216F1FDB" w14:textId="77777777" w:rsidR="00A471D2" w:rsidRDefault="00A471D2" w:rsidP="00CD7F25">
      <w:pPr>
        <w:pStyle w:val="Sansinterligne"/>
        <w:jc w:val="both"/>
      </w:pPr>
      <w:r>
        <w:t>Concernant les variables :</w:t>
      </w:r>
    </w:p>
    <w:p w14:paraId="3F25D615" w14:textId="77777777" w:rsidR="00A471D2" w:rsidRDefault="00A471D2" w:rsidP="00CD7F25">
      <w:pPr>
        <w:pStyle w:val="Sansinterligne"/>
        <w:jc w:val="both"/>
      </w:pPr>
      <w:r>
        <w:t xml:space="preserve">Sur le plan 1-2, les deux groupes de variables sont localisés sur deux bissectrices différentes sur le graphe des variables. La bissectrice du groupe « traits physiologique » permet de voir une forte corrélation entre les variables RDW, TDW, ADW, LA et anti corrélé à la variables LAR et SLA. La bissectrice du groupe « traits développementaux » montre une forte corrélation entre les variables </w:t>
      </w:r>
      <w:proofErr w:type="spellStart"/>
      <w:r>
        <w:t>Sp</w:t>
      </w:r>
      <w:proofErr w:type="spellEnd"/>
      <w:r>
        <w:t xml:space="preserve"> et AUC et anti corrélé avec SCA. </w:t>
      </w:r>
    </w:p>
    <w:p w14:paraId="2992CAB2" w14:textId="77777777" w:rsidR="00A471D2" w:rsidRDefault="00A471D2" w:rsidP="00CD7F25">
      <w:pPr>
        <w:pStyle w:val="Sansinterligne"/>
        <w:jc w:val="both"/>
      </w:pPr>
      <w:r>
        <w:t xml:space="preserve">Ce plan 1-2 représente principalement les différences entre les traits physiologiques et les traits développementaux. </w:t>
      </w:r>
    </w:p>
    <w:p w14:paraId="7F76CF66" w14:textId="77777777" w:rsidR="00A471D2" w:rsidRDefault="00A471D2" w:rsidP="00CD7F25">
      <w:pPr>
        <w:pStyle w:val="Sansinterligne"/>
        <w:jc w:val="both"/>
      </w:pPr>
      <w:r w:rsidRPr="008D7EED">
        <w:rPr>
          <w:noProof/>
        </w:rPr>
        <w:drawing>
          <wp:inline distT="0" distB="0" distL="0" distR="0" wp14:anchorId="397B79B7" wp14:editId="70E0C52C">
            <wp:extent cx="5760720" cy="4427855"/>
            <wp:effectExtent l="0" t="0" r="0" b="0"/>
            <wp:docPr id="1178372218"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72218" name="Image 1" descr="Une image contenant texte, diagramme, ligne, Tracé&#10;&#10;Le contenu généré par l’IA peut être incorrect."/>
                    <pic:cNvPicPr/>
                  </pic:nvPicPr>
                  <pic:blipFill>
                    <a:blip r:embed="rId5"/>
                    <a:stretch>
                      <a:fillRect/>
                    </a:stretch>
                  </pic:blipFill>
                  <pic:spPr>
                    <a:xfrm>
                      <a:off x="0" y="0"/>
                      <a:ext cx="5760720" cy="4427855"/>
                    </a:xfrm>
                    <a:prstGeom prst="rect">
                      <a:avLst/>
                    </a:prstGeom>
                  </pic:spPr>
                </pic:pic>
              </a:graphicData>
            </a:graphic>
          </wp:inline>
        </w:drawing>
      </w:r>
    </w:p>
    <w:p w14:paraId="0BFF79DD" w14:textId="77777777" w:rsidR="00A471D2" w:rsidRDefault="00A471D2" w:rsidP="00CD7F25">
      <w:pPr>
        <w:pStyle w:val="Sansinterligne"/>
        <w:jc w:val="both"/>
      </w:pPr>
    </w:p>
    <w:p w14:paraId="62F2C5DC" w14:textId="77777777" w:rsidR="00A471D2" w:rsidRDefault="00A471D2" w:rsidP="00CD7F25">
      <w:pPr>
        <w:pStyle w:val="Sansinterligne"/>
        <w:jc w:val="both"/>
      </w:pPr>
      <w:r>
        <w:lastRenderedPageBreak/>
        <w:t xml:space="preserve">Sur le plan 3-4, on observe que les variables des traits physiologiques sont dirigées à droite du cercle des corrélations. Une forte corrélation entre les variables SR, LWR et SNU d’une part et une forte corrélation entre les variables LASNQ, SLA, LAR, </w:t>
      </w:r>
      <w:proofErr w:type="spellStart"/>
      <w:r w:rsidRPr="00D53191">
        <w:t>NUtE_tot</w:t>
      </w:r>
      <w:proofErr w:type="spellEnd"/>
      <w:r>
        <w:t xml:space="preserve"> et </w:t>
      </w:r>
      <w:proofErr w:type="spellStart"/>
      <w:r w:rsidRPr="00D53191">
        <w:t>NUtE_ae</w:t>
      </w:r>
      <w:r>
        <w:t>r</w:t>
      </w:r>
      <w:proofErr w:type="spellEnd"/>
      <w:r>
        <w:t xml:space="preserve"> d’autre part. </w:t>
      </w:r>
    </w:p>
    <w:p w14:paraId="169D7A11" w14:textId="77777777" w:rsidR="00A471D2" w:rsidRDefault="00A471D2" w:rsidP="00CD7F25">
      <w:pPr>
        <w:pStyle w:val="Sansinterligne"/>
        <w:jc w:val="both"/>
      </w:pPr>
      <w:r>
        <w:t xml:space="preserve">Ce plan 3-4 représente donc des différences dans les variables des traits physiologiques. </w:t>
      </w:r>
    </w:p>
    <w:p w14:paraId="32609C4B" w14:textId="77777777" w:rsidR="00A471D2" w:rsidRDefault="00A471D2" w:rsidP="00CD7F25">
      <w:pPr>
        <w:pStyle w:val="Sansinterligne"/>
        <w:jc w:val="both"/>
      </w:pPr>
    </w:p>
    <w:p w14:paraId="3F58B2FA" w14:textId="77777777" w:rsidR="00A471D2" w:rsidRDefault="00A471D2" w:rsidP="00CD7F25">
      <w:pPr>
        <w:pStyle w:val="Sansinterligne"/>
        <w:jc w:val="both"/>
      </w:pPr>
      <w:r w:rsidRPr="008D7EED">
        <w:rPr>
          <w:noProof/>
        </w:rPr>
        <w:drawing>
          <wp:inline distT="0" distB="0" distL="0" distR="0" wp14:anchorId="053E62BB" wp14:editId="79F91002">
            <wp:extent cx="5760720" cy="4335145"/>
            <wp:effectExtent l="0" t="0" r="0" b="8255"/>
            <wp:docPr id="1833679288"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79288" name="Image 1" descr="Une image contenant texte, diagramme, ligne, Tracé&#10;&#10;Le contenu généré par l’IA peut être incorrect."/>
                    <pic:cNvPicPr/>
                  </pic:nvPicPr>
                  <pic:blipFill>
                    <a:blip r:embed="rId6"/>
                    <a:stretch>
                      <a:fillRect/>
                    </a:stretch>
                  </pic:blipFill>
                  <pic:spPr>
                    <a:xfrm>
                      <a:off x="0" y="0"/>
                      <a:ext cx="5760720" cy="4335145"/>
                    </a:xfrm>
                    <a:prstGeom prst="rect">
                      <a:avLst/>
                    </a:prstGeom>
                  </pic:spPr>
                </pic:pic>
              </a:graphicData>
            </a:graphic>
          </wp:inline>
        </w:drawing>
      </w:r>
    </w:p>
    <w:p w14:paraId="48D6F078" w14:textId="77777777" w:rsidR="00A471D2" w:rsidRDefault="00A471D2" w:rsidP="00CD7F25">
      <w:pPr>
        <w:pStyle w:val="Sansinterligne"/>
        <w:jc w:val="both"/>
      </w:pPr>
    </w:p>
    <w:p w14:paraId="78D408A7" w14:textId="77777777" w:rsidR="00A471D2" w:rsidRDefault="00A471D2" w:rsidP="00CD7F25">
      <w:pPr>
        <w:pStyle w:val="Sansinterligne"/>
        <w:jc w:val="both"/>
      </w:pPr>
      <w:r>
        <w:t>Concernant les individus :</w:t>
      </w:r>
    </w:p>
    <w:p w14:paraId="795CDF6F" w14:textId="77777777" w:rsidR="00A471D2" w:rsidRDefault="00A471D2" w:rsidP="00CD7F25">
      <w:pPr>
        <w:pStyle w:val="Sansinterligne"/>
        <w:jc w:val="both"/>
      </w:pPr>
      <w:r>
        <w:t xml:space="preserve">Sur le plan 1-2, les individus ayant de fortes coordonnées sur les axes correspondent à des individus prenant des valeurs sur un des groupes de variables « traits physiologique » ou « traits développementaux ».  Ces individus ont donc des traits physiologiques ou développementaux particulier. </w:t>
      </w:r>
    </w:p>
    <w:p w14:paraId="7AF48D65" w14:textId="77777777" w:rsidR="00A471D2" w:rsidRDefault="00A471D2" w:rsidP="00CD7F25">
      <w:pPr>
        <w:pStyle w:val="Sansinterligne"/>
        <w:jc w:val="both"/>
      </w:pPr>
    </w:p>
    <w:p w14:paraId="12E16770" w14:textId="77777777" w:rsidR="00A471D2" w:rsidRDefault="00A471D2" w:rsidP="00CD7F25">
      <w:pPr>
        <w:pStyle w:val="Sansinterligne"/>
        <w:jc w:val="both"/>
      </w:pPr>
      <w:r>
        <w:t>Par exemple :</w:t>
      </w:r>
    </w:p>
    <w:p w14:paraId="6C49DE05" w14:textId="77777777" w:rsidR="00A471D2" w:rsidRDefault="00A471D2" w:rsidP="00CD7F25">
      <w:pPr>
        <w:pStyle w:val="Sansinterligne"/>
        <w:jc w:val="both"/>
      </w:pPr>
      <w:r>
        <w:t xml:space="preserve">La variété </w:t>
      </w:r>
      <w:proofErr w:type="spellStart"/>
      <w:r>
        <w:t>Navig</w:t>
      </w:r>
      <w:proofErr w:type="spellEnd"/>
      <w:r>
        <w:t xml:space="preserve"> 176 prend des valeurs soit très forte, soit très petite sur les variables des traits physiologique et des valeurs moyennes sur les variables des traits développementaux. </w:t>
      </w:r>
    </w:p>
    <w:p w14:paraId="68D757B5" w14:textId="77777777" w:rsidR="00A471D2" w:rsidRDefault="00A471D2" w:rsidP="00CD7F25">
      <w:pPr>
        <w:pStyle w:val="Sansinterligne"/>
        <w:jc w:val="both"/>
        <w:rPr>
          <w:u w:val="single"/>
        </w:rPr>
      </w:pPr>
    </w:p>
    <w:p w14:paraId="284C9831" w14:textId="77777777" w:rsidR="00A471D2" w:rsidRDefault="00A471D2" w:rsidP="00CD7F25">
      <w:pPr>
        <w:pStyle w:val="Sansinterligne"/>
        <w:jc w:val="both"/>
      </w:pPr>
      <w:r w:rsidRPr="001E0CBE">
        <w:t>L</w:t>
      </w:r>
      <w:r>
        <w:t xml:space="preserve">a variété </w:t>
      </w:r>
      <w:proofErr w:type="spellStart"/>
      <w:r>
        <w:t>Navig</w:t>
      </w:r>
      <w:proofErr w:type="spellEnd"/>
      <w:r>
        <w:t xml:space="preserve"> 159 prend des valeurs soit très forte, soit très petite sur les variables des traits développementaux et des valeurs moyennes sur les variables des traits physiologique.</w:t>
      </w:r>
    </w:p>
    <w:p w14:paraId="1D7756AF" w14:textId="77777777" w:rsidR="00A471D2" w:rsidRDefault="00A471D2" w:rsidP="00CD7F25">
      <w:pPr>
        <w:pStyle w:val="Sansinterligne"/>
        <w:jc w:val="both"/>
      </w:pPr>
    </w:p>
    <w:p w14:paraId="06454AF9" w14:textId="77777777" w:rsidR="00A471D2" w:rsidRDefault="00A471D2" w:rsidP="00CD7F25">
      <w:pPr>
        <w:pStyle w:val="Sansinterligne"/>
        <w:jc w:val="both"/>
      </w:pPr>
      <w:r w:rsidRPr="008D7EED">
        <w:rPr>
          <w:noProof/>
        </w:rPr>
        <w:lastRenderedPageBreak/>
        <w:drawing>
          <wp:inline distT="0" distB="0" distL="0" distR="0" wp14:anchorId="513C5797" wp14:editId="62E813A3">
            <wp:extent cx="5759746" cy="4743694"/>
            <wp:effectExtent l="0" t="0" r="0" b="0"/>
            <wp:docPr id="257294629"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94629" name="Image 1" descr="Une image contenant texte, capture d’écran, diagramme, Police&#10;&#10;Le contenu généré par l’IA peut être incorrect."/>
                    <pic:cNvPicPr/>
                  </pic:nvPicPr>
                  <pic:blipFill>
                    <a:blip r:embed="rId7"/>
                    <a:stretch>
                      <a:fillRect/>
                    </a:stretch>
                  </pic:blipFill>
                  <pic:spPr>
                    <a:xfrm>
                      <a:off x="0" y="0"/>
                      <a:ext cx="5759746" cy="4743694"/>
                    </a:xfrm>
                    <a:prstGeom prst="rect">
                      <a:avLst/>
                    </a:prstGeom>
                  </pic:spPr>
                </pic:pic>
              </a:graphicData>
            </a:graphic>
          </wp:inline>
        </w:drawing>
      </w:r>
    </w:p>
    <w:p w14:paraId="2B59EC4E" w14:textId="77777777" w:rsidR="00A471D2" w:rsidRDefault="00A471D2" w:rsidP="00CD7F25">
      <w:pPr>
        <w:pStyle w:val="Sansinterligne"/>
        <w:jc w:val="both"/>
      </w:pPr>
    </w:p>
    <w:p w14:paraId="33CB2881" w14:textId="77777777" w:rsidR="00A471D2" w:rsidRDefault="00A471D2" w:rsidP="00CD7F25">
      <w:pPr>
        <w:pStyle w:val="Sansinterligne"/>
        <w:jc w:val="both"/>
      </w:pPr>
      <w:r>
        <w:t xml:space="preserve">Sur le plan 3-4, les individus ayant de fortes coordonnées sur les axes sont des variétés prenant des valeurs extrêmes soit pour les variables SR, LWR et SNU, soit pour les variables LASNQ, SLA, LAR, </w:t>
      </w:r>
      <w:proofErr w:type="spellStart"/>
      <w:r w:rsidRPr="00D53191">
        <w:t>NUtE_tot</w:t>
      </w:r>
      <w:proofErr w:type="spellEnd"/>
      <w:r>
        <w:t xml:space="preserve"> et </w:t>
      </w:r>
      <w:proofErr w:type="spellStart"/>
      <w:r w:rsidRPr="00D53191">
        <w:t>NUtE_ae</w:t>
      </w:r>
      <w:r>
        <w:t>r</w:t>
      </w:r>
      <w:proofErr w:type="spellEnd"/>
      <w:r>
        <w:t xml:space="preserve">. </w:t>
      </w:r>
    </w:p>
    <w:p w14:paraId="13DDB13C" w14:textId="77777777" w:rsidR="00A471D2" w:rsidRDefault="00A471D2" w:rsidP="00CD7F25">
      <w:pPr>
        <w:pStyle w:val="Sansinterligne"/>
        <w:jc w:val="both"/>
      </w:pPr>
    </w:p>
    <w:p w14:paraId="3AE51281" w14:textId="77777777" w:rsidR="00A471D2" w:rsidRDefault="00A471D2" w:rsidP="00CD7F25">
      <w:pPr>
        <w:pStyle w:val="Sansinterligne"/>
        <w:jc w:val="both"/>
        <w:rPr>
          <w:u w:val="single"/>
        </w:rPr>
      </w:pPr>
      <w:r w:rsidRPr="004A5663">
        <w:rPr>
          <w:u w:val="single"/>
        </w:rPr>
        <w:t>AFM avec le type en variable supplémentaire</w:t>
      </w:r>
    </w:p>
    <w:p w14:paraId="0103B230" w14:textId="77777777" w:rsidR="00A471D2" w:rsidRPr="004A5663" w:rsidRDefault="00A471D2" w:rsidP="00CD7F25">
      <w:pPr>
        <w:pStyle w:val="Sansinterligne"/>
        <w:jc w:val="both"/>
      </w:pPr>
      <w:r>
        <w:t xml:space="preserve">Le type SORS regroupe des variétés prenant des valeurs moyennes ou extrêmes pour les variables des traits développementaux et physiologiques. Le type WOSR regroupe des variétés prenant des valeurs moyennes pour les variables des traits développementaux et physiologiques. Le type WFR, regroupe des variétés prenant de fortes valeurs pour les variables RDW, TDW, ADW et LA. </w:t>
      </w:r>
    </w:p>
    <w:p w14:paraId="05D78E51" w14:textId="77777777" w:rsidR="00A471D2" w:rsidRDefault="00A471D2" w:rsidP="00CD7F25">
      <w:pPr>
        <w:pStyle w:val="Sansinterligne"/>
        <w:jc w:val="both"/>
      </w:pPr>
    </w:p>
    <w:p w14:paraId="2B1293B2" w14:textId="4D71CFE3" w:rsidR="00F620A9" w:rsidRDefault="00F620A9" w:rsidP="00CD7F25">
      <w:pPr>
        <w:pStyle w:val="Sansinterligne"/>
        <w:jc w:val="both"/>
      </w:pPr>
      <w:r w:rsidRPr="00F620A9">
        <w:rPr>
          <w:noProof/>
        </w:rPr>
        <w:lastRenderedPageBreak/>
        <w:drawing>
          <wp:inline distT="0" distB="0" distL="0" distR="0" wp14:anchorId="22411A39" wp14:editId="2CAED549">
            <wp:extent cx="5760720" cy="4314190"/>
            <wp:effectExtent l="0" t="0" r="0" b="0"/>
            <wp:docPr id="1432080453" name="Image 1"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80453" name="Image 1" descr="Une image contenant texte, diagramme, capture d’écran, Tracé&#10;&#10;Le contenu généré par l’IA peut être incorrect."/>
                    <pic:cNvPicPr/>
                  </pic:nvPicPr>
                  <pic:blipFill>
                    <a:blip r:embed="rId8"/>
                    <a:stretch>
                      <a:fillRect/>
                    </a:stretch>
                  </pic:blipFill>
                  <pic:spPr>
                    <a:xfrm>
                      <a:off x="0" y="0"/>
                      <a:ext cx="5760720" cy="4314190"/>
                    </a:xfrm>
                    <a:prstGeom prst="rect">
                      <a:avLst/>
                    </a:prstGeom>
                  </pic:spPr>
                </pic:pic>
              </a:graphicData>
            </a:graphic>
          </wp:inline>
        </w:drawing>
      </w:r>
    </w:p>
    <w:p w14:paraId="1067F527" w14:textId="37FF5BB4" w:rsidR="001C206C" w:rsidRDefault="00F26227" w:rsidP="00CD7F25">
      <w:pPr>
        <w:pStyle w:val="Titre2"/>
        <w:jc w:val="both"/>
      </w:pPr>
      <w:r>
        <w:t>Méthode</w:t>
      </w:r>
    </w:p>
    <w:p w14:paraId="20A2297C" w14:textId="4921F62D" w:rsidR="001C206C" w:rsidRDefault="00F26227" w:rsidP="00CD7F25">
      <w:pPr>
        <w:pStyle w:val="Titre3"/>
        <w:jc w:val="both"/>
      </w:pPr>
      <w:r>
        <w:t>Présentation des données fonctionnelles</w:t>
      </w:r>
    </w:p>
    <w:p w14:paraId="6ABF572E" w14:textId="379E3D4E" w:rsidR="00F26227" w:rsidRDefault="00F26227" w:rsidP="00CD7F25">
      <w:pPr>
        <w:pStyle w:val="Paragraphedeliste"/>
        <w:numPr>
          <w:ilvl w:val="0"/>
          <w:numId w:val="1"/>
        </w:numPr>
        <w:jc w:val="both"/>
      </w:pPr>
      <w:r>
        <w:t>Qu’est-ce que c’est ?</w:t>
      </w:r>
    </w:p>
    <w:p w14:paraId="641B4950" w14:textId="39D991E8" w:rsidR="00F26227" w:rsidRDefault="00F26227" w:rsidP="00CD7F25">
      <w:pPr>
        <w:pStyle w:val="Paragraphedeliste"/>
        <w:numPr>
          <w:ilvl w:val="0"/>
          <w:numId w:val="1"/>
        </w:numPr>
        <w:jc w:val="both"/>
      </w:pPr>
      <w:r>
        <w:t>Intérêt pour cette étude</w:t>
      </w:r>
    </w:p>
    <w:p w14:paraId="15623DD2" w14:textId="27DC36BD" w:rsidR="00F26227" w:rsidRDefault="00F26227" w:rsidP="00CD7F25">
      <w:pPr>
        <w:pStyle w:val="Titre3"/>
        <w:jc w:val="both"/>
      </w:pPr>
      <w:r>
        <w:t>Régression fonctionnelle : méthode des B-</w:t>
      </w:r>
      <w:proofErr w:type="spellStart"/>
      <w:r>
        <w:t>splines</w:t>
      </w:r>
      <w:proofErr w:type="spellEnd"/>
    </w:p>
    <w:p w14:paraId="45EB36E0" w14:textId="37DD77F1" w:rsidR="00F26227" w:rsidRDefault="00F26227" w:rsidP="00CD7F25">
      <w:pPr>
        <w:spacing w:line="240" w:lineRule="auto"/>
        <w:jc w:val="both"/>
        <w:rPr>
          <w:rFonts w:cstheme="minorHAnsi"/>
        </w:rPr>
      </w:pPr>
      <w:r>
        <w:rPr>
          <w:rFonts w:cstheme="minorHAnsi"/>
        </w:rPr>
        <w:t xml:space="preserve">Dans un premier temps, nous avons ajuster une </w:t>
      </w:r>
      <w:proofErr w:type="spellStart"/>
      <w:r>
        <w:rPr>
          <w:rFonts w:cstheme="minorHAnsi"/>
        </w:rPr>
        <w:t>spline</w:t>
      </w:r>
      <w:proofErr w:type="spellEnd"/>
      <w:r>
        <w:rPr>
          <w:rFonts w:cstheme="minorHAnsi"/>
        </w:rPr>
        <w:t xml:space="preserve"> sur 50 nœuds par spectre. Ceci nous permet d’obtenir une variable fonctionnelle qui expliquent chaque spectre avec 50 coefficients. Nous avons ensuite réalisé une régression linéaire avec les coefficients en variables explicative pour expliquer par exemple la taux d’azote dans le colza. Le but est de réaliser des prédictions, ainsi de la validation croisée sera réalisé sur le modèle linéaire. </w:t>
      </w:r>
    </w:p>
    <w:p w14:paraId="19F4102C" w14:textId="39084B06" w:rsidR="00BD639F" w:rsidRPr="0078502D" w:rsidRDefault="00BD639F" w:rsidP="00CD7F25">
      <w:pPr>
        <w:spacing w:line="240" w:lineRule="auto"/>
        <w:jc w:val="both"/>
        <w:rPr>
          <w:rFonts w:cstheme="minorHAnsi"/>
        </w:rPr>
      </w:pPr>
      <w:r>
        <w:rPr>
          <w:rFonts w:cstheme="minorHAnsi"/>
        </w:rPr>
        <w:t>Analyse des résultats :</w:t>
      </w:r>
    </w:p>
    <w:p w14:paraId="0E09AD20" w14:textId="10EE5C10" w:rsidR="00F26227" w:rsidRPr="00F26227" w:rsidRDefault="00BD639F" w:rsidP="00CD7F25">
      <w:pPr>
        <w:pStyle w:val="Paragraphedeliste"/>
        <w:numPr>
          <w:ilvl w:val="0"/>
          <w:numId w:val="1"/>
        </w:numPr>
        <w:jc w:val="both"/>
      </w:pPr>
      <w:r>
        <w:t>Intérêt du classement entre variétés</w:t>
      </w:r>
    </w:p>
    <w:p w14:paraId="3CDA9F45" w14:textId="572DD0A7" w:rsidR="00F26227" w:rsidRDefault="00F26227" w:rsidP="00CD7F25">
      <w:pPr>
        <w:pStyle w:val="Titre3"/>
        <w:jc w:val="both"/>
      </w:pPr>
      <w:r>
        <w:t>ACP fonctionnelle</w:t>
      </w:r>
    </w:p>
    <w:p w14:paraId="327973F3" w14:textId="77D8BA9C" w:rsidR="00BD639F" w:rsidRDefault="00BD639F" w:rsidP="00CD7F25">
      <w:pPr>
        <w:pStyle w:val="Titre3"/>
        <w:jc w:val="both"/>
      </w:pPr>
      <w:r>
        <w:t>Méthodes à expérimenter</w:t>
      </w:r>
    </w:p>
    <w:p w14:paraId="3DC27CDB" w14:textId="6AFCC9C1" w:rsidR="00BD639F" w:rsidRDefault="00BD639F" w:rsidP="00CD7F25">
      <w:pPr>
        <w:pStyle w:val="Paragraphedeliste"/>
        <w:numPr>
          <w:ilvl w:val="0"/>
          <w:numId w:val="1"/>
        </w:numPr>
        <w:jc w:val="both"/>
      </w:pPr>
      <w:r w:rsidRPr="00BD639F">
        <w:t>loi de mélange de régression fonctionnelle en fonction des espèces (probabilité à priori d'appartenance remplacée par probabilité à posteriori estimées à partir des données</w:t>
      </w:r>
    </w:p>
    <w:p w14:paraId="5399A991" w14:textId="1719970C" w:rsidR="00BD639F" w:rsidRDefault="00BD639F" w:rsidP="00CD7F25">
      <w:pPr>
        <w:pStyle w:val="Paragraphedeliste"/>
        <w:numPr>
          <w:ilvl w:val="0"/>
          <w:numId w:val="1"/>
        </w:numPr>
        <w:jc w:val="both"/>
      </w:pPr>
      <w:r w:rsidRPr="00BD639F">
        <w:t>équivalence entre spectre sur feuille sèche et sur feuille fraiche</w:t>
      </w:r>
    </w:p>
    <w:p w14:paraId="285C8490" w14:textId="00564CF3" w:rsidR="00660CBA" w:rsidRPr="00660CBA" w:rsidRDefault="00660CBA" w:rsidP="00660CBA">
      <w:pPr>
        <w:pStyle w:val="Titre3"/>
      </w:pPr>
      <w:r>
        <w:lastRenderedPageBreak/>
        <w:t>Régression fonctionnelle</w:t>
      </w:r>
    </w:p>
    <w:p w14:paraId="783BFA01" w14:textId="77777777" w:rsidR="00026846" w:rsidRDefault="00660CBA" w:rsidP="00660CBA">
      <w:pPr>
        <w:pStyle w:val="Sansinterligne"/>
        <w:jc w:val="both"/>
      </w:pPr>
      <w:r>
        <w:t xml:space="preserve">Pour la présente étude, nous souhaitons prédire un phénotype qui est un scalaire. Dans le cas d’une prédiction d’un scalaire par des variables fonctionnelles, le modèle </w:t>
      </w:r>
      <w:proofErr w:type="spellStart"/>
      <w:r w:rsidRPr="00660CBA">
        <w:t>Linear</w:t>
      </w:r>
      <w:proofErr w:type="spellEnd"/>
      <w:r w:rsidRPr="00660CBA">
        <w:t xml:space="preserve"> </w:t>
      </w:r>
      <w:proofErr w:type="spellStart"/>
      <w:r w:rsidRPr="00660CBA">
        <w:t>scalar</w:t>
      </w:r>
      <w:proofErr w:type="spellEnd"/>
      <w:r w:rsidRPr="00660CBA">
        <w:t>-on-</w:t>
      </w:r>
      <w:proofErr w:type="spellStart"/>
      <w:r w:rsidRPr="00660CBA">
        <w:t>function</w:t>
      </w:r>
      <w:proofErr w:type="spellEnd"/>
      <w:r w:rsidRPr="00660CBA">
        <w:t xml:space="preserve"> </w:t>
      </w:r>
      <w:proofErr w:type="spellStart"/>
      <w:r w:rsidRPr="00660CBA">
        <w:t>regression</w:t>
      </w:r>
      <w:proofErr w:type="spellEnd"/>
      <w:r>
        <w:t xml:space="preserve"> (LSFR) doit être utilisé. </w:t>
      </w:r>
    </w:p>
    <w:p w14:paraId="15BE154B" w14:textId="77777777" w:rsidR="00026846" w:rsidRDefault="00026846" w:rsidP="00660CBA">
      <w:pPr>
        <w:pStyle w:val="Sansinterligne"/>
        <w:jc w:val="both"/>
      </w:pPr>
    </w:p>
    <w:p w14:paraId="08581FAB" w14:textId="2FF2EEC0" w:rsidR="004F70F3" w:rsidRDefault="004F70F3" w:rsidP="00660CBA">
      <w:pPr>
        <w:pStyle w:val="Sansinterligne"/>
        <w:jc w:val="both"/>
        <w:rPr>
          <w:rFonts w:eastAsiaTheme="minorEastAsia"/>
        </w:rPr>
      </w:pPr>
      <w:r>
        <w:t>Dans le cas d’une régression classique, la variable réponse et l</w:t>
      </w:r>
      <w:r w:rsidR="00224100">
        <w:t xml:space="preserve">es </w:t>
      </w:r>
      <w:r>
        <w:t xml:space="preserve">paramètres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oMath>
      <w:r w:rsidR="00224100">
        <w:rPr>
          <w:rFonts w:eastAsiaTheme="minorEastAsia"/>
        </w:rPr>
        <w:t xml:space="preserve"> et </w:t>
      </w:r>
      <m:oMath>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1</m:t>
            </m:r>
          </m:sub>
        </m:sSub>
      </m:oMath>
      <w:r>
        <w:rPr>
          <w:rFonts w:eastAsiaTheme="minorEastAsia"/>
        </w:rPr>
        <w:t xml:space="preserve"> </w:t>
      </w:r>
      <w:r>
        <w:t>sont des scalaires :</w:t>
      </w:r>
    </w:p>
    <w:p w14:paraId="33A11210" w14:textId="77777777" w:rsidR="00224100" w:rsidRPr="004F70F3" w:rsidRDefault="00224100" w:rsidP="00660CBA">
      <w:pPr>
        <w:pStyle w:val="Sansinterligne"/>
        <w:jc w:val="both"/>
        <w:rPr>
          <w:rFonts w:eastAsiaTheme="minorEastAsia"/>
        </w:rPr>
      </w:pPr>
    </w:p>
    <w:p w14:paraId="479AF1AA" w14:textId="1E35E445" w:rsidR="00A732FA" w:rsidRPr="00A732FA" w:rsidRDefault="00A732FA" w:rsidP="00660CBA">
      <w:pPr>
        <w:pStyle w:val="Sansinterligne"/>
        <w:jc w:val="both"/>
        <w:rPr>
          <w:rFonts w:eastAsiaTheme="minorEastAsia"/>
        </w:rPr>
      </w:pPr>
      <m:oMathPara>
        <m:oMath>
          <m:r>
            <w:rPr>
              <w:rFonts w:ascii="Cambria Math" w:hAnsi="Cambria Math"/>
            </w:rPr>
            <m:t>Y=</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+X</m:t>
          </m:r>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 xml:space="preserve">ϵ   </m:t>
          </m:r>
          <m:d>
            <m:dPr>
              <m:ctrlPr>
                <w:rPr>
                  <w:rFonts w:ascii="Cambria Math" w:hAnsi="Cambria Math"/>
                </w:rPr>
              </m:ctrlPr>
            </m:dPr>
            <m:e>
              <m:r>
                <m:rPr>
                  <m:sty m:val="p"/>
                </m:rPr>
                <w:rPr>
                  <w:rFonts w:ascii="Cambria Math" w:hAnsi="Cambria Math"/>
                </w:rPr>
                <m:t>1</m:t>
              </m:r>
            </m:e>
          </m:d>
        </m:oMath>
      </m:oMathPara>
    </w:p>
    <w:p w14:paraId="64D4447F" w14:textId="4AAF6FB2" w:rsidR="004F70F3" w:rsidRDefault="000D095A" w:rsidP="00660CBA">
      <w:pPr>
        <w:pStyle w:val="Sansinterligne"/>
        <w:jc w:val="both"/>
        <w:rPr>
          <w:rFonts w:eastAsiaTheme="minorEastAsia"/>
        </w:rPr>
      </w:pPr>
      <w:r>
        <w:rPr>
          <w:rFonts w:eastAsiaTheme="minorEastAsia"/>
        </w:rPr>
        <w:t>A</w:t>
      </w:r>
      <w:r w:rsidR="009A68C9">
        <w:rPr>
          <w:rFonts w:eastAsiaTheme="minorEastAsia"/>
        </w:rPr>
        <w:t>vec</w:t>
      </w:r>
    </w:p>
    <w:p w14:paraId="55C0E2AE" w14:textId="40BC2421" w:rsidR="009A68C9" w:rsidRPr="000D095A" w:rsidRDefault="000D095A" w:rsidP="00660CBA">
      <w:pPr>
        <w:pStyle w:val="Sansinterligne"/>
        <w:jc w:val="both"/>
        <w:rPr>
          <w:rFonts w:eastAsiaTheme="minorEastAsia"/>
        </w:rPr>
      </w:pPr>
      <m:oMathPara>
        <m:oMath>
          <m:r>
            <w:rPr>
              <w:rFonts w:ascii="Cambria Math" w:eastAsiaTheme="minorEastAsia" w:hAnsi="Cambria Math"/>
            </w:rPr>
            <m:t>ϵ~</m:t>
          </m:r>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oMath>
      </m:oMathPara>
    </w:p>
    <w:p w14:paraId="31312F30" w14:textId="77777777" w:rsidR="000D095A" w:rsidRPr="000D095A" w:rsidRDefault="000D095A" w:rsidP="00660CBA">
      <w:pPr>
        <w:pStyle w:val="Sansinterligne"/>
        <w:jc w:val="both"/>
        <w:rPr>
          <w:rFonts w:eastAsiaTheme="minorEastAsia"/>
        </w:rPr>
      </w:pPr>
    </w:p>
    <w:p w14:paraId="198EA5AF" w14:textId="4285A1D0" w:rsidR="004F70F3" w:rsidRDefault="004F70F3" w:rsidP="00660CBA">
      <w:pPr>
        <w:pStyle w:val="Sansinterligne"/>
        <w:jc w:val="both"/>
        <w:rPr>
          <w:rFonts w:eastAsiaTheme="minorEastAsia"/>
          <w:iCs/>
        </w:rPr>
      </w:pPr>
      <w:r>
        <w:rPr>
          <w:rFonts w:eastAsiaTheme="minorEastAsia"/>
        </w:rPr>
        <w:t xml:space="preserve">Pour le modèle LSFR, la variable réponse et </w:t>
      </w:r>
      <w:r>
        <w:t xml:space="preserve">le paramètres </w:t>
      </w:r>
      <m:oMath>
        <m:r>
          <w:rPr>
            <w:rFonts w:ascii="Cambria Math" w:hAnsi="Cambria Math"/>
          </w:rPr>
          <m:t>β</m:t>
        </m:r>
      </m:oMath>
      <w:r>
        <w:rPr>
          <w:rFonts w:eastAsiaTheme="minorEastAsia"/>
          <w:iCs/>
        </w:rPr>
        <w:t xml:space="preserve"> sont des fonctions. L’équation 1 peut donc s’écrire ainsi :</w:t>
      </w:r>
    </w:p>
    <w:p w14:paraId="5C313D0F" w14:textId="77777777" w:rsidR="004F70F3" w:rsidRDefault="004F70F3" w:rsidP="00660CBA">
      <w:pPr>
        <w:pStyle w:val="Sansinterligne"/>
        <w:jc w:val="both"/>
        <w:rPr>
          <w:rFonts w:eastAsiaTheme="minorEastAsia"/>
          <w:iCs/>
        </w:rPr>
      </w:pPr>
    </w:p>
    <w:p w14:paraId="45806528" w14:textId="24F64EF5" w:rsidR="00A732FA" w:rsidRDefault="004F70F3" w:rsidP="00660CBA">
      <w:pPr>
        <w:pStyle w:val="Sansinterligne"/>
        <w:jc w:val="both"/>
        <w:rPr>
          <w:rFonts w:eastAsiaTheme="minorEastAsia"/>
        </w:rPr>
      </w:pPr>
      <m:oMathPara>
        <m:oMath>
          <m:r>
            <w:rPr>
              <w:rFonts w:ascii="Cambria Math" w:eastAsiaTheme="minorEastAsia" w:hAnsi="Cambria Math"/>
            </w:rPr>
            <m:t>Y=</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nary>
            <m:naryPr>
              <m:supHide m:val="1"/>
              <m:ctrlPr>
                <w:rPr>
                  <w:rFonts w:ascii="Cambria Math" w:eastAsiaTheme="minorEastAsia" w:hAnsi="Cambria Math"/>
                </w:rPr>
              </m:ctrlPr>
            </m:naryPr>
            <m:sub>
              <m:r>
                <w:rPr>
                  <w:rFonts w:ascii="Cambria Math" w:eastAsiaTheme="minorEastAsia" w:hAnsi="Cambria Math"/>
                </w:rPr>
                <m:t>t</m:t>
              </m:r>
              <m:ctrlPr>
                <w:rPr>
                  <w:rFonts w:ascii="Cambria Math" w:eastAsiaTheme="minorEastAsia" w:hAnsi="Cambria Math"/>
                  <w:i/>
                </w:rPr>
              </m:ctrlPr>
            </m:sub>
            <m:sup>
              <m:ctrlPr>
                <w:rPr>
                  <w:rFonts w:ascii="Cambria Math" w:eastAsiaTheme="minorEastAsia" w:hAnsi="Cambria Math"/>
                  <w:i/>
                </w:rPr>
              </m:ctrlPr>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t</m:t>
                  </m:r>
                </m:e>
              </m:d>
              <m:r>
                <m:rPr>
                  <m:nor/>
                </m:rPr>
                <w:rPr>
                  <w:rFonts w:ascii="Cambria Math" w:eastAsiaTheme="minorEastAsia" w:hAnsi="Cambria Math"/>
                </w:rPr>
                <m:t>d</m:t>
              </m:r>
              <m:ctrlPr>
                <w:rPr>
                  <w:rFonts w:ascii="Cambria Math" w:eastAsiaTheme="minorEastAsia" w:hAnsi="Cambria Math"/>
                  <w:i/>
                </w:rPr>
              </m:ctrlPr>
            </m:e>
          </m:nary>
          <m:r>
            <w:rPr>
              <w:rFonts w:ascii="Cambria Math" w:eastAsiaTheme="minorEastAsia" w:hAnsi="Cambria Math"/>
            </w:rPr>
            <m:t>t+</m:t>
          </m:r>
          <m:r>
            <m:rPr>
              <m:sty m:val="p"/>
            </m:rPr>
            <w:rPr>
              <w:rFonts w:ascii="Cambria Math" w:eastAsiaTheme="minorEastAsia" w:hAnsi="Cambria Math"/>
            </w:rPr>
            <m:t>ϵ   (2)</m:t>
          </m:r>
        </m:oMath>
      </m:oMathPara>
    </w:p>
    <w:p w14:paraId="7380A1F8" w14:textId="77777777" w:rsidR="004F70F3" w:rsidRDefault="004F70F3" w:rsidP="00660CBA">
      <w:pPr>
        <w:pStyle w:val="Sansinterligne"/>
        <w:jc w:val="both"/>
        <w:rPr>
          <w:rFonts w:eastAsiaTheme="minorEastAsia"/>
        </w:rPr>
      </w:pPr>
    </w:p>
    <w:p w14:paraId="6149A9FF" w14:textId="215FCB2F" w:rsidR="0030515B" w:rsidRDefault="00224100" w:rsidP="00660CBA">
      <w:pPr>
        <w:pStyle w:val="Sansinterligne"/>
        <w:jc w:val="both"/>
        <w:rPr>
          <w:rFonts w:eastAsiaTheme="minorEastAsia"/>
        </w:rPr>
      </w:pPr>
      <w:r>
        <w:t>L’</w:t>
      </w:r>
      <w:r w:rsidR="0083013B">
        <w:t>approche pour l’</w:t>
      </w:r>
      <w:r>
        <w:t xml:space="preserve">estimation de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0</m:t>
            </m:r>
          </m:sub>
        </m:sSub>
      </m:oMath>
      <w:r w:rsidR="00B31F00">
        <w:rPr>
          <w:rFonts w:eastAsiaTheme="minorEastAsia"/>
        </w:rPr>
        <w:t xml:space="preserve"> et de </w:t>
      </w:r>
      <w:r>
        <w:t xml:space="preserve">la fonction du coefficient </w:t>
      </w:r>
      <m:oMath>
        <m:r>
          <m:rPr>
            <m:sty m:val="p"/>
          </m:rPr>
          <w:rPr>
            <w:rFonts w:ascii="Cambria Math" w:hAnsi="Cambria Math"/>
          </w:rPr>
          <m:t>β</m:t>
        </m:r>
      </m:oMath>
      <w:r>
        <w:rPr>
          <w:rFonts w:eastAsiaTheme="minorEastAsia"/>
        </w:rPr>
        <w:t xml:space="preserve"> </w:t>
      </w:r>
      <w:r w:rsidR="00B31F00">
        <w:rPr>
          <w:rFonts w:eastAsiaTheme="minorEastAsia"/>
        </w:rPr>
        <w:t xml:space="preserve">est </w:t>
      </w:r>
      <w:r w:rsidR="00606681">
        <w:rPr>
          <w:rFonts w:eastAsiaTheme="minorEastAsia"/>
        </w:rPr>
        <w:t>d’utiliser</w:t>
      </w:r>
      <w:r w:rsidR="00B31F00">
        <w:rPr>
          <w:rFonts w:eastAsiaTheme="minorEastAsia"/>
        </w:rPr>
        <w:t xml:space="preserve"> </w:t>
      </w:r>
      <w:r w:rsidR="00DD3478">
        <w:rPr>
          <w:rFonts w:eastAsiaTheme="minorEastAsia"/>
        </w:rPr>
        <w:t>un</w:t>
      </w:r>
      <w:r w:rsidR="00B31F00">
        <w:rPr>
          <w:rFonts w:eastAsiaTheme="minorEastAsia"/>
        </w:rPr>
        <w:t xml:space="preserve"> ensemble de fonctions de bases</w:t>
      </w:r>
      <w:r w:rsidR="0083013B">
        <w:rPr>
          <w:rFonts w:eastAsiaTheme="minorEastAsia"/>
        </w:rPr>
        <w:t xml:space="preserve"> </w:t>
      </w:r>
      <w:r w:rsidR="0083013B" w:rsidRPr="0083013B">
        <w:rPr>
          <w:rFonts w:eastAsiaTheme="minorEastAsia"/>
          <w:i/>
          <w:iCs/>
        </w:rPr>
        <w:t>a priori</w:t>
      </w:r>
      <w:r w:rsidR="00DD3478">
        <w:rPr>
          <w:rFonts w:eastAsiaTheme="minorEastAsia"/>
        </w:rPr>
        <w:t xml:space="preserve"> tel que </w:t>
      </w:r>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γ</m:t>
        </m:r>
      </m:oMath>
      <w:r w:rsidR="00DD3478">
        <w:rPr>
          <w:rFonts w:eastAsiaTheme="minorEastAsia"/>
        </w:rPr>
        <w:t xml:space="preserve"> avec </w:t>
      </w: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d>
      </m:oMath>
      <w:r w:rsidR="0030515B">
        <w:rPr>
          <w:rFonts w:eastAsiaTheme="minorEastAsia"/>
        </w:rPr>
        <w:t xml:space="preserve"> un ensemble de fonction de base et </w:t>
      </w:r>
      <m:oMath>
        <m:r>
          <m:rPr>
            <m:sty m:val="p"/>
          </m:rPr>
          <w:rPr>
            <w:rFonts w:ascii="Cambria Math" w:eastAsiaTheme="minorEastAsia" w:hAnsi="Cambria Math"/>
          </w:rPr>
          <m:t>γ</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k</m:t>
                </m:r>
              </m:sub>
            </m:sSub>
          </m:e>
        </m:d>
      </m:oMath>
      <w:r w:rsidR="0030515B">
        <w:rPr>
          <w:rFonts w:eastAsiaTheme="minorEastAsia"/>
        </w:rPr>
        <w:t>.</w:t>
      </w:r>
      <w:r w:rsidR="00606681">
        <w:rPr>
          <w:rFonts w:eastAsiaTheme="minorEastAsia"/>
        </w:rPr>
        <w:t xml:space="preserve"> Les paramètres</w:t>
      </w:r>
      <w:r w:rsidR="0030515B">
        <w:rPr>
          <w:rFonts w:eastAsiaTheme="minorEastAsia"/>
        </w:rPr>
        <w:t xml:space="preserve"> </w:t>
      </w:r>
      <m:oMath>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0</m:t>
            </m:r>
          </m:sub>
        </m:sSub>
      </m:oMath>
      <w:r w:rsidR="0030515B">
        <w:rPr>
          <w:rFonts w:eastAsiaTheme="minorEastAsia"/>
        </w:rPr>
        <w:t xml:space="preserve"> et </w:t>
      </w:r>
      <m:oMath>
        <m:r>
          <m:rPr>
            <m:sty m:val="p"/>
          </m:rPr>
          <w:rPr>
            <w:rFonts w:ascii="Cambria Math" w:eastAsiaTheme="minorEastAsia" w:hAnsi="Cambria Math"/>
          </w:rPr>
          <m:t>γ</m:t>
        </m:r>
      </m:oMath>
      <w:r w:rsidR="0030515B">
        <w:rPr>
          <w:rFonts w:eastAsiaTheme="minorEastAsia"/>
        </w:rPr>
        <w:t xml:space="preserve"> s’estime ainsi :</w:t>
      </w:r>
    </w:p>
    <w:p w14:paraId="459F9AE5" w14:textId="77777777" w:rsidR="0030515B" w:rsidRDefault="0030515B" w:rsidP="00660CBA">
      <w:pPr>
        <w:pStyle w:val="Sansinterligne"/>
        <w:jc w:val="both"/>
        <w:rPr>
          <w:rFonts w:eastAsiaTheme="minorEastAsia"/>
        </w:rPr>
      </w:pPr>
    </w:p>
    <w:p w14:paraId="2E97EB66" w14:textId="50E00E21" w:rsidR="0085137E" w:rsidRPr="009A68C9" w:rsidRDefault="00000000" w:rsidP="00660CBA">
      <w:pPr>
        <w:pStyle w:val="Sansinterligne"/>
        <w:jc w:val="both"/>
        <w:rPr>
          <w:rFonts w:eastAsiaTheme="minorEastAsia"/>
        </w:rPr>
      </w:pPr>
      <m:oMathPara>
        <m:oMath>
          <m:acc>
            <m:accPr>
              <m:ctrlPr>
                <w:rPr>
                  <w:rFonts w:ascii="Cambria Math" w:eastAsiaTheme="minorEastAsia" w:hAnsi="Cambria Math"/>
                </w:rPr>
              </m:ctrlPr>
            </m:accPr>
            <m:e>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0</m:t>
                  </m:r>
                </m:sub>
              </m:sSub>
            </m:e>
          </m:acc>
          <m:r>
            <w:rPr>
              <w:rFonts w:ascii="Cambria Math" w:eastAsiaTheme="minorEastAsia" w:hAnsi="Cambria Math"/>
            </w:rPr>
            <m:t>,</m:t>
          </m:r>
          <m:acc>
            <m:accPr>
              <m:ctrlPr>
                <w:rPr>
                  <w:rFonts w:ascii="Cambria Math" w:eastAsiaTheme="minorEastAsia" w:hAnsi="Cambria Math"/>
                </w:rPr>
              </m:ctrlPr>
            </m:accPr>
            <m:e>
              <m:r>
                <m:rPr>
                  <m:sty m:val="p"/>
                </m:rPr>
                <w:rPr>
                  <w:rFonts w:ascii="Cambria Math" w:eastAsiaTheme="minorEastAsia" w:hAnsi="Cambria Math"/>
                </w:rPr>
                <m:t>γ</m:t>
              </m:r>
            </m:e>
          </m:acc>
          <m:r>
            <w:rPr>
              <w:rFonts w:ascii="Cambria Math" w:eastAsiaTheme="minorEastAsia" w:hAnsi="Cambria Math"/>
            </w:rPr>
            <m:t>=</m:t>
          </m:r>
          <m:r>
            <m:rPr>
              <m:sty m:val="p"/>
            </m:rPr>
            <w:rPr>
              <w:rFonts w:ascii="Cambria Math" w:eastAsiaTheme="minorEastAsia" w:hAnsi="Cambria Math"/>
            </w:rPr>
            <m:t>argmi</m:t>
          </m:r>
          <m:sSub>
            <m:sSubPr>
              <m:ctrlPr>
                <w:rPr>
                  <w:rFonts w:ascii="Cambria Math" w:eastAsiaTheme="minorEastAsia" w:hAnsi="Cambria Math"/>
                  <w:i/>
                </w:rPr>
              </m:ctrlPr>
            </m:sSubPr>
            <m:e>
              <m:r>
                <w:rPr>
                  <w:rFonts w:ascii="Cambria Math" w:eastAsiaTheme="minorEastAsia" w:hAnsi="Cambria Math"/>
                </w:rPr>
                <m:t>n</m:t>
              </m:r>
            </m:e>
            <m:sub>
              <m:r>
                <m:rPr>
                  <m:sty m:val="p"/>
                </m:rPr>
                <w:rPr>
                  <w:rFonts w:ascii="Cambria Math" w:eastAsiaTheme="minorEastAsia" w:hAnsi="Cambria Math"/>
                </w:rPr>
                <m:t>β,γ</m:t>
              </m:r>
            </m:sub>
          </m:sSub>
          <m:d>
            <m:dPr>
              <m:begChr m:val="["/>
              <m:endChr m:val="]"/>
              <m:ctrlPr>
                <w:rPr>
                  <w:rFonts w:ascii="Cambria Math" w:eastAsiaTheme="minorEastAsia" w:hAnsi="Cambria Math"/>
                </w:rPr>
              </m:ctrlPr>
            </m:dPr>
            <m:e>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ctrlPr>
                    <w:rPr>
                      <w:rFonts w:ascii="Cambria Math" w:eastAsiaTheme="minorEastAsia" w:hAnsi="Cambria Math"/>
                      <w:i/>
                    </w:rPr>
                  </m:ctrlPr>
                </m:e>
              </m:nary>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i/>
                      <w:lang w:val="en-US"/>
                    </w:rPr>
                  </m:ctrlPr>
                </m:e>
                <m:sub>
                  <m:r>
                    <w:rPr>
                      <w:rFonts w:ascii="Cambria Math" w:eastAsiaTheme="minorEastAsia" w:hAnsi="Cambria Math"/>
                    </w:rPr>
                    <m:t>0</m:t>
                  </m:r>
                </m:sub>
              </m:sSub>
              <m:r>
                <w:rPr>
                  <w:rFonts w:ascii="Cambria Math" w:eastAsiaTheme="minorEastAsia" w:hAnsi="Cambria Math"/>
                </w:rPr>
                <m:t>-</m:t>
              </m:r>
              <m:nary>
                <m:naryPr>
                  <m:supHide m:val="1"/>
                  <m:ctrlPr>
                    <w:rPr>
                      <w:rFonts w:ascii="Cambria Math" w:eastAsiaTheme="minorEastAsia" w:hAnsi="Cambria Math"/>
                    </w:rPr>
                  </m:ctrlPr>
                </m:naryPr>
                <m:sub>
                  <m:r>
                    <w:rPr>
                      <w:rFonts w:ascii="Cambria Math" w:eastAsiaTheme="minorEastAsia" w:hAnsi="Cambria Math"/>
                    </w:rPr>
                    <m:t>t</m:t>
                  </m:r>
                  <m:ctrlPr>
                    <w:rPr>
                      <w:rFonts w:ascii="Cambria Math" w:eastAsiaTheme="minorEastAsia" w:hAnsi="Cambria Math"/>
                      <w:i/>
                    </w:rPr>
                  </m:ctrlPr>
                </m:sub>
                <m:sup>
                  <m:ctrlPr>
                    <w:rPr>
                      <w:rFonts w:ascii="Cambria Math" w:eastAsiaTheme="minorEastAsia" w:hAnsi="Cambria Math"/>
                      <w:i/>
                    </w:rPr>
                  </m:ctrlPr>
                </m:sup>
                <m:e>
                  <m:r>
                    <w:rPr>
                      <w:rFonts w:ascii="Cambria Math" w:eastAsiaTheme="minorEastAsia" w:hAnsi="Cambria Math"/>
                    </w:rPr>
                    <m:t>X</m:t>
                  </m:r>
                  <m:d>
                    <m:dPr>
                      <m:ctrlPr>
                        <w:rPr>
                          <w:rFonts w:ascii="Cambria Math" w:eastAsiaTheme="minorEastAsia" w:hAnsi="Cambria Math"/>
                        </w:rPr>
                      </m:ctrlPr>
                    </m:dPr>
                    <m:e>
                      <m:r>
                        <w:rPr>
                          <w:rFonts w:ascii="Cambria Math" w:eastAsiaTheme="minorEastAsia" w:hAnsi="Cambria Math"/>
                        </w:rPr>
                        <m:t>t</m:t>
                      </m:r>
                      <m:ctrlPr>
                        <w:rPr>
                          <w:rFonts w:ascii="Cambria Math" w:eastAsiaTheme="minorEastAsia" w:hAnsi="Cambria Math"/>
                          <w:i/>
                        </w:rPr>
                      </m:ctrlPr>
                    </m:e>
                  </m:d>
                  <m:d>
                    <m:dPr>
                      <m:ctrlPr>
                        <w:rPr>
                          <w:rFonts w:ascii="Cambria Math" w:eastAsiaTheme="minorEastAsia" w:hAnsi="Cambria Math"/>
                          <w:i/>
                        </w:rPr>
                      </m:ctrlPr>
                    </m:dPr>
                    <m:e>
                      <m:r>
                        <w:rPr>
                          <w:rFonts w:ascii="Cambria Math" w:eastAsiaTheme="minorEastAsia" w:hAnsi="Cambria Math"/>
                        </w:rPr>
                        <m:t>b</m:t>
                      </m:r>
                      <m:d>
                        <m:dPr>
                          <m:ctrlPr>
                            <w:rPr>
                              <w:rFonts w:ascii="Cambria Math" w:eastAsiaTheme="minorEastAsia" w:hAnsi="Cambria Math"/>
                            </w:rPr>
                          </m:ctrlPr>
                        </m:dPr>
                        <m:e>
                          <m:r>
                            <w:rPr>
                              <w:rFonts w:ascii="Cambria Math" w:eastAsiaTheme="minorEastAsia" w:hAnsi="Cambria Math"/>
                            </w:rPr>
                            <m:t>t</m:t>
                          </m:r>
                          <m:ctrlPr>
                            <w:rPr>
                              <w:rFonts w:ascii="Cambria Math" w:eastAsiaTheme="minorEastAsia" w:hAnsi="Cambria Math"/>
                              <w:i/>
                            </w:rPr>
                          </m:ctrlPr>
                        </m:e>
                      </m:d>
                      <m:r>
                        <m:rPr>
                          <m:sty m:val="p"/>
                        </m:rPr>
                        <w:rPr>
                          <w:rFonts w:ascii="Cambria Math" w:eastAsiaTheme="minorEastAsia" w:hAnsi="Cambria Math"/>
                        </w:rPr>
                        <m:t>γ</m:t>
                      </m:r>
                      <m:ctrlPr>
                        <w:rPr>
                          <w:rFonts w:ascii="Cambria Math" w:eastAsiaTheme="minorEastAsia" w:hAnsi="Cambria Math"/>
                        </w:rPr>
                      </m:ctrlPr>
                    </m:e>
                  </m:d>
                  <m:r>
                    <m:rPr>
                      <m:nor/>
                    </m:rPr>
                    <w:rPr>
                      <w:rFonts w:ascii="Cambria Math" w:eastAsiaTheme="minorEastAsia" w:hAnsi="Cambria Math"/>
                    </w:rPr>
                    <m:t>dt</m:t>
                  </m:r>
                  <m:ctrlPr>
                    <w:rPr>
                      <w:rFonts w:ascii="Cambria Math" w:eastAsiaTheme="minorEastAsia" w:hAnsi="Cambria Math"/>
                      <w:i/>
                    </w:rPr>
                  </m:ctrlPr>
                </m:e>
              </m:nary>
              <m:sSup>
                <m:sSupPr>
                  <m:ctrlPr>
                    <w:rPr>
                      <w:rFonts w:ascii="Cambria Math" w:eastAsiaTheme="minorEastAsia" w:hAnsi="Cambria Math"/>
                      <w:i/>
                    </w:rPr>
                  </m:ctrlPr>
                </m:sSupPr>
                <m:e>
                  <m:r>
                    <m:rPr>
                      <m:lit/>
                    </m:rPr>
                    <w:rPr>
                      <w:rFonts w:ascii="Cambria Math" w:eastAsiaTheme="minorEastAsia" w:hAnsi="Cambria Math"/>
                    </w:rPr>
                    <m:t>}</m:t>
                  </m:r>
                  <m:ctrlPr>
                    <w:rPr>
                      <w:rFonts w:ascii="Cambria Math" w:eastAsiaTheme="minorEastAsia" w:hAnsi="Cambria Math"/>
                      <w:i/>
                      <w:lang w:val="en-US"/>
                    </w:rPr>
                  </m:ctrlPr>
                </m:e>
                <m:sup>
                  <m:r>
                    <w:rPr>
                      <w:rFonts w:ascii="Cambria Math" w:eastAsiaTheme="minorEastAsia" w:hAnsi="Cambria Math"/>
                    </w:rPr>
                    <m:t>2</m:t>
                  </m:r>
                </m:sup>
              </m:sSup>
              <m:ctrlPr>
                <w:rPr>
                  <w:rFonts w:ascii="Cambria Math" w:eastAsiaTheme="minorEastAsia" w:hAnsi="Cambria Math"/>
                  <w:i/>
                </w:rPr>
              </m:ctrlPr>
            </m:e>
          </m:d>
          <m:r>
            <w:rPr>
              <w:rFonts w:ascii="Cambria Math" w:eastAsiaTheme="minorEastAsia" w:hAnsi="Cambria Math"/>
            </w:rPr>
            <m:t>+</m:t>
          </m:r>
          <m:r>
            <m:rPr>
              <m:sty m:val="p"/>
            </m:rPr>
            <w:rPr>
              <w:rFonts w:ascii="Cambria Math" w:eastAsiaTheme="minorEastAsia" w:hAnsi="Cambria Math"/>
            </w:rPr>
            <m:t>γP</m:t>
          </m:r>
          <m:d>
            <m:dPr>
              <m:ctrlPr>
                <w:rPr>
                  <w:rFonts w:ascii="Cambria Math" w:eastAsiaTheme="minorEastAsia" w:hAnsi="Cambria Math"/>
                </w:rPr>
              </m:ctrlPr>
            </m:dPr>
            <m:e>
              <m:r>
                <m:rPr>
                  <m:sty m:val="p"/>
                </m:rPr>
                <w:rPr>
                  <w:rFonts w:ascii="Cambria Math" w:eastAsiaTheme="minorEastAsia" w:hAnsi="Cambria Math"/>
                </w:rPr>
                <m:t>γ</m:t>
              </m:r>
              <m:ctrlPr>
                <w:rPr>
                  <w:rFonts w:ascii="Cambria Math" w:eastAsiaTheme="minorEastAsia" w:hAnsi="Cambria Math"/>
                  <w:i/>
                </w:rPr>
              </m:ctrlPr>
            </m:e>
          </m:d>
          <m:r>
            <w:rPr>
              <w:rFonts w:ascii="Cambria Math" w:eastAsiaTheme="minorEastAsia" w:hAnsi="Cambria Math"/>
            </w:rPr>
            <m:t>   </m:t>
          </m:r>
          <m:d>
            <m:dPr>
              <m:ctrlPr>
                <w:rPr>
                  <w:rFonts w:ascii="Cambria Math" w:eastAsiaTheme="minorEastAsia" w:hAnsi="Cambria Math"/>
                </w:rPr>
              </m:ctrlPr>
            </m:dPr>
            <m:e>
              <m:r>
                <w:rPr>
                  <w:rFonts w:ascii="Cambria Math" w:eastAsiaTheme="minorEastAsia" w:hAnsi="Cambria Math"/>
                </w:rPr>
                <m:t>3</m:t>
              </m:r>
              <m:ctrlPr>
                <w:rPr>
                  <w:rFonts w:ascii="Cambria Math" w:eastAsiaTheme="minorEastAsia" w:hAnsi="Cambria Math"/>
                  <w:i/>
                </w:rPr>
              </m:ctrlPr>
            </m:e>
          </m:d>
        </m:oMath>
      </m:oMathPara>
    </w:p>
    <w:p w14:paraId="45E3A666" w14:textId="77777777" w:rsidR="0085137E" w:rsidRPr="009A68C9" w:rsidRDefault="0085137E" w:rsidP="00660CBA">
      <w:pPr>
        <w:pStyle w:val="Sansinterligne"/>
        <w:jc w:val="both"/>
        <w:rPr>
          <w:rFonts w:eastAsiaTheme="minorEastAsia"/>
        </w:rPr>
      </w:pPr>
    </w:p>
    <w:p w14:paraId="430FF17C" w14:textId="16774E83" w:rsidR="0092646F" w:rsidRDefault="0092646F" w:rsidP="00660CBA">
      <w:pPr>
        <w:pStyle w:val="Sansinterligne"/>
        <w:jc w:val="both"/>
        <w:rPr>
          <w:rFonts w:eastAsiaTheme="minorEastAsia"/>
        </w:rPr>
      </w:pPr>
      <w:r>
        <w:rPr>
          <w:rFonts w:eastAsiaTheme="minorEastAsia"/>
        </w:rPr>
        <w:t>Avec</w:t>
      </w:r>
      <w:r w:rsidR="0085137E">
        <w:rPr>
          <w:rFonts w:eastAsiaTheme="minorEastAsia"/>
        </w:rPr>
        <w:t xml:space="preserve"> </w:t>
      </w:r>
      <m:oMath>
        <m:r>
          <w:rPr>
            <w:rFonts w:ascii="Cambria Math" w:eastAsiaTheme="minorEastAsia" w:hAnsi="Cambria Math"/>
          </w:rPr>
          <m:t xml:space="preserve">P </m:t>
        </m:r>
      </m:oMath>
      <w:r>
        <w:rPr>
          <w:rFonts w:eastAsiaTheme="minorEastAsia"/>
        </w:rPr>
        <w:t>une fonction de pénalisation</w:t>
      </w:r>
      <w:r w:rsidR="000B2FB1">
        <w:rPr>
          <w:rFonts w:eastAsiaTheme="minorEastAsia"/>
        </w:rPr>
        <w:t xml:space="preserve"> pour éviter un surapprentissage</w:t>
      </w:r>
      <w:r w:rsidR="002F4FD1">
        <w:rPr>
          <w:rFonts w:eastAsiaTheme="minorEastAsia"/>
        </w:rPr>
        <w:t xml:space="preserve">. L’expression 3 revient à minimiser l’écart entre l’observation et la prédiction de manière pénaliser. </w:t>
      </w:r>
    </w:p>
    <w:p w14:paraId="4161EDA9" w14:textId="77777777" w:rsidR="00FD6405" w:rsidRDefault="00FD6405" w:rsidP="00660CBA">
      <w:pPr>
        <w:pStyle w:val="Sansinterligne"/>
        <w:jc w:val="both"/>
        <w:rPr>
          <w:rFonts w:eastAsiaTheme="minorEastAsia"/>
        </w:rPr>
      </w:pPr>
    </w:p>
    <w:p w14:paraId="7611C232" w14:textId="08E06BB5" w:rsidR="00AD2B10" w:rsidRPr="0005775B" w:rsidRDefault="00CB18DD" w:rsidP="00660CBA">
      <w:pPr>
        <w:pStyle w:val="Sansinterligne"/>
        <w:jc w:val="both"/>
        <w:rPr>
          <w:rFonts w:eastAsiaTheme="minorEastAsia"/>
        </w:rPr>
      </w:pPr>
      <w:proofErr w:type="spellStart"/>
      <w:r>
        <w:rPr>
          <w:rFonts w:eastAsiaTheme="minorEastAsia"/>
        </w:rPr>
        <w:t>Splines</w:t>
      </w:r>
      <w:proofErr w:type="spellEnd"/>
      <w:r>
        <w:rPr>
          <w:rFonts w:eastAsiaTheme="minorEastAsia"/>
        </w:rPr>
        <w:t xml:space="preserve"> pénalisées : La </w:t>
      </w:r>
      <w:r w:rsidR="0005775B">
        <w:rPr>
          <w:rFonts w:eastAsiaTheme="minorEastAsia"/>
        </w:rPr>
        <w:t xml:space="preserve">log vraisemblance du modèle de </w:t>
      </w:r>
      <w:r>
        <w:rPr>
          <w:rFonts w:eastAsiaTheme="minorEastAsia"/>
        </w:rPr>
        <w:t xml:space="preserve">régression </w:t>
      </w:r>
      <w:r w:rsidR="0005775B">
        <w:rPr>
          <w:rFonts w:eastAsiaTheme="minorEastAsia"/>
        </w:rPr>
        <w:t xml:space="preserve">faisant intervenir des B </w:t>
      </w:r>
      <w:proofErr w:type="spellStart"/>
      <w:r w:rsidR="0005775B">
        <w:rPr>
          <w:rFonts w:eastAsiaTheme="minorEastAsia"/>
        </w:rPr>
        <w:t>splines</w:t>
      </w:r>
      <w:proofErr w:type="spellEnd"/>
      <w:r w:rsidR="0005775B">
        <w:rPr>
          <w:rFonts w:eastAsiaTheme="minorEastAsia"/>
        </w:rPr>
        <w:t xml:space="preserve"> </w:t>
      </w:r>
      <m:oMath>
        <m: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β</m:t>
            </m:r>
          </m:e>
        </m:d>
      </m:oMath>
      <w:r w:rsidR="0005775B">
        <w:rPr>
          <w:rFonts w:eastAsiaTheme="minorEastAsia"/>
        </w:rPr>
        <w:t xml:space="preserve"> est pénalisée par le paramètre de lissage </w:t>
      </w:r>
      <m:oMath>
        <m:r>
          <m:rPr>
            <m:sty m:val="p"/>
          </m:rPr>
          <w:rPr>
            <w:rFonts w:ascii="Cambria Math" w:eastAsiaTheme="minorEastAsia" w:hAnsi="Cambria Math"/>
          </w:rPr>
          <m:t>λ</m:t>
        </m:r>
      </m:oMath>
      <w:r w:rsidR="0005775B">
        <w:rPr>
          <w:rFonts w:eastAsiaTheme="minorEastAsia"/>
        </w:rPr>
        <w:t xml:space="preserve"> (nombre de </w:t>
      </w:r>
      <w:proofErr w:type="spellStart"/>
      <w:r w:rsidR="0005775B">
        <w:rPr>
          <w:rFonts w:eastAsiaTheme="minorEastAsia"/>
        </w:rPr>
        <w:t>noeurds</w:t>
      </w:r>
      <w:proofErr w:type="spellEnd"/>
      <w:r w:rsidR="0005775B">
        <w:rPr>
          <w:rFonts w:eastAsiaTheme="minorEastAsia"/>
        </w:rPr>
        <w:t>):</w:t>
      </w:r>
    </w:p>
    <w:p w14:paraId="59109C24" w14:textId="77777777" w:rsidR="0005775B" w:rsidRDefault="0005775B" w:rsidP="00660CBA">
      <w:pPr>
        <w:pStyle w:val="Sansinterligne"/>
        <w:jc w:val="both"/>
        <w:rPr>
          <w:rFonts w:eastAsiaTheme="minorEastAsia"/>
        </w:rPr>
      </w:pPr>
    </w:p>
    <w:p w14:paraId="3FAA77F6" w14:textId="13A59DC5" w:rsidR="0005775B" w:rsidRPr="0005775B" w:rsidRDefault="0005775B" w:rsidP="00660CBA">
      <w:pPr>
        <w:pStyle w:val="Sansinterligne"/>
        <w:jc w:val="both"/>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β</m:t>
              </m:r>
              <m:r>
                <w:rPr>
                  <w:rFonts w:ascii="Cambria Math" w:eastAsiaTheme="minorEastAsia" w:hAnsi="Cambria Math"/>
                </w:rPr>
                <m:t>,</m:t>
              </m:r>
              <m:r>
                <m:rPr>
                  <m:sty m:val="p"/>
                </m:rPr>
                <w:rPr>
                  <w:rFonts w:ascii="Cambria Math" w:eastAsiaTheme="minorEastAsia" w:hAnsi="Cambria Math"/>
                </w:rPr>
                <m:t>λ</m:t>
              </m:r>
            </m:e>
          </m:d>
          <m: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β</m:t>
              </m:r>
            </m:e>
          </m:d>
          <m:r>
            <w:rPr>
              <w:rFonts w:ascii="Cambria Math" w:eastAsiaTheme="minorEastAsia" w:hAnsi="Cambria Math"/>
            </w:rPr>
            <m:t>-</m:t>
          </m:r>
          <m:r>
            <m:rPr>
              <m:sty m:val="p"/>
            </m:rPr>
            <w:rPr>
              <w:rFonts w:ascii="Cambria Math" w:eastAsiaTheme="minorEastAsia" w:hAnsi="Cambria Math"/>
            </w:rPr>
            <m:t>λ</m:t>
          </m:r>
          <m:d>
            <m:dPr>
              <m:begChr m:val="["/>
              <m:endChr m:val="]"/>
              <m:ctrlPr>
                <w:rPr>
                  <w:rFonts w:ascii="Cambria Math" w:eastAsiaTheme="minorEastAsia" w:hAnsi="Cambria Math"/>
                  <w:i/>
                </w:rPr>
              </m:ctrlPr>
            </m:dPr>
            <m:e>
              <m:r>
                <w:rPr>
                  <w:rFonts w:ascii="Cambria Math" w:eastAsiaTheme="minorEastAsia" w:hAnsi="Cambria Math"/>
                </w:rPr>
                <m:t>Pen</m:t>
              </m:r>
              <m:d>
                <m:dPr>
                  <m:ctrlPr>
                    <w:rPr>
                      <w:rFonts w:ascii="Cambria Math" w:eastAsiaTheme="minorEastAsia" w:hAnsi="Cambria Math"/>
                      <w:i/>
                    </w:rPr>
                  </m:ctrlPr>
                </m:dPr>
                <m:e>
                  <m:r>
                    <m:rPr>
                      <m:sty m:val="p"/>
                    </m:rPr>
                    <w:rPr>
                      <w:rFonts w:ascii="Cambria Math" w:eastAsiaTheme="minorEastAsia" w:hAnsi="Cambria Math"/>
                    </w:rPr>
                    <m:t>β</m:t>
                  </m:r>
                </m:e>
              </m:d>
            </m:e>
          </m:d>
        </m:oMath>
      </m:oMathPara>
    </w:p>
    <w:p w14:paraId="6B283E4D" w14:textId="77777777" w:rsidR="0005775B" w:rsidRPr="0005775B" w:rsidRDefault="0005775B" w:rsidP="00660CBA">
      <w:pPr>
        <w:pStyle w:val="Sansinterligne"/>
        <w:jc w:val="both"/>
        <w:rPr>
          <w:rFonts w:eastAsiaTheme="minorEastAsia"/>
        </w:rPr>
      </w:pPr>
    </w:p>
    <w:p w14:paraId="2680FCC7" w14:textId="39CFD7E7" w:rsidR="004248E6" w:rsidRPr="004248E6" w:rsidRDefault="00BD639F" w:rsidP="00CD7F25">
      <w:pPr>
        <w:pStyle w:val="Titre2"/>
        <w:jc w:val="both"/>
      </w:pPr>
      <w:r>
        <w:t>Questions de recherche</w:t>
      </w:r>
    </w:p>
    <w:p w14:paraId="7863E0EE" w14:textId="6ABC1970" w:rsidR="00BD639F" w:rsidRDefault="00BD639F" w:rsidP="00CD7F25">
      <w:pPr>
        <w:pStyle w:val="Paragraphedeliste"/>
        <w:numPr>
          <w:ilvl w:val="0"/>
          <w:numId w:val="1"/>
        </w:numPr>
        <w:jc w:val="both"/>
      </w:pPr>
      <w:r>
        <w:t>Equivalence des spectres entre feuille sèche et feuille fraiche ?</w:t>
      </w:r>
    </w:p>
    <w:p w14:paraId="33AA2771" w14:textId="0CCE54A8" w:rsidR="00BD639F" w:rsidRDefault="00BD639F" w:rsidP="00CD7F25">
      <w:pPr>
        <w:pStyle w:val="Paragraphedeliste"/>
        <w:numPr>
          <w:ilvl w:val="0"/>
          <w:numId w:val="1"/>
        </w:numPr>
        <w:jc w:val="both"/>
      </w:pPr>
      <w:r>
        <w:t>Modèle d’association des spectres par variété</w:t>
      </w:r>
    </w:p>
    <w:p w14:paraId="25DE98A0" w14:textId="1F3C0CC9" w:rsidR="00BD639F" w:rsidRDefault="002D3AD4" w:rsidP="00CD7F25">
      <w:pPr>
        <w:pStyle w:val="Paragraphedeliste"/>
        <w:numPr>
          <w:ilvl w:val="0"/>
          <w:numId w:val="1"/>
        </w:numPr>
        <w:jc w:val="both"/>
      </w:pPr>
      <w:r>
        <w:t>Répartition des données dans les modèles (regarder les résidus dans les modèles linéaires, etc…)</w:t>
      </w:r>
    </w:p>
    <w:p w14:paraId="6F3D99BC" w14:textId="08BED08D" w:rsidR="002D3AD4" w:rsidRDefault="002D3AD4" w:rsidP="00CD7F25">
      <w:pPr>
        <w:pStyle w:val="Paragraphedeliste"/>
        <w:numPr>
          <w:ilvl w:val="0"/>
          <w:numId w:val="1"/>
        </w:numPr>
        <w:jc w:val="both"/>
      </w:pPr>
      <w:r>
        <w:t xml:space="preserve">Faire attention aux </w:t>
      </w:r>
      <w:proofErr w:type="spellStart"/>
      <w:r>
        <w:t>outlyers</w:t>
      </w:r>
      <w:proofErr w:type="spellEnd"/>
    </w:p>
    <w:p w14:paraId="6809072E" w14:textId="34259062" w:rsidR="002D3AD4" w:rsidRPr="00BD639F" w:rsidRDefault="002D3AD4" w:rsidP="00CD7F25">
      <w:pPr>
        <w:pStyle w:val="Paragraphedeliste"/>
        <w:numPr>
          <w:ilvl w:val="0"/>
          <w:numId w:val="1"/>
        </w:numPr>
        <w:jc w:val="both"/>
      </w:pPr>
      <w:r>
        <w:t>P</w:t>
      </w:r>
      <w:r w:rsidRPr="002D3AD4">
        <w:t xml:space="preserve">rédire un phénotype à partir de spectres mesurés à différents endroits sur la plante. Prendre en compte plusieurs spectre </w:t>
      </w:r>
      <w:r>
        <w:sym w:font="Wingdings" w:char="F0E8"/>
      </w:r>
      <w:r>
        <w:t xml:space="preserve"> </w:t>
      </w:r>
      <w:r w:rsidRPr="002D3AD4">
        <w:t>globaliser les différentes réduction</w:t>
      </w:r>
      <w:r>
        <w:t>s</w:t>
      </w:r>
      <w:r w:rsidRPr="002D3AD4">
        <w:t xml:space="preserve"> de données sur une seule plante</w:t>
      </w:r>
    </w:p>
    <w:p w14:paraId="5FCDD164" w14:textId="184F1571" w:rsidR="00BD639F" w:rsidRDefault="00BD639F" w:rsidP="00CD7F25">
      <w:pPr>
        <w:pStyle w:val="Titre2"/>
        <w:jc w:val="both"/>
      </w:pPr>
      <w:r>
        <w:lastRenderedPageBreak/>
        <w:t>Bibliographie</w:t>
      </w:r>
    </w:p>
    <w:p w14:paraId="63C8CF1D" w14:textId="77777777" w:rsidR="00BD639F" w:rsidRPr="00BD639F" w:rsidRDefault="00BD639F" w:rsidP="00CD7F25">
      <w:pPr>
        <w:jc w:val="both"/>
      </w:pPr>
    </w:p>
    <w:p w14:paraId="6306C342" w14:textId="77777777" w:rsidR="00BD639F" w:rsidRDefault="00BD639F" w:rsidP="00CD7F25">
      <w:pPr>
        <w:jc w:val="both"/>
      </w:pPr>
      <w:r>
        <w:t>Livre sur les données fonctionnelles :</w:t>
      </w:r>
    </w:p>
    <w:p w14:paraId="7F9D574C" w14:textId="157D999D" w:rsidR="00BD639F" w:rsidRPr="00BD639F" w:rsidRDefault="00BD639F" w:rsidP="00CD7F25">
      <w:pPr>
        <w:jc w:val="both"/>
        <w:rPr>
          <w:lang w:val="en-GB"/>
        </w:rPr>
      </w:pPr>
      <w:r>
        <w:tab/>
      </w:r>
      <w:r w:rsidRPr="00BD639F">
        <w:rPr>
          <w:lang w:val="en-GB"/>
        </w:rPr>
        <w:t>- functional data analysis (J. O. Ramsay , B. W. Silverman)</w:t>
      </w:r>
    </w:p>
    <w:p w14:paraId="088BC1F1" w14:textId="5BF1A182" w:rsidR="001C206C" w:rsidRDefault="00F26227" w:rsidP="00CD7F25">
      <w:pPr>
        <w:pStyle w:val="Titre2"/>
        <w:jc w:val="both"/>
      </w:pPr>
      <w:r>
        <w:t>Brouillon</w:t>
      </w:r>
    </w:p>
    <w:p w14:paraId="358ACCCC" w14:textId="081E2C07" w:rsidR="003279EC" w:rsidRDefault="00703B99" w:rsidP="00CD7F25">
      <w:pPr>
        <w:spacing w:line="240" w:lineRule="auto"/>
        <w:jc w:val="both"/>
        <w:rPr>
          <w:rFonts w:cstheme="minorHAnsi"/>
        </w:rPr>
      </w:pPr>
      <w:r>
        <w:rPr>
          <w:rFonts w:cstheme="minorHAnsi"/>
        </w:rPr>
        <w:t xml:space="preserve">En effet, les processus environnementaux ont un impact sur le phénotype ce qui peut altérer le lien entre génotype et phénotype. </w:t>
      </w:r>
      <w:r w:rsidR="008134AC">
        <w:rPr>
          <w:rFonts w:cstheme="minorHAnsi"/>
        </w:rPr>
        <w:t xml:space="preserve">L’approche utilisée n’appliquait des méthodes fonctionnelles, ce qui est proposé dans le présent travail. </w:t>
      </w:r>
    </w:p>
    <w:p w14:paraId="587DDA91" w14:textId="233E1E34" w:rsidR="008134AC" w:rsidRDefault="008134AC" w:rsidP="00CD7F25">
      <w:pPr>
        <w:spacing w:line="240" w:lineRule="auto"/>
        <w:jc w:val="both"/>
        <w:rPr>
          <w:rFonts w:cstheme="minorHAnsi"/>
        </w:rPr>
      </w:pPr>
      <w:r>
        <w:rPr>
          <w:rFonts w:cstheme="minorHAnsi"/>
        </w:rPr>
        <w:t xml:space="preserve">Nous proposons donc d’utiliser des méthodes fonctionnelles pour tenter une meilleure prédiction du phénotype pendant la vigueur précoce à partir de données NIRS. </w:t>
      </w:r>
    </w:p>
    <w:p w14:paraId="3365BB4E" w14:textId="2F21F4AD" w:rsidR="00BE31EB" w:rsidRPr="00BE31EB" w:rsidRDefault="00BE31EB" w:rsidP="00CD7F25">
      <w:pPr>
        <w:spacing w:line="240" w:lineRule="auto"/>
        <w:jc w:val="both"/>
        <w:rPr>
          <w:rFonts w:cstheme="minorHAnsi"/>
        </w:rPr>
      </w:pPr>
      <w:r w:rsidRPr="00BE31EB">
        <w:rPr>
          <w:rFonts w:cstheme="minorHAnsi"/>
        </w:rPr>
        <w:t xml:space="preserve">La phase </w:t>
      </w:r>
      <w:r w:rsidR="006C7A99" w:rsidRPr="0078502D">
        <w:rPr>
          <w:rFonts w:cstheme="minorHAnsi"/>
        </w:rPr>
        <w:t>précoce</w:t>
      </w:r>
      <w:r w:rsidRPr="00BE31EB">
        <w:rPr>
          <w:rFonts w:cstheme="minorHAnsi"/>
        </w:rPr>
        <w:t xml:space="preserve"> est la phase de croissance du colza entre la germination et l'étape ou la plante à </w:t>
      </w:r>
      <w:proofErr w:type="spellStart"/>
      <w:r w:rsidR="006C7A99" w:rsidRPr="0078502D">
        <w:rPr>
          <w:rFonts w:cstheme="minorHAnsi"/>
        </w:rPr>
        <w:t>développée</w:t>
      </w:r>
      <w:proofErr w:type="spellEnd"/>
      <w:r w:rsidRPr="00BE31EB">
        <w:rPr>
          <w:rFonts w:cstheme="minorHAnsi"/>
        </w:rPr>
        <w:t xml:space="preserve"> 4 à 5 </w:t>
      </w:r>
      <w:r w:rsidR="006C7A99" w:rsidRPr="0078502D">
        <w:rPr>
          <w:rFonts w:cstheme="minorHAnsi"/>
        </w:rPr>
        <w:t>feuilles</w:t>
      </w:r>
      <w:r w:rsidRPr="00BE31EB">
        <w:rPr>
          <w:rFonts w:cstheme="minorHAnsi"/>
        </w:rPr>
        <w:t xml:space="preserve"> (thèse). La </w:t>
      </w:r>
      <w:r w:rsidR="006C7A99" w:rsidRPr="0078502D">
        <w:rPr>
          <w:rFonts w:cstheme="minorHAnsi"/>
        </w:rPr>
        <w:t>vigueur</w:t>
      </w:r>
      <w:r w:rsidRPr="00BE31EB">
        <w:rPr>
          <w:rFonts w:cstheme="minorHAnsi"/>
        </w:rPr>
        <w:t xml:space="preserve"> précoce du colza désigne la </w:t>
      </w:r>
      <w:r w:rsidR="006C7A99" w:rsidRPr="0078502D">
        <w:rPr>
          <w:rFonts w:cstheme="minorHAnsi"/>
        </w:rPr>
        <w:t>vigueur</w:t>
      </w:r>
      <w:r w:rsidRPr="00BE31EB">
        <w:rPr>
          <w:rFonts w:cstheme="minorHAnsi"/>
        </w:rPr>
        <w:t xml:space="preserve"> aux cours de ce stade précoce. </w:t>
      </w:r>
    </w:p>
    <w:p w14:paraId="60CF786D" w14:textId="77777777" w:rsidR="00BE31EB" w:rsidRPr="00BE31EB" w:rsidRDefault="00BE31EB" w:rsidP="00CD7F25">
      <w:pPr>
        <w:spacing w:line="240" w:lineRule="auto"/>
        <w:jc w:val="both"/>
        <w:rPr>
          <w:rFonts w:cstheme="minorHAnsi"/>
        </w:rPr>
      </w:pPr>
    </w:p>
    <w:p w14:paraId="124BC651" w14:textId="0A1DC024" w:rsidR="00BE31EB" w:rsidRPr="00BE31EB" w:rsidRDefault="00BE31EB" w:rsidP="00CD7F25">
      <w:pPr>
        <w:spacing w:line="240" w:lineRule="auto"/>
        <w:jc w:val="both"/>
        <w:rPr>
          <w:rFonts w:cstheme="minorHAnsi"/>
        </w:rPr>
      </w:pPr>
      <w:r w:rsidRPr="00BE31EB">
        <w:rPr>
          <w:rFonts w:cstheme="minorHAnsi"/>
        </w:rPr>
        <w:t xml:space="preserve">Un spectre infrarouge montre l'absorbance d'un composé en ordonnées en fonction des </w:t>
      </w:r>
      <w:r w:rsidR="006C7A99" w:rsidRPr="0078502D">
        <w:rPr>
          <w:rFonts w:cstheme="minorHAnsi"/>
        </w:rPr>
        <w:t>longueurs</w:t>
      </w:r>
      <w:r w:rsidRPr="00BE31EB">
        <w:rPr>
          <w:rFonts w:cstheme="minorHAnsi"/>
        </w:rPr>
        <w:t xml:space="preserve"> d'ondes en </w:t>
      </w:r>
      <w:r w:rsidR="006C7A99" w:rsidRPr="0078502D">
        <w:rPr>
          <w:rFonts w:cstheme="minorHAnsi"/>
        </w:rPr>
        <w:t>abscisses</w:t>
      </w:r>
      <w:r w:rsidRPr="00BE31EB">
        <w:rPr>
          <w:rFonts w:cstheme="minorHAnsi"/>
        </w:rPr>
        <w:t xml:space="preserve">. </w:t>
      </w:r>
    </w:p>
    <w:p w14:paraId="0003C74E" w14:textId="77777777" w:rsidR="00BE31EB" w:rsidRPr="00BE31EB" w:rsidRDefault="00BE31EB" w:rsidP="00CD7F25">
      <w:pPr>
        <w:spacing w:line="240" w:lineRule="auto"/>
        <w:jc w:val="both"/>
        <w:rPr>
          <w:rFonts w:cstheme="minorHAnsi"/>
        </w:rPr>
      </w:pPr>
    </w:p>
    <w:p w14:paraId="2C019F74" w14:textId="4E788128" w:rsidR="00BE31EB" w:rsidRPr="00BE31EB" w:rsidRDefault="00BE31EB" w:rsidP="00CD7F25">
      <w:pPr>
        <w:spacing w:line="240" w:lineRule="auto"/>
        <w:jc w:val="both"/>
        <w:rPr>
          <w:rFonts w:cstheme="minorHAnsi"/>
        </w:rPr>
      </w:pPr>
      <w:r w:rsidRPr="00BE31EB">
        <w:rPr>
          <w:rFonts w:cstheme="minorHAnsi"/>
        </w:rPr>
        <w:t xml:space="preserve">Données </w:t>
      </w:r>
      <w:r w:rsidR="006C7A99" w:rsidRPr="0078502D">
        <w:rPr>
          <w:rFonts w:cstheme="minorHAnsi"/>
        </w:rPr>
        <w:t>fonctionnelles :</w:t>
      </w:r>
      <w:r w:rsidRPr="00BE31EB">
        <w:rPr>
          <w:rFonts w:cstheme="minorHAnsi"/>
        </w:rPr>
        <w:t xml:space="preserve"> </w:t>
      </w:r>
    </w:p>
    <w:p w14:paraId="554EEDBF" w14:textId="79A96C0F" w:rsidR="00BE31EB" w:rsidRPr="00BE31EB" w:rsidRDefault="00BE31EB" w:rsidP="00CD7F25">
      <w:pPr>
        <w:spacing w:line="240" w:lineRule="auto"/>
        <w:jc w:val="both"/>
        <w:rPr>
          <w:rFonts w:cstheme="minorHAnsi"/>
        </w:rPr>
      </w:pPr>
      <w:r w:rsidRPr="00BE31EB">
        <w:rPr>
          <w:rFonts w:cstheme="minorHAnsi"/>
        </w:rPr>
        <w:t xml:space="preserve">L'amélioration des technologies d'acquisition de données permettent aujourd'hui de collecter des données de manière quasi continue. Les observations ne sont plus des valeurs ponctuelles mais peuvent être considérées comme des fonctions continues. Des observations de telles variables sont </w:t>
      </w:r>
      <w:r w:rsidR="006C7A99" w:rsidRPr="0078502D">
        <w:rPr>
          <w:rFonts w:cstheme="minorHAnsi"/>
        </w:rPr>
        <w:t xml:space="preserve">appelées </w:t>
      </w:r>
      <w:r w:rsidRPr="00BE31EB">
        <w:rPr>
          <w:rFonts w:cstheme="minorHAnsi"/>
        </w:rPr>
        <w:t xml:space="preserve">des données </w:t>
      </w:r>
      <w:r w:rsidR="006C7A99" w:rsidRPr="0078502D">
        <w:rPr>
          <w:rFonts w:cstheme="minorHAnsi"/>
        </w:rPr>
        <w:t>fonctionnelles</w:t>
      </w:r>
      <w:r w:rsidRPr="00BE31EB">
        <w:rPr>
          <w:rFonts w:cstheme="minorHAnsi"/>
        </w:rPr>
        <w:t xml:space="preserve"> (FDA pour </w:t>
      </w:r>
      <w:proofErr w:type="spellStart"/>
      <w:r w:rsidRPr="00BE31EB">
        <w:rPr>
          <w:rFonts w:cstheme="minorHAnsi"/>
        </w:rPr>
        <w:t>Functional</w:t>
      </w:r>
      <w:proofErr w:type="spellEnd"/>
      <w:r w:rsidRPr="00BE31EB">
        <w:rPr>
          <w:rFonts w:cstheme="minorHAnsi"/>
        </w:rPr>
        <w:t xml:space="preserve"> Data </w:t>
      </w:r>
      <w:proofErr w:type="spellStart"/>
      <w:r w:rsidRPr="00BE31EB">
        <w:rPr>
          <w:rFonts w:cstheme="minorHAnsi"/>
        </w:rPr>
        <w:t>Analysis</w:t>
      </w:r>
      <w:proofErr w:type="spellEnd"/>
      <w:r w:rsidRPr="00BE31EB">
        <w:rPr>
          <w:rFonts w:cstheme="minorHAnsi"/>
        </w:rPr>
        <w:t xml:space="preserve">). </w:t>
      </w:r>
    </w:p>
    <w:p w14:paraId="5003A06D" w14:textId="77777777" w:rsidR="00BE31EB" w:rsidRPr="00BE31EB" w:rsidRDefault="00BE31EB" w:rsidP="00CD7F25">
      <w:pPr>
        <w:spacing w:line="240" w:lineRule="auto"/>
        <w:jc w:val="both"/>
        <w:rPr>
          <w:rFonts w:cstheme="minorHAnsi"/>
        </w:rPr>
      </w:pPr>
    </w:p>
    <w:p w14:paraId="6D3A90B6" w14:textId="7ACE872E" w:rsidR="0078502D" w:rsidRPr="0078502D" w:rsidRDefault="00BE31EB" w:rsidP="00CD7F25">
      <w:pPr>
        <w:spacing w:line="240" w:lineRule="auto"/>
        <w:jc w:val="both"/>
        <w:rPr>
          <w:rFonts w:cstheme="minorHAnsi"/>
        </w:rPr>
      </w:pPr>
      <w:r w:rsidRPr="00BE31EB">
        <w:rPr>
          <w:rFonts w:cstheme="minorHAnsi"/>
        </w:rPr>
        <w:t xml:space="preserve">Une données fonctionnelle aléatoire </w:t>
      </w:r>
      <w:r w:rsidRPr="00BE31EB">
        <w:rPr>
          <w:rFonts w:cstheme="minorHAnsi"/>
          <w:i/>
          <w:iCs/>
        </w:rPr>
        <w:t>X</w:t>
      </w:r>
      <w:r w:rsidRPr="00BE31EB">
        <w:rPr>
          <w:rFonts w:cstheme="minorHAnsi"/>
        </w:rPr>
        <w:t xml:space="preserve"> est définie dans un espace de probabilité et prend des valeurs dans un espace de fonction </w:t>
      </w:r>
      <w:r w:rsidRPr="00BE31EB">
        <w:rPr>
          <w:rFonts w:cstheme="minorHAnsi"/>
          <w:i/>
          <w:iCs/>
        </w:rPr>
        <w:t>H</w:t>
      </w:r>
      <w:r w:rsidRPr="00BE31EB">
        <w:rPr>
          <w:rFonts w:cstheme="minorHAnsi"/>
        </w:rPr>
        <w:t xml:space="preserve">. Par exemple, trouver une fonction </w:t>
      </w:r>
      <w:proofErr w:type="spellStart"/>
      <w:r w:rsidRPr="00BE31EB">
        <w:rPr>
          <w:rFonts w:cstheme="minorHAnsi"/>
        </w:rPr>
        <w:t>spline</w:t>
      </w:r>
      <w:proofErr w:type="spellEnd"/>
      <w:r w:rsidRPr="00BE31EB">
        <w:rPr>
          <w:rFonts w:cstheme="minorHAnsi"/>
        </w:rPr>
        <w:t xml:space="preserve"> sur des observations discrètes revient à trouver une variable fonctionnelle. </w:t>
      </w:r>
    </w:p>
    <w:p w14:paraId="04A46F4B" w14:textId="77777777" w:rsidR="0078502D" w:rsidRPr="0078502D" w:rsidRDefault="0078502D" w:rsidP="00CD7F25">
      <w:pPr>
        <w:jc w:val="both"/>
        <w:rPr>
          <w:rFonts w:cstheme="minorHAnsi"/>
        </w:rPr>
      </w:pPr>
    </w:p>
    <w:p w14:paraId="566AFA1A" w14:textId="758DED9B" w:rsidR="00BE31EB" w:rsidRPr="00BE31EB" w:rsidRDefault="00BE31EB" w:rsidP="00CD7F25">
      <w:pPr>
        <w:spacing w:line="240" w:lineRule="auto"/>
        <w:jc w:val="both"/>
        <w:rPr>
          <w:rFonts w:cstheme="minorHAnsi"/>
        </w:rPr>
      </w:pPr>
      <w:r w:rsidRPr="00BE31EB">
        <w:rPr>
          <w:rFonts w:cstheme="minorHAnsi"/>
        </w:rPr>
        <w:t>L'espace de fonction le plus étudié est l'espace de Hilbert. Un espace de Hilbert est un espace vectoriel (</w:t>
      </w:r>
      <w:proofErr w:type="spellStart"/>
      <w:r w:rsidRPr="00BE31EB">
        <w:rPr>
          <w:rFonts w:cstheme="minorHAnsi"/>
        </w:rPr>
        <w:t>ie</w:t>
      </w:r>
      <w:proofErr w:type="spellEnd"/>
      <w:r w:rsidRPr="00BE31EB">
        <w:rPr>
          <w:rFonts w:cstheme="minorHAnsi"/>
        </w:rPr>
        <w:t xml:space="preserve">. </w:t>
      </w:r>
      <w:r w:rsidR="006C7A99" w:rsidRPr="0078502D">
        <w:rPr>
          <w:rFonts w:cstheme="minorHAnsi"/>
        </w:rPr>
        <w:t>L’addition</w:t>
      </w:r>
      <w:r w:rsidRPr="00BE31EB">
        <w:rPr>
          <w:rFonts w:cstheme="minorHAnsi"/>
        </w:rPr>
        <w:t xml:space="preserve"> ou la multiplication de deux éléments d'un tel espace donnera un résultat qui appartient encore </w:t>
      </w:r>
      <w:r w:rsidR="006C7A99" w:rsidRPr="0078502D">
        <w:rPr>
          <w:rFonts w:cstheme="minorHAnsi"/>
        </w:rPr>
        <w:t>à</w:t>
      </w:r>
      <w:r w:rsidRPr="00BE31EB">
        <w:rPr>
          <w:rFonts w:cstheme="minorHAnsi"/>
        </w:rPr>
        <w:t xml:space="preserve"> cet espace). </w:t>
      </w:r>
    </w:p>
    <w:p w14:paraId="61099A93" w14:textId="77777777" w:rsidR="00BE31EB" w:rsidRPr="00BE31EB" w:rsidRDefault="00BE31EB" w:rsidP="00CD7F25">
      <w:pPr>
        <w:spacing w:line="240" w:lineRule="auto"/>
        <w:jc w:val="both"/>
        <w:rPr>
          <w:rFonts w:cstheme="minorHAnsi"/>
        </w:rPr>
      </w:pPr>
    </w:p>
    <w:p w14:paraId="487BDF28" w14:textId="77777777" w:rsidR="00BE31EB" w:rsidRPr="00BE31EB" w:rsidRDefault="00BE31EB" w:rsidP="00CD7F25">
      <w:pPr>
        <w:spacing w:line="240" w:lineRule="auto"/>
        <w:jc w:val="both"/>
        <w:rPr>
          <w:rFonts w:cstheme="minorHAnsi"/>
        </w:rPr>
      </w:pPr>
      <w:proofErr w:type="spellStart"/>
      <w:r w:rsidRPr="00BE31EB">
        <w:rPr>
          <w:rFonts w:cstheme="minorHAnsi"/>
        </w:rPr>
        <w:t>Sample_ID</w:t>
      </w:r>
      <w:proofErr w:type="spellEnd"/>
      <w:r w:rsidRPr="00BE31EB">
        <w:rPr>
          <w:rFonts w:cstheme="minorHAnsi"/>
        </w:rPr>
        <w:t>: Numéro d'identification unique de l'échantillon.</w:t>
      </w:r>
    </w:p>
    <w:p w14:paraId="532CCEA2" w14:textId="77777777" w:rsidR="00BE31EB" w:rsidRPr="00BE31EB" w:rsidRDefault="00BE31EB" w:rsidP="00CD7F25">
      <w:pPr>
        <w:spacing w:line="240" w:lineRule="auto"/>
        <w:jc w:val="both"/>
        <w:rPr>
          <w:rFonts w:cstheme="minorHAnsi"/>
        </w:rPr>
      </w:pPr>
      <w:r w:rsidRPr="00BE31EB">
        <w:rPr>
          <w:rFonts w:cstheme="minorHAnsi"/>
        </w:rPr>
        <w:br/>
        <w:t>Accession: Génotypes</w:t>
      </w:r>
    </w:p>
    <w:p w14:paraId="78FFF32A" w14:textId="77777777" w:rsidR="00BE31EB" w:rsidRPr="00BE31EB" w:rsidRDefault="00BE31EB" w:rsidP="00CD7F25">
      <w:pPr>
        <w:spacing w:line="240" w:lineRule="auto"/>
        <w:jc w:val="both"/>
        <w:rPr>
          <w:rFonts w:cstheme="minorHAnsi"/>
        </w:rPr>
      </w:pPr>
      <w:r w:rsidRPr="00BE31EB">
        <w:rPr>
          <w:rFonts w:cstheme="minorHAnsi"/>
        </w:rPr>
        <w:lastRenderedPageBreak/>
        <w:br/>
      </w:r>
      <w:proofErr w:type="spellStart"/>
      <w:r w:rsidRPr="00BE31EB">
        <w:rPr>
          <w:rFonts w:cstheme="minorHAnsi"/>
        </w:rPr>
        <w:t>Growth</w:t>
      </w:r>
      <w:proofErr w:type="spellEnd"/>
      <w:r w:rsidRPr="00BE31EB">
        <w:rPr>
          <w:rFonts w:cstheme="minorHAnsi"/>
        </w:rPr>
        <w:t xml:space="preserve"> </w:t>
      </w:r>
      <w:proofErr w:type="spellStart"/>
      <w:r w:rsidRPr="00BE31EB">
        <w:rPr>
          <w:rFonts w:cstheme="minorHAnsi"/>
        </w:rPr>
        <w:t>season</w:t>
      </w:r>
      <w:proofErr w:type="spellEnd"/>
      <w:r w:rsidRPr="00BE31EB">
        <w:rPr>
          <w:rFonts w:cstheme="minorHAnsi"/>
        </w:rPr>
        <w:t>: Saison de croissance (2014-2015; 2015-2016; 2016-2017).</w:t>
      </w:r>
    </w:p>
    <w:p w14:paraId="0E209C0E" w14:textId="77777777" w:rsidR="00BE31EB" w:rsidRPr="00BE31EB" w:rsidRDefault="00BE31EB" w:rsidP="00CD7F25">
      <w:pPr>
        <w:spacing w:line="240" w:lineRule="auto"/>
        <w:jc w:val="both"/>
        <w:rPr>
          <w:rFonts w:cstheme="minorHAnsi"/>
        </w:rPr>
      </w:pPr>
      <w:r w:rsidRPr="00BE31EB">
        <w:rPr>
          <w:rFonts w:cstheme="minorHAnsi"/>
        </w:rPr>
        <w:br/>
      </w:r>
      <w:proofErr w:type="spellStart"/>
      <w:r w:rsidRPr="00BE31EB">
        <w:rPr>
          <w:rFonts w:cstheme="minorHAnsi"/>
        </w:rPr>
        <w:t>Growth</w:t>
      </w:r>
      <w:proofErr w:type="spellEnd"/>
      <w:r w:rsidRPr="00BE31EB">
        <w:rPr>
          <w:rFonts w:cstheme="minorHAnsi"/>
        </w:rPr>
        <w:t xml:space="preserve"> condition: Conditions de culture soit en champs soit en tunnel </w:t>
      </w:r>
    </w:p>
    <w:p w14:paraId="140F7A10" w14:textId="57BF4DAB" w:rsidR="00BE31EB" w:rsidRPr="00BE31EB" w:rsidRDefault="00BE31EB" w:rsidP="00CD7F25">
      <w:pPr>
        <w:spacing w:line="240" w:lineRule="auto"/>
        <w:jc w:val="both"/>
        <w:rPr>
          <w:rFonts w:cstheme="minorHAnsi"/>
        </w:rPr>
      </w:pPr>
      <w:r w:rsidRPr="00BE31EB">
        <w:rPr>
          <w:rFonts w:cstheme="minorHAnsi"/>
        </w:rPr>
        <w:br/>
        <w:t xml:space="preserve">N </w:t>
      </w:r>
      <w:proofErr w:type="spellStart"/>
      <w:r w:rsidRPr="00BE31EB">
        <w:rPr>
          <w:rFonts w:cstheme="minorHAnsi"/>
        </w:rPr>
        <w:t>regime</w:t>
      </w:r>
      <w:proofErr w:type="spellEnd"/>
      <w:r w:rsidRPr="00BE31EB">
        <w:rPr>
          <w:rFonts w:cstheme="minorHAnsi"/>
        </w:rPr>
        <w:t xml:space="preserve">: Fertilisation azoté apporté au stade de monté en graine. N+ désigne des apports azotés optimaux pour atteindre un </w:t>
      </w:r>
      <w:r w:rsidR="006C7A99" w:rsidRPr="0078502D">
        <w:rPr>
          <w:rFonts w:cstheme="minorHAnsi"/>
        </w:rPr>
        <w:t>rendement</w:t>
      </w:r>
      <w:r w:rsidRPr="00BE31EB">
        <w:rPr>
          <w:rFonts w:cstheme="minorHAnsi"/>
        </w:rPr>
        <w:t xml:space="preserve"> de 3.5 t.ha-1 de graine de colza. N- désigne un apport sous-optimal de  80-100 kg.ha-1 d'azote</w:t>
      </w:r>
    </w:p>
    <w:p w14:paraId="30CA7B66" w14:textId="77777777" w:rsidR="00BE31EB" w:rsidRPr="00BE31EB" w:rsidRDefault="00BE31EB" w:rsidP="00CD7F25">
      <w:pPr>
        <w:spacing w:line="240" w:lineRule="auto"/>
        <w:jc w:val="both"/>
        <w:rPr>
          <w:rFonts w:cstheme="minorHAnsi"/>
        </w:rPr>
      </w:pPr>
      <w:r w:rsidRPr="00BE31EB">
        <w:rPr>
          <w:rFonts w:cstheme="minorHAnsi"/>
        </w:rPr>
        <w:br/>
        <w:t xml:space="preserve">W </w:t>
      </w:r>
      <w:proofErr w:type="spellStart"/>
      <w:r w:rsidRPr="00BE31EB">
        <w:rPr>
          <w:rFonts w:cstheme="minorHAnsi"/>
        </w:rPr>
        <w:t>regime</w:t>
      </w:r>
      <w:proofErr w:type="spellEnd"/>
      <w:r w:rsidRPr="00BE31EB">
        <w:rPr>
          <w:rFonts w:cstheme="minorHAnsi"/>
        </w:rPr>
        <w:t xml:space="preserve">: Apports en eau </w:t>
      </w:r>
      <w:proofErr w:type="spellStart"/>
      <w:r w:rsidRPr="00BE31EB">
        <w:rPr>
          <w:rFonts w:cstheme="minorHAnsi"/>
        </w:rPr>
        <w:t>a</w:t>
      </w:r>
      <w:proofErr w:type="spellEnd"/>
      <w:r w:rsidRPr="00BE31EB">
        <w:rPr>
          <w:rFonts w:cstheme="minorHAnsi"/>
        </w:rPr>
        <w:t xml:space="preserve"> partir du stade de floraison. W+ indique un apport en eau optimal avec un potentiel en eau du substrat de -200 mbar. W- correspond à un apport en eau sous-optimal avec un potentiel en eau du substrat de -600 mbar. </w:t>
      </w:r>
    </w:p>
    <w:p w14:paraId="62ECCBBF" w14:textId="77777777" w:rsidR="00BE31EB" w:rsidRPr="00BE31EB" w:rsidRDefault="00BE31EB" w:rsidP="00CD7F25">
      <w:pPr>
        <w:spacing w:line="240" w:lineRule="auto"/>
        <w:jc w:val="both"/>
        <w:rPr>
          <w:rFonts w:cstheme="minorHAnsi"/>
        </w:rPr>
      </w:pPr>
      <w:r w:rsidRPr="00BE31EB">
        <w:rPr>
          <w:rFonts w:cstheme="minorHAnsi"/>
        </w:rPr>
        <w:br/>
        <w:t>Tissue: Tissus végétaux d'</w:t>
      </w:r>
      <w:proofErr w:type="spellStart"/>
      <w:r w:rsidRPr="00BE31EB">
        <w:rPr>
          <w:rFonts w:cstheme="minorHAnsi"/>
        </w:rPr>
        <w:t>ou</w:t>
      </w:r>
      <w:proofErr w:type="spellEnd"/>
      <w:r w:rsidRPr="00BE31EB">
        <w:rPr>
          <w:rFonts w:cstheme="minorHAnsi"/>
        </w:rPr>
        <w:t xml:space="preserve"> proviennent les échantillons dont les racines, les feuilles, les tiges, les fleurs et les gousses de graines.</w:t>
      </w:r>
    </w:p>
    <w:p w14:paraId="31515A78" w14:textId="43D1C628" w:rsidR="00BE31EB" w:rsidRPr="00BE31EB" w:rsidRDefault="00BE31EB" w:rsidP="00CD7F25">
      <w:pPr>
        <w:spacing w:line="240" w:lineRule="auto"/>
        <w:jc w:val="both"/>
        <w:rPr>
          <w:rFonts w:cstheme="minorHAnsi"/>
        </w:rPr>
      </w:pPr>
      <w:r w:rsidRPr="00BE31EB">
        <w:rPr>
          <w:rFonts w:cstheme="minorHAnsi"/>
        </w:rPr>
        <w:br/>
        <w:t xml:space="preserve">BBCH dev. Stage: Stade de </w:t>
      </w:r>
      <w:r w:rsidR="006C7A99" w:rsidRPr="0078502D">
        <w:rPr>
          <w:rFonts w:cstheme="minorHAnsi"/>
        </w:rPr>
        <w:t>développement</w:t>
      </w:r>
      <w:r w:rsidRPr="00BE31EB">
        <w:rPr>
          <w:rFonts w:cstheme="minorHAnsi"/>
        </w:rPr>
        <w:t xml:space="preserve"> d'</w:t>
      </w:r>
      <w:proofErr w:type="spellStart"/>
      <w:r w:rsidRPr="00BE31EB">
        <w:rPr>
          <w:rFonts w:cstheme="minorHAnsi"/>
        </w:rPr>
        <w:t>ou</w:t>
      </w:r>
      <w:proofErr w:type="spellEnd"/>
      <w:r w:rsidRPr="00BE31EB">
        <w:rPr>
          <w:rFonts w:cstheme="minorHAnsi"/>
        </w:rPr>
        <w:t xml:space="preserve"> </w:t>
      </w:r>
      <w:proofErr w:type="spellStart"/>
      <w:r w:rsidRPr="00BE31EB">
        <w:rPr>
          <w:rFonts w:cstheme="minorHAnsi"/>
        </w:rPr>
        <w:t>on</w:t>
      </w:r>
      <w:proofErr w:type="spellEnd"/>
      <w:r w:rsidRPr="00BE31EB">
        <w:rPr>
          <w:rFonts w:cstheme="minorHAnsi"/>
        </w:rPr>
        <w:t xml:space="preserve"> été prélevés les échantillons. </w:t>
      </w:r>
    </w:p>
    <w:p w14:paraId="19087FA5" w14:textId="77777777" w:rsidR="00BE31EB" w:rsidRPr="00BE31EB" w:rsidRDefault="00BE31EB" w:rsidP="00CD7F25">
      <w:pPr>
        <w:spacing w:line="240" w:lineRule="auto"/>
        <w:jc w:val="both"/>
        <w:rPr>
          <w:rFonts w:cstheme="minorHAnsi"/>
        </w:rPr>
      </w:pPr>
      <w:r w:rsidRPr="00BE31EB">
        <w:rPr>
          <w:rFonts w:cstheme="minorHAnsi"/>
        </w:rPr>
        <w:t>15-19 stage = Plante possédant les 5 à 9 feuilles</w:t>
      </w:r>
    </w:p>
    <w:p w14:paraId="76158C71" w14:textId="17A66803" w:rsidR="00BE31EB" w:rsidRPr="00BE31EB" w:rsidRDefault="00BE31EB" w:rsidP="00CD7F25">
      <w:pPr>
        <w:spacing w:line="240" w:lineRule="auto"/>
        <w:jc w:val="both"/>
        <w:rPr>
          <w:rFonts w:cstheme="minorHAnsi"/>
        </w:rPr>
      </w:pPr>
      <w:r w:rsidRPr="00BE31EB">
        <w:rPr>
          <w:rFonts w:cstheme="minorHAnsi"/>
        </w:rPr>
        <w:t xml:space="preserve">31-35 stage = Stade de montée en graine, la plante montre 1 à 5 </w:t>
      </w:r>
      <w:r w:rsidR="006C7A99" w:rsidRPr="0078502D">
        <w:rPr>
          <w:rFonts w:cstheme="minorHAnsi"/>
        </w:rPr>
        <w:t>entrenœuds</w:t>
      </w:r>
    </w:p>
    <w:p w14:paraId="33B9D166" w14:textId="77777777" w:rsidR="00BE31EB" w:rsidRPr="00BE31EB" w:rsidRDefault="00BE31EB" w:rsidP="00CD7F25">
      <w:pPr>
        <w:spacing w:line="240" w:lineRule="auto"/>
        <w:jc w:val="both"/>
        <w:rPr>
          <w:rFonts w:cstheme="minorHAnsi"/>
        </w:rPr>
      </w:pPr>
      <w:r w:rsidRPr="00BE31EB">
        <w:rPr>
          <w:rFonts w:cstheme="minorHAnsi"/>
        </w:rPr>
        <w:t>55-59 stage = Production de l'inflorescence principale</w:t>
      </w:r>
    </w:p>
    <w:p w14:paraId="7AA303C1" w14:textId="77777777" w:rsidR="00BE31EB" w:rsidRPr="00BE31EB" w:rsidRDefault="00BE31EB" w:rsidP="00CD7F25">
      <w:pPr>
        <w:spacing w:line="240" w:lineRule="auto"/>
        <w:jc w:val="both"/>
        <w:rPr>
          <w:rFonts w:cstheme="minorHAnsi"/>
        </w:rPr>
      </w:pPr>
      <w:r w:rsidRPr="00BE31EB">
        <w:rPr>
          <w:rFonts w:cstheme="minorHAnsi"/>
        </w:rPr>
        <w:t>61-65 stage = Stade de floraison</w:t>
      </w:r>
    </w:p>
    <w:p w14:paraId="5AD3EAD0" w14:textId="034C2435" w:rsidR="00BE31EB" w:rsidRPr="00BE31EB" w:rsidRDefault="00BE31EB" w:rsidP="00CD7F25">
      <w:pPr>
        <w:spacing w:line="240" w:lineRule="auto"/>
        <w:jc w:val="both"/>
        <w:rPr>
          <w:rFonts w:cstheme="minorHAnsi"/>
        </w:rPr>
      </w:pPr>
      <w:r w:rsidRPr="00BE31EB">
        <w:rPr>
          <w:rFonts w:cstheme="minorHAnsi"/>
        </w:rPr>
        <w:t xml:space="preserve">70-75 stage = </w:t>
      </w:r>
      <w:r w:rsidR="006C7A99" w:rsidRPr="0078502D">
        <w:rPr>
          <w:rFonts w:cstheme="minorHAnsi"/>
        </w:rPr>
        <w:t>Développement</w:t>
      </w:r>
      <w:r w:rsidRPr="00BE31EB">
        <w:rPr>
          <w:rFonts w:cstheme="minorHAnsi"/>
        </w:rPr>
        <w:t xml:space="preserve"> des graines</w:t>
      </w:r>
    </w:p>
    <w:p w14:paraId="0EE41664" w14:textId="77777777" w:rsidR="00BE31EB" w:rsidRPr="00BE31EB" w:rsidRDefault="00BE31EB" w:rsidP="00CD7F25">
      <w:pPr>
        <w:spacing w:line="240" w:lineRule="auto"/>
        <w:jc w:val="both"/>
        <w:rPr>
          <w:rFonts w:cstheme="minorHAnsi"/>
        </w:rPr>
      </w:pPr>
      <w:r w:rsidRPr="00BE31EB">
        <w:rPr>
          <w:rFonts w:cstheme="minorHAnsi"/>
        </w:rPr>
        <w:t>79-85 stage = Maturation des graines</w:t>
      </w:r>
    </w:p>
    <w:p w14:paraId="5F3BB239" w14:textId="2CC56F61" w:rsidR="00BE31EB" w:rsidRPr="00BE31EB" w:rsidRDefault="00BE31EB" w:rsidP="00CD7F25">
      <w:pPr>
        <w:spacing w:line="240" w:lineRule="auto"/>
        <w:jc w:val="both"/>
        <w:rPr>
          <w:rFonts w:cstheme="minorHAnsi"/>
        </w:rPr>
      </w:pPr>
      <w:r w:rsidRPr="00BE31EB">
        <w:rPr>
          <w:rFonts w:cstheme="minorHAnsi"/>
        </w:rPr>
        <w:t xml:space="preserve">89-91 stage = Phase de </w:t>
      </w:r>
      <w:r w:rsidR="006C7A99" w:rsidRPr="0078502D">
        <w:rPr>
          <w:rFonts w:cstheme="minorHAnsi"/>
        </w:rPr>
        <w:t>sénescence</w:t>
      </w:r>
      <w:r w:rsidRPr="00BE31EB">
        <w:rPr>
          <w:rFonts w:cstheme="minorHAnsi"/>
        </w:rPr>
        <w:t xml:space="preserve"> de la plante</w:t>
      </w:r>
    </w:p>
    <w:p w14:paraId="103121E1" w14:textId="77777777" w:rsidR="00BE31EB" w:rsidRPr="00BE31EB" w:rsidRDefault="00BE31EB" w:rsidP="00CD7F25">
      <w:pPr>
        <w:spacing w:line="240" w:lineRule="auto"/>
        <w:jc w:val="both"/>
        <w:rPr>
          <w:rFonts w:cstheme="minorHAnsi"/>
        </w:rPr>
      </w:pPr>
      <w:r w:rsidRPr="00BE31EB">
        <w:rPr>
          <w:rFonts w:cstheme="minorHAnsi"/>
        </w:rPr>
        <w:br/>
        <w:t>N content (%DM): Contenu en azote dans l'échantillon en pourcentage de matière sèche.</w:t>
      </w:r>
    </w:p>
    <w:p w14:paraId="47ED812A" w14:textId="77777777" w:rsidR="00BE31EB" w:rsidRPr="00BE31EB" w:rsidRDefault="00BE31EB" w:rsidP="00CD7F25">
      <w:pPr>
        <w:spacing w:line="240" w:lineRule="auto"/>
        <w:jc w:val="both"/>
        <w:rPr>
          <w:rFonts w:cstheme="minorHAnsi"/>
        </w:rPr>
      </w:pPr>
      <w:r w:rsidRPr="00BE31EB">
        <w:rPr>
          <w:rFonts w:cstheme="minorHAnsi"/>
        </w:rPr>
        <w:br/>
      </w:r>
      <w:proofErr w:type="spellStart"/>
      <w:r w:rsidRPr="00BE31EB">
        <w:rPr>
          <w:rFonts w:cstheme="minorHAnsi"/>
        </w:rPr>
        <w:t>N_model_set</w:t>
      </w:r>
      <w:proofErr w:type="spellEnd"/>
      <w:r w:rsidRPr="00BE31EB">
        <w:rPr>
          <w:rFonts w:cstheme="minorHAnsi"/>
        </w:rPr>
        <w:t xml:space="preserve">-type: Désigne des échantillons sélectionnés pour la calibration (Cal) ou la validation (Val) pour le modèle de prédiction de l'azote. </w:t>
      </w:r>
    </w:p>
    <w:p w14:paraId="7D810C95" w14:textId="77777777" w:rsidR="00BE31EB" w:rsidRPr="00BE31EB" w:rsidRDefault="00BE31EB" w:rsidP="00CD7F25">
      <w:pPr>
        <w:spacing w:line="240" w:lineRule="auto"/>
        <w:jc w:val="both"/>
        <w:rPr>
          <w:rFonts w:cstheme="minorHAnsi"/>
        </w:rPr>
      </w:pPr>
      <w:r w:rsidRPr="00BE31EB">
        <w:rPr>
          <w:rFonts w:cstheme="minorHAnsi"/>
        </w:rPr>
        <w:br/>
        <w:t>C content (%DM): Contenu en carbone dans l'échantillon en pourcentage de matière sèche.</w:t>
      </w:r>
    </w:p>
    <w:p w14:paraId="5ACCB8A6" w14:textId="77777777" w:rsidR="00BE31EB" w:rsidRPr="00BE31EB" w:rsidRDefault="00BE31EB" w:rsidP="00CD7F25">
      <w:pPr>
        <w:spacing w:line="240" w:lineRule="auto"/>
        <w:jc w:val="both"/>
        <w:rPr>
          <w:rFonts w:cstheme="minorHAnsi"/>
        </w:rPr>
      </w:pPr>
      <w:r w:rsidRPr="00BE31EB">
        <w:rPr>
          <w:rFonts w:cstheme="minorHAnsi"/>
        </w:rPr>
        <w:br/>
      </w:r>
      <w:proofErr w:type="spellStart"/>
      <w:r w:rsidRPr="00BE31EB">
        <w:rPr>
          <w:rFonts w:cstheme="minorHAnsi"/>
        </w:rPr>
        <w:t>C_model_set</w:t>
      </w:r>
      <w:proofErr w:type="spellEnd"/>
      <w:r w:rsidRPr="00BE31EB">
        <w:rPr>
          <w:rFonts w:cstheme="minorHAnsi"/>
        </w:rPr>
        <w:t xml:space="preserve">-type: Désigne des échantillons sélectionnés pour la calibration (Cal) ou la validation (Val) pour le modèle de prédiction du carbone. </w:t>
      </w:r>
    </w:p>
    <w:p w14:paraId="7AD49058" w14:textId="77777777" w:rsidR="00BE31EB" w:rsidRPr="00BE31EB" w:rsidRDefault="00BE31EB" w:rsidP="00CD7F25">
      <w:pPr>
        <w:spacing w:line="240" w:lineRule="auto"/>
        <w:jc w:val="both"/>
        <w:rPr>
          <w:rFonts w:cstheme="minorHAnsi"/>
        </w:rPr>
      </w:pPr>
      <w:r w:rsidRPr="00BE31EB">
        <w:rPr>
          <w:rFonts w:cstheme="minorHAnsi"/>
        </w:rPr>
        <w:br/>
      </w:r>
      <w:proofErr w:type="spellStart"/>
      <w:r w:rsidRPr="00BE31EB">
        <w:rPr>
          <w:rFonts w:cstheme="minorHAnsi"/>
        </w:rPr>
        <w:t>Spectra_acquisition_year</w:t>
      </w:r>
      <w:proofErr w:type="spellEnd"/>
      <w:r w:rsidRPr="00BE31EB">
        <w:rPr>
          <w:rFonts w:cstheme="minorHAnsi"/>
        </w:rPr>
        <w:t>: Années d'acquisition des spectres, ici 2027</w:t>
      </w:r>
    </w:p>
    <w:p w14:paraId="47B26A38" w14:textId="77777777" w:rsidR="00BE31EB" w:rsidRPr="00BE31EB" w:rsidRDefault="00BE31EB" w:rsidP="00CD7F25">
      <w:pPr>
        <w:spacing w:line="240" w:lineRule="auto"/>
        <w:jc w:val="both"/>
        <w:rPr>
          <w:rFonts w:cstheme="minorHAnsi"/>
        </w:rPr>
      </w:pPr>
      <w:r w:rsidRPr="00BE31EB">
        <w:rPr>
          <w:rFonts w:cstheme="minorHAnsi"/>
        </w:rPr>
        <w:lastRenderedPageBreak/>
        <w:br/>
      </w:r>
      <w:proofErr w:type="spellStart"/>
      <w:r w:rsidRPr="00BE31EB">
        <w:rPr>
          <w:rFonts w:cstheme="minorHAnsi"/>
        </w:rPr>
        <w:t>Cup_type</w:t>
      </w:r>
      <w:proofErr w:type="spellEnd"/>
      <w:r w:rsidRPr="00BE31EB">
        <w:rPr>
          <w:rFonts w:cstheme="minorHAnsi"/>
        </w:rPr>
        <w:t xml:space="preserve">: Indique le type de </w:t>
      </w:r>
      <w:proofErr w:type="spellStart"/>
      <w:r w:rsidRPr="00BE31EB">
        <w:rPr>
          <w:rFonts w:cstheme="minorHAnsi"/>
        </w:rPr>
        <w:t>vial</w:t>
      </w:r>
      <w:proofErr w:type="spellEnd"/>
      <w:r w:rsidRPr="00BE31EB">
        <w:rPr>
          <w:rFonts w:cstheme="minorHAnsi"/>
        </w:rPr>
        <w:t xml:space="preserve"> en verre utilisés pour l'acquisition du spectre NIRS. “fix” désigne des </w:t>
      </w:r>
      <w:proofErr w:type="spellStart"/>
      <w:r w:rsidRPr="00BE31EB">
        <w:rPr>
          <w:rFonts w:cstheme="minorHAnsi"/>
        </w:rPr>
        <w:t>vials</w:t>
      </w:r>
      <w:proofErr w:type="spellEnd"/>
      <w:r w:rsidRPr="00BE31EB">
        <w:rPr>
          <w:rFonts w:cstheme="minorHAnsi"/>
        </w:rPr>
        <w:t xml:space="preserve"> de 22 mm de diamètre sur un support fixé. “</w:t>
      </w:r>
      <w:proofErr w:type="spellStart"/>
      <w:r w:rsidRPr="00BE31EB">
        <w:rPr>
          <w:rFonts w:cstheme="minorHAnsi"/>
        </w:rPr>
        <w:t>rotating</w:t>
      </w:r>
      <w:proofErr w:type="spellEnd"/>
      <w:r w:rsidRPr="00BE31EB">
        <w:rPr>
          <w:rFonts w:cstheme="minorHAnsi"/>
        </w:rPr>
        <w:t xml:space="preserve">” sont des </w:t>
      </w:r>
      <w:proofErr w:type="spellStart"/>
      <w:r w:rsidRPr="00BE31EB">
        <w:rPr>
          <w:rFonts w:cstheme="minorHAnsi"/>
        </w:rPr>
        <w:t>vials</w:t>
      </w:r>
      <w:proofErr w:type="spellEnd"/>
      <w:r w:rsidRPr="00BE31EB">
        <w:rPr>
          <w:rFonts w:cstheme="minorHAnsi"/>
        </w:rPr>
        <w:t xml:space="preserve"> de 51 mm de diamètre placé sur un support rotatif. </w:t>
      </w:r>
    </w:p>
    <w:p w14:paraId="22A1AFB3" w14:textId="77777777" w:rsidR="00BE31EB" w:rsidRPr="00BE31EB" w:rsidRDefault="00BE31EB" w:rsidP="00CD7F25">
      <w:pPr>
        <w:spacing w:line="240" w:lineRule="auto"/>
        <w:jc w:val="both"/>
        <w:rPr>
          <w:rFonts w:cstheme="minorHAnsi"/>
        </w:rPr>
      </w:pPr>
    </w:p>
    <w:p w14:paraId="2FDE3933" w14:textId="2D4EA6FB" w:rsidR="00BE31EB" w:rsidRPr="00BE31EB" w:rsidRDefault="00BE31EB" w:rsidP="00CD7F25">
      <w:pPr>
        <w:spacing w:line="240" w:lineRule="auto"/>
        <w:jc w:val="both"/>
        <w:rPr>
          <w:rFonts w:cstheme="minorHAnsi"/>
        </w:rPr>
      </w:pPr>
      <w:r w:rsidRPr="00BE31EB">
        <w:rPr>
          <w:rFonts w:cstheme="minorHAnsi"/>
        </w:rPr>
        <w:t>12489,6 to 3594,9</w:t>
      </w:r>
      <w:r w:rsidR="006C7A99" w:rsidRPr="0078502D">
        <w:rPr>
          <w:rFonts w:cstheme="minorHAnsi"/>
        </w:rPr>
        <w:t xml:space="preserve"> </w:t>
      </w:r>
      <w:r w:rsidRPr="00BE31EB">
        <w:rPr>
          <w:rFonts w:cstheme="minorHAnsi"/>
        </w:rPr>
        <w:t xml:space="preserve">: Valeurs d'absorbances mesurés pour chaque entre 12489,6 et 3594,9 cm-1. </w:t>
      </w:r>
    </w:p>
    <w:p w14:paraId="44F8FC65" w14:textId="631AF083" w:rsidR="00BE31EB" w:rsidRDefault="00BE31EB" w:rsidP="00CD7F25">
      <w:pPr>
        <w:spacing w:line="240" w:lineRule="auto"/>
        <w:jc w:val="both"/>
        <w:rPr>
          <w:rFonts w:cstheme="minorHAnsi"/>
        </w:rPr>
      </w:pPr>
    </w:p>
    <w:p w14:paraId="36C6049E" w14:textId="00C9304B" w:rsidR="00454017" w:rsidRDefault="00454017" w:rsidP="00CD7F25">
      <w:pPr>
        <w:spacing w:line="240" w:lineRule="auto"/>
        <w:jc w:val="both"/>
        <w:rPr>
          <w:rFonts w:cstheme="minorHAnsi"/>
        </w:rPr>
      </w:pPr>
      <w:r>
        <w:rPr>
          <w:rFonts w:cstheme="minorHAnsi"/>
        </w:rPr>
        <w:t xml:space="preserve">Démarche </w:t>
      </w:r>
      <w:proofErr w:type="spellStart"/>
      <w:r>
        <w:rPr>
          <w:rFonts w:cstheme="minorHAnsi"/>
        </w:rPr>
        <w:t>spline</w:t>
      </w:r>
      <w:proofErr w:type="spellEnd"/>
      <w:r>
        <w:rPr>
          <w:rFonts w:cstheme="minorHAnsi"/>
        </w:rPr>
        <w:t> :</w:t>
      </w:r>
    </w:p>
    <w:sectPr w:rsidR="00454017" w:rsidSect="0008738E">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0D22"/>
    <w:multiLevelType w:val="hybridMultilevel"/>
    <w:tmpl w:val="88AA69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547E0A"/>
    <w:multiLevelType w:val="hybridMultilevel"/>
    <w:tmpl w:val="03DC6A4C"/>
    <w:lvl w:ilvl="0" w:tplc="369C4C5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AF4F90"/>
    <w:multiLevelType w:val="hybridMultilevel"/>
    <w:tmpl w:val="19703F04"/>
    <w:lvl w:ilvl="0" w:tplc="770467C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1A49F2"/>
    <w:multiLevelType w:val="hybridMultilevel"/>
    <w:tmpl w:val="FEC46624"/>
    <w:lvl w:ilvl="0" w:tplc="78B2AC50">
      <w:numFmt w:val="bullet"/>
      <w:lvlText w:val="-"/>
      <w:lvlJc w:val="left"/>
      <w:pPr>
        <w:ind w:left="1776" w:hanging="360"/>
      </w:pPr>
      <w:rPr>
        <w:rFonts w:ascii="Calibri" w:eastAsiaTheme="minorHAnsi" w:hAnsi="Calibri" w:cs="Calibr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73363AE9"/>
    <w:multiLevelType w:val="hybridMultilevel"/>
    <w:tmpl w:val="658AFA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8866E53"/>
    <w:multiLevelType w:val="hybridMultilevel"/>
    <w:tmpl w:val="D376EF92"/>
    <w:lvl w:ilvl="0" w:tplc="835E56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42846978">
    <w:abstractNumId w:val="5"/>
  </w:num>
  <w:num w:numId="2" w16cid:durableId="1562013530">
    <w:abstractNumId w:val="1"/>
  </w:num>
  <w:num w:numId="3" w16cid:durableId="1155562814">
    <w:abstractNumId w:val="0"/>
  </w:num>
  <w:num w:numId="4" w16cid:durableId="588125985">
    <w:abstractNumId w:val="4"/>
  </w:num>
  <w:num w:numId="5" w16cid:durableId="216859866">
    <w:abstractNumId w:val="3"/>
  </w:num>
  <w:num w:numId="6" w16cid:durableId="205724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EB"/>
    <w:rsid w:val="00005F3B"/>
    <w:rsid w:val="00013350"/>
    <w:rsid w:val="00026846"/>
    <w:rsid w:val="000401AA"/>
    <w:rsid w:val="00046F34"/>
    <w:rsid w:val="0005775B"/>
    <w:rsid w:val="00072C8D"/>
    <w:rsid w:val="0008738E"/>
    <w:rsid w:val="000B2FB1"/>
    <w:rsid w:val="000D095A"/>
    <w:rsid w:val="000E6056"/>
    <w:rsid w:val="00127B77"/>
    <w:rsid w:val="00163212"/>
    <w:rsid w:val="0016582A"/>
    <w:rsid w:val="00191C23"/>
    <w:rsid w:val="001B679E"/>
    <w:rsid w:val="001C206C"/>
    <w:rsid w:val="001D46D0"/>
    <w:rsid w:val="001E0CBE"/>
    <w:rsid w:val="00224100"/>
    <w:rsid w:val="0023115F"/>
    <w:rsid w:val="00232F8E"/>
    <w:rsid w:val="00273E62"/>
    <w:rsid w:val="002D3AD4"/>
    <w:rsid w:val="002F4FD1"/>
    <w:rsid w:val="0030515B"/>
    <w:rsid w:val="003279EC"/>
    <w:rsid w:val="00342320"/>
    <w:rsid w:val="003824C6"/>
    <w:rsid w:val="00393E6B"/>
    <w:rsid w:val="003B23E8"/>
    <w:rsid w:val="003B57DA"/>
    <w:rsid w:val="004248E6"/>
    <w:rsid w:val="00437E00"/>
    <w:rsid w:val="00454017"/>
    <w:rsid w:val="00467AFA"/>
    <w:rsid w:val="004F70F3"/>
    <w:rsid w:val="005D262B"/>
    <w:rsid w:val="00606681"/>
    <w:rsid w:val="00614CF7"/>
    <w:rsid w:val="00660CBA"/>
    <w:rsid w:val="006C7A99"/>
    <w:rsid w:val="006F33D0"/>
    <w:rsid w:val="00703B99"/>
    <w:rsid w:val="0073724E"/>
    <w:rsid w:val="00775C44"/>
    <w:rsid w:val="0078502D"/>
    <w:rsid w:val="007C6ADF"/>
    <w:rsid w:val="008134AC"/>
    <w:rsid w:val="0083013B"/>
    <w:rsid w:val="00830E20"/>
    <w:rsid w:val="0085137E"/>
    <w:rsid w:val="008C6FED"/>
    <w:rsid w:val="0092646F"/>
    <w:rsid w:val="00934D87"/>
    <w:rsid w:val="0094774A"/>
    <w:rsid w:val="009763D7"/>
    <w:rsid w:val="00981D73"/>
    <w:rsid w:val="009A68C9"/>
    <w:rsid w:val="009A6A8A"/>
    <w:rsid w:val="009D5EAD"/>
    <w:rsid w:val="00A471D2"/>
    <w:rsid w:val="00A732FA"/>
    <w:rsid w:val="00A73622"/>
    <w:rsid w:val="00AD2B10"/>
    <w:rsid w:val="00B31F00"/>
    <w:rsid w:val="00B3569F"/>
    <w:rsid w:val="00B37A3E"/>
    <w:rsid w:val="00B43ABD"/>
    <w:rsid w:val="00BB197E"/>
    <w:rsid w:val="00BD11C3"/>
    <w:rsid w:val="00BD639F"/>
    <w:rsid w:val="00BE31EB"/>
    <w:rsid w:val="00C7294D"/>
    <w:rsid w:val="00C927A5"/>
    <w:rsid w:val="00CB18DD"/>
    <w:rsid w:val="00CB2948"/>
    <w:rsid w:val="00CD7F25"/>
    <w:rsid w:val="00CF3BCB"/>
    <w:rsid w:val="00D2786E"/>
    <w:rsid w:val="00D37A62"/>
    <w:rsid w:val="00D53191"/>
    <w:rsid w:val="00D55E19"/>
    <w:rsid w:val="00D919BE"/>
    <w:rsid w:val="00DA3757"/>
    <w:rsid w:val="00DD3478"/>
    <w:rsid w:val="00E21C18"/>
    <w:rsid w:val="00E22949"/>
    <w:rsid w:val="00E52675"/>
    <w:rsid w:val="00E57AB5"/>
    <w:rsid w:val="00E754E4"/>
    <w:rsid w:val="00E75840"/>
    <w:rsid w:val="00EC7B76"/>
    <w:rsid w:val="00F26227"/>
    <w:rsid w:val="00F32AE9"/>
    <w:rsid w:val="00F43FAA"/>
    <w:rsid w:val="00F620A9"/>
    <w:rsid w:val="00FD6405"/>
    <w:rsid w:val="00FD7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513A0"/>
  <w15:chartTrackingRefBased/>
  <w15:docId w15:val="{AE3B0C02-5601-4CF7-960B-70208B0A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3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E3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E31E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BE31E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31E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31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31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31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31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31E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E31E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E31E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BE31E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31E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31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31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31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31EB"/>
    <w:rPr>
      <w:rFonts w:eastAsiaTheme="majorEastAsia" w:cstheme="majorBidi"/>
      <w:color w:val="272727" w:themeColor="text1" w:themeTint="D8"/>
    </w:rPr>
  </w:style>
  <w:style w:type="paragraph" w:styleId="Titre">
    <w:name w:val="Title"/>
    <w:basedOn w:val="Normal"/>
    <w:next w:val="Normal"/>
    <w:link w:val="TitreCar"/>
    <w:uiPriority w:val="10"/>
    <w:qFormat/>
    <w:rsid w:val="00BE3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31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31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31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31EB"/>
    <w:pPr>
      <w:spacing w:before="160"/>
      <w:jc w:val="center"/>
    </w:pPr>
    <w:rPr>
      <w:i/>
      <w:iCs/>
      <w:color w:val="404040" w:themeColor="text1" w:themeTint="BF"/>
    </w:rPr>
  </w:style>
  <w:style w:type="character" w:customStyle="1" w:styleId="CitationCar">
    <w:name w:val="Citation Car"/>
    <w:basedOn w:val="Policepardfaut"/>
    <w:link w:val="Citation"/>
    <w:uiPriority w:val="29"/>
    <w:rsid w:val="00BE31EB"/>
    <w:rPr>
      <w:i/>
      <w:iCs/>
      <w:color w:val="404040" w:themeColor="text1" w:themeTint="BF"/>
    </w:rPr>
  </w:style>
  <w:style w:type="paragraph" w:styleId="Paragraphedeliste">
    <w:name w:val="List Paragraph"/>
    <w:basedOn w:val="Normal"/>
    <w:uiPriority w:val="34"/>
    <w:qFormat/>
    <w:rsid w:val="00BE31EB"/>
    <w:pPr>
      <w:ind w:left="720"/>
      <w:contextualSpacing/>
    </w:pPr>
  </w:style>
  <w:style w:type="character" w:styleId="Accentuationintense">
    <w:name w:val="Intense Emphasis"/>
    <w:basedOn w:val="Policepardfaut"/>
    <w:uiPriority w:val="21"/>
    <w:qFormat/>
    <w:rsid w:val="00BE31EB"/>
    <w:rPr>
      <w:i/>
      <w:iCs/>
      <w:color w:val="2F5496" w:themeColor="accent1" w:themeShade="BF"/>
    </w:rPr>
  </w:style>
  <w:style w:type="paragraph" w:styleId="Citationintense">
    <w:name w:val="Intense Quote"/>
    <w:basedOn w:val="Normal"/>
    <w:next w:val="Normal"/>
    <w:link w:val="CitationintenseCar"/>
    <w:uiPriority w:val="30"/>
    <w:qFormat/>
    <w:rsid w:val="00BE3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31EB"/>
    <w:rPr>
      <w:i/>
      <w:iCs/>
      <w:color w:val="2F5496" w:themeColor="accent1" w:themeShade="BF"/>
    </w:rPr>
  </w:style>
  <w:style w:type="character" w:styleId="Rfrenceintense">
    <w:name w:val="Intense Reference"/>
    <w:basedOn w:val="Policepardfaut"/>
    <w:uiPriority w:val="32"/>
    <w:qFormat/>
    <w:rsid w:val="00BE31EB"/>
    <w:rPr>
      <w:b/>
      <w:bCs/>
      <w:smallCaps/>
      <w:color w:val="2F5496" w:themeColor="accent1" w:themeShade="BF"/>
      <w:spacing w:val="5"/>
    </w:rPr>
  </w:style>
  <w:style w:type="paragraph" w:styleId="Sansinterligne">
    <w:name w:val="No Spacing"/>
    <w:uiPriority w:val="1"/>
    <w:qFormat/>
    <w:rsid w:val="000401AA"/>
    <w:pPr>
      <w:spacing w:after="0" w:line="240" w:lineRule="auto"/>
    </w:pPr>
  </w:style>
  <w:style w:type="character" w:styleId="Textedelespacerserv">
    <w:name w:val="Placeholder Text"/>
    <w:basedOn w:val="Policepardfaut"/>
    <w:uiPriority w:val="99"/>
    <w:semiHidden/>
    <w:rsid w:val="00660C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9047</TotalTime>
  <Pages>11</Pages>
  <Words>2646</Words>
  <Characters>14554</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Thibault Roattino</dc:creator>
  <cp:keywords/>
  <dc:description/>
  <cp:lastModifiedBy>Thibault Roattino</cp:lastModifiedBy>
  <cp:revision>27</cp:revision>
  <dcterms:created xsi:type="dcterms:W3CDTF">2025-11-26T09:30:00Z</dcterms:created>
  <dcterms:modified xsi:type="dcterms:W3CDTF">2025-12-15T10:05:00Z</dcterms:modified>
</cp:coreProperties>
</file>