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5E1433" w14:textId="77777777" w:rsidR="0008738E" w:rsidRDefault="0008738E" w:rsidP="0008738E">
      <w:pPr>
        <w:pStyle w:val="Titre1"/>
      </w:pPr>
      <w:r w:rsidRPr="0008738E">
        <w:t>Utilisation de données spectrale pour la prédiction de traits d’intérêt du colz</w:t>
      </w:r>
      <w:r>
        <w:t>a</w:t>
      </w:r>
    </w:p>
    <w:p w14:paraId="41807AB5" w14:textId="77777777" w:rsidR="0008738E" w:rsidRDefault="0008738E" w:rsidP="0008738E"/>
    <w:p w14:paraId="7B5EF261" w14:textId="7FAF9449" w:rsidR="0008738E" w:rsidRPr="0008738E" w:rsidRDefault="0008738E" w:rsidP="0008738E">
      <w:pPr>
        <w:sectPr w:rsidR="0008738E" w:rsidRPr="0008738E">
          <w:pgSz w:w="11906" w:h="16838"/>
          <w:pgMar w:top="1417" w:right="1417" w:bottom="1417" w:left="1417" w:header="708" w:footer="708" w:gutter="0"/>
          <w:cols w:space="708"/>
          <w:docGrid w:linePitch="360"/>
        </w:sectPr>
      </w:pPr>
    </w:p>
    <w:p w14:paraId="3FDD3F71" w14:textId="41090B96" w:rsidR="0008738E" w:rsidRDefault="0008738E" w:rsidP="0008738E">
      <w:pPr>
        <w:pStyle w:val="Titre2"/>
      </w:pPr>
      <w:r>
        <w:t>Contexte</w:t>
      </w:r>
    </w:p>
    <w:p w14:paraId="50DF4DC7" w14:textId="1DF3987B" w:rsidR="00E21C18" w:rsidRDefault="0008738E" w:rsidP="006C7A99">
      <w:pPr>
        <w:spacing w:line="240" w:lineRule="auto"/>
        <w:jc w:val="both"/>
        <w:rPr>
          <w:rFonts w:cstheme="minorHAnsi"/>
        </w:rPr>
      </w:pPr>
      <w:r>
        <w:rPr>
          <w:rFonts w:cstheme="minorHAnsi"/>
        </w:rPr>
        <w:t>En science du végétale, le travail de sélection variétale occupe une place très importante.</w:t>
      </w:r>
      <w:r w:rsidR="00D2786E">
        <w:rPr>
          <w:rFonts w:cstheme="minorHAnsi"/>
        </w:rPr>
        <w:t xml:space="preserve"> La sélection variétale consiste en une sélection phénotypique de différentes variétés de plantes pour répondre à des enjeux agronomique (résistance à certains pathogène, meilleur développement de la plante, augmentation de la taille des grains, etc…). Une véritable problématique dans ce domaine est de pouvoir prédire les caractéristiques phénotypiques de certaines variétés, pour une sélection plus efficace.</w:t>
      </w:r>
      <w:r>
        <w:rPr>
          <w:rFonts w:cstheme="minorHAnsi"/>
        </w:rPr>
        <w:t xml:space="preserve"> </w:t>
      </w:r>
      <w:r w:rsidR="00D2786E">
        <w:rPr>
          <w:rFonts w:cstheme="minorHAnsi"/>
        </w:rPr>
        <w:t>Usuellement, l</w:t>
      </w:r>
      <w:r w:rsidR="00E21C18">
        <w:rPr>
          <w:rFonts w:cstheme="minorHAnsi"/>
        </w:rPr>
        <w:t xml:space="preserve">es données génomiques sont utilisées pour prédire </w:t>
      </w:r>
      <w:r w:rsidR="00D2786E">
        <w:rPr>
          <w:rFonts w:cstheme="minorHAnsi"/>
        </w:rPr>
        <w:t>le</w:t>
      </w:r>
      <w:r w:rsidR="00E21C18">
        <w:rPr>
          <w:rFonts w:cstheme="minorHAnsi"/>
        </w:rPr>
        <w:t xml:space="preserve"> phénotype </w:t>
      </w:r>
      <w:r w:rsidR="00D2786E">
        <w:rPr>
          <w:rFonts w:cstheme="minorHAnsi"/>
        </w:rPr>
        <w:t>des variétés étudiées</w:t>
      </w:r>
      <w:r w:rsidR="00E21C18">
        <w:rPr>
          <w:rFonts w:cstheme="minorHAnsi"/>
        </w:rPr>
        <w:t>. Or</w:t>
      </w:r>
      <w:r>
        <w:rPr>
          <w:rFonts w:cstheme="minorHAnsi"/>
        </w:rPr>
        <w:t xml:space="preserve">, </w:t>
      </w:r>
      <w:r w:rsidR="00E21C18">
        <w:rPr>
          <w:rFonts w:cstheme="minorHAnsi"/>
        </w:rPr>
        <w:t>l’acquisition de telles données génomiques sont cher</w:t>
      </w:r>
      <w:r w:rsidR="00D2786E">
        <w:rPr>
          <w:rFonts w:cstheme="minorHAnsi"/>
        </w:rPr>
        <w:t>, et longue</w:t>
      </w:r>
      <w:r w:rsidR="00E21C18">
        <w:rPr>
          <w:rFonts w:cstheme="minorHAnsi"/>
        </w:rPr>
        <w:t xml:space="preserve">. Une alternative moins couteuse </w:t>
      </w:r>
      <w:r w:rsidR="00BD639F">
        <w:rPr>
          <w:rFonts w:cstheme="minorHAnsi"/>
        </w:rPr>
        <w:t xml:space="preserve">et plus rapide </w:t>
      </w:r>
      <w:r w:rsidR="00E21C18">
        <w:rPr>
          <w:rFonts w:cstheme="minorHAnsi"/>
        </w:rPr>
        <w:t xml:space="preserve">est d’utiliser des données issues de spectres proches infrarouges (NIRS pour Near </w:t>
      </w:r>
      <w:proofErr w:type="spellStart"/>
      <w:r w:rsidR="00E21C18">
        <w:rPr>
          <w:rFonts w:cstheme="minorHAnsi"/>
        </w:rPr>
        <w:t>InfraRed</w:t>
      </w:r>
      <w:proofErr w:type="spellEnd"/>
      <w:r w:rsidR="00E21C18">
        <w:rPr>
          <w:rFonts w:cstheme="minorHAnsi"/>
        </w:rPr>
        <w:t xml:space="preserve">  </w:t>
      </w:r>
      <w:proofErr w:type="spellStart"/>
      <w:r w:rsidR="00E21C18">
        <w:rPr>
          <w:rFonts w:cstheme="minorHAnsi"/>
        </w:rPr>
        <w:t>Spectrocsop</w:t>
      </w:r>
      <w:r w:rsidR="00393E6B">
        <w:rPr>
          <w:rFonts w:cstheme="minorHAnsi"/>
        </w:rPr>
        <w:t>y</w:t>
      </w:r>
      <w:proofErr w:type="spellEnd"/>
      <w:r w:rsidR="00E21C18">
        <w:rPr>
          <w:rFonts w:cstheme="minorHAnsi"/>
        </w:rPr>
        <w:t xml:space="preserve">). </w:t>
      </w:r>
      <w:r w:rsidR="00D2786E">
        <w:rPr>
          <w:rFonts w:cstheme="minorHAnsi"/>
        </w:rPr>
        <w:t xml:space="preserve">L’hypothèse est </w:t>
      </w:r>
      <w:r w:rsidR="00E21C18">
        <w:rPr>
          <w:rFonts w:cstheme="minorHAnsi"/>
        </w:rPr>
        <w:t xml:space="preserve">que les données NIRS sont un bon </w:t>
      </w:r>
      <w:r w:rsidR="00D2786E">
        <w:rPr>
          <w:rFonts w:cstheme="minorHAnsi"/>
        </w:rPr>
        <w:t>estimateur</w:t>
      </w:r>
      <w:r w:rsidR="00E21C18">
        <w:rPr>
          <w:rFonts w:cstheme="minorHAnsi"/>
        </w:rPr>
        <w:t xml:space="preserve"> du phénotype</w:t>
      </w:r>
      <w:r w:rsidR="00D2786E">
        <w:rPr>
          <w:rFonts w:cstheme="minorHAnsi"/>
        </w:rPr>
        <w:t xml:space="preserve"> des plantes</w:t>
      </w:r>
      <w:r w:rsidR="00E21C18">
        <w:rPr>
          <w:rFonts w:cstheme="minorHAnsi"/>
        </w:rPr>
        <w:t xml:space="preserve">. </w:t>
      </w:r>
    </w:p>
    <w:p w14:paraId="10814010" w14:textId="3A554993" w:rsidR="00F26227" w:rsidRDefault="00E21C18" w:rsidP="001C206C">
      <w:pPr>
        <w:spacing w:line="240" w:lineRule="auto"/>
        <w:jc w:val="both"/>
        <w:rPr>
          <w:rFonts w:cstheme="minorHAnsi"/>
        </w:rPr>
      </w:pPr>
      <w:r>
        <w:rPr>
          <w:rFonts w:cstheme="minorHAnsi"/>
        </w:rPr>
        <w:t>Dans c</w:t>
      </w:r>
      <w:r w:rsidR="00D2786E">
        <w:rPr>
          <w:rFonts w:cstheme="minorHAnsi"/>
        </w:rPr>
        <w:t>ette problématique</w:t>
      </w:r>
      <w:r>
        <w:rPr>
          <w:rFonts w:cstheme="minorHAnsi"/>
        </w:rPr>
        <w:t>, l</w:t>
      </w:r>
      <w:r w:rsidR="003279EC">
        <w:rPr>
          <w:rFonts w:cstheme="minorHAnsi"/>
        </w:rPr>
        <w:t xml:space="preserve">a thèse M. </w:t>
      </w:r>
      <w:proofErr w:type="spellStart"/>
      <w:r w:rsidR="003279EC">
        <w:rPr>
          <w:rFonts w:cstheme="minorHAnsi"/>
        </w:rPr>
        <w:t>Laurençon</w:t>
      </w:r>
      <w:proofErr w:type="spellEnd"/>
      <w:r w:rsidR="003279EC">
        <w:rPr>
          <w:rFonts w:cstheme="minorHAnsi"/>
        </w:rPr>
        <w:t xml:space="preserve"> se focalise sur la prédiction </w:t>
      </w:r>
      <w:r>
        <w:rPr>
          <w:rFonts w:cstheme="minorHAnsi"/>
        </w:rPr>
        <w:t>d</w:t>
      </w:r>
      <w:r w:rsidR="00703B99">
        <w:rPr>
          <w:rFonts w:cstheme="minorHAnsi"/>
        </w:rPr>
        <w:t>e phénotypes</w:t>
      </w:r>
      <w:r>
        <w:rPr>
          <w:rFonts w:cstheme="minorHAnsi"/>
        </w:rPr>
        <w:t xml:space="preserve"> </w:t>
      </w:r>
      <w:r w:rsidR="00D2786E">
        <w:rPr>
          <w:rFonts w:cstheme="minorHAnsi"/>
        </w:rPr>
        <w:t xml:space="preserve">de différentes variétés de Colza, </w:t>
      </w:r>
      <w:r w:rsidR="00703B99">
        <w:rPr>
          <w:rFonts w:cstheme="minorHAnsi"/>
        </w:rPr>
        <w:t>pendant la</w:t>
      </w:r>
      <w:r>
        <w:rPr>
          <w:rFonts w:cstheme="minorHAnsi"/>
        </w:rPr>
        <w:t xml:space="preserve"> germination </w:t>
      </w:r>
      <w:r w:rsidR="006F33D0">
        <w:rPr>
          <w:rFonts w:cstheme="minorHAnsi"/>
        </w:rPr>
        <w:t>et l</w:t>
      </w:r>
      <w:r w:rsidR="001C206C">
        <w:rPr>
          <w:rFonts w:cstheme="minorHAnsi"/>
        </w:rPr>
        <w:t xml:space="preserve">e développement </w:t>
      </w:r>
      <w:r w:rsidR="00703B99">
        <w:rPr>
          <w:rFonts w:cstheme="minorHAnsi"/>
        </w:rPr>
        <w:t>précoce</w:t>
      </w:r>
      <w:r w:rsidR="00D2786E">
        <w:rPr>
          <w:rFonts w:cstheme="minorHAnsi"/>
        </w:rPr>
        <w:t>,</w:t>
      </w:r>
      <w:r w:rsidR="006F33D0">
        <w:rPr>
          <w:rFonts w:cstheme="minorHAnsi"/>
        </w:rPr>
        <w:t xml:space="preserve"> </w:t>
      </w:r>
      <w:r w:rsidR="00703B99">
        <w:rPr>
          <w:rFonts w:cstheme="minorHAnsi"/>
        </w:rPr>
        <w:t>à</w:t>
      </w:r>
      <w:r>
        <w:rPr>
          <w:rFonts w:cstheme="minorHAnsi"/>
        </w:rPr>
        <w:t xml:space="preserve"> partir de données NIRS.</w:t>
      </w:r>
      <w:r w:rsidR="001C206C">
        <w:rPr>
          <w:rFonts w:cstheme="minorHAnsi"/>
        </w:rPr>
        <w:t xml:space="preserve"> Elle cherche notamment à trouver des traits d’intérêts décrivant la vigueur précoce.</w:t>
      </w:r>
      <w:r>
        <w:rPr>
          <w:rFonts w:cstheme="minorHAnsi"/>
        </w:rPr>
        <w:t xml:space="preserve"> </w:t>
      </w:r>
      <w:r w:rsidR="00D2786E">
        <w:rPr>
          <w:rFonts w:cstheme="minorHAnsi"/>
        </w:rPr>
        <w:t>Si elle parvient à prédire assez efficacement les phénotype</w:t>
      </w:r>
      <w:r w:rsidR="001C206C">
        <w:rPr>
          <w:rFonts w:cstheme="minorHAnsi"/>
        </w:rPr>
        <w:t>s</w:t>
      </w:r>
      <w:r w:rsidR="00D2786E">
        <w:rPr>
          <w:rFonts w:cstheme="minorHAnsi"/>
        </w:rPr>
        <w:t xml:space="preserve"> de la plante au stade de la germination (à partir de spectre</w:t>
      </w:r>
      <w:r w:rsidR="001C206C">
        <w:rPr>
          <w:rFonts w:cstheme="minorHAnsi"/>
        </w:rPr>
        <w:t>s</w:t>
      </w:r>
      <w:r w:rsidR="00D2786E">
        <w:rPr>
          <w:rFonts w:cstheme="minorHAnsi"/>
        </w:rPr>
        <w:t xml:space="preserve"> observé</w:t>
      </w:r>
      <w:r w:rsidR="001C206C">
        <w:rPr>
          <w:rFonts w:cstheme="minorHAnsi"/>
        </w:rPr>
        <w:t>s</w:t>
      </w:r>
      <w:r w:rsidR="00D2786E">
        <w:rPr>
          <w:rFonts w:cstheme="minorHAnsi"/>
        </w:rPr>
        <w:t xml:space="preserve"> sur des graines séchées et réduites en poudre), </w:t>
      </w:r>
      <w:r w:rsidR="00703B99">
        <w:rPr>
          <w:rFonts w:cstheme="minorHAnsi"/>
        </w:rPr>
        <w:t xml:space="preserve">les résultats sur la </w:t>
      </w:r>
      <w:r w:rsidR="001C206C">
        <w:rPr>
          <w:rFonts w:cstheme="minorHAnsi"/>
        </w:rPr>
        <w:t>phase</w:t>
      </w:r>
      <w:r w:rsidR="00703B99">
        <w:rPr>
          <w:rFonts w:cstheme="minorHAnsi"/>
        </w:rPr>
        <w:t xml:space="preserve"> précoce ne sont pas satisfaisants. </w:t>
      </w:r>
      <w:r w:rsidR="001C206C" w:rsidRPr="00BE31EB">
        <w:rPr>
          <w:rFonts w:cstheme="minorHAnsi"/>
        </w:rPr>
        <w:t xml:space="preserve">La phase </w:t>
      </w:r>
      <w:r w:rsidR="001C206C" w:rsidRPr="0078502D">
        <w:rPr>
          <w:rFonts w:cstheme="minorHAnsi"/>
        </w:rPr>
        <w:t>précoce</w:t>
      </w:r>
      <w:r w:rsidR="001C206C" w:rsidRPr="00BE31EB">
        <w:rPr>
          <w:rFonts w:cstheme="minorHAnsi"/>
        </w:rPr>
        <w:t xml:space="preserve"> est la phase de croissance du colza entre la germination et l'étape ou la plante </w:t>
      </w:r>
      <w:proofErr w:type="spellStart"/>
      <w:r w:rsidR="00005F3B">
        <w:rPr>
          <w:rFonts w:cstheme="minorHAnsi"/>
        </w:rPr>
        <w:t>a</w:t>
      </w:r>
      <w:proofErr w:type="spellEnd"/>
      <w:r w:rsidR="001C206C" w:rsidRPr="00BE31EB">
        <w:rPr>
          <w:rFonts w:cstheme="minorHAnsi"/>
        </w:rPr>
        <w:t xml:space="preserve"> </w:t>
      </w:r>
      <w:r w:rsidR="00005F3B" w:rsidRPr="0078502D">
        <w:rPr>
          <w:rFonts w:cstheme="minorHAnsi"/>
        </w:rPr>
        <w:t>développ</w:t>
      </w:r>
      <w:r w:rsidR="00005F3B">
        <w:rPr>
          <w:rFonts w:cstheme="minorHAnsi"/>
        </w:rPr>
        <w:t>é</w:t>
      </w:r>
      <w:r w:rsidR="001C206C" w:rsidRPr="00BE31EB">
        <w:rPr>
          <w:rFonts w:cstheme="minorHAnsi"/>
        </w:rPr>
        <w:t xml:space="preserve"> 4 à 5 </w:t>
      </w:r>
      <w:r w:rsidR="001C206C" w:rsidRPr="0078502D">
        <w:rPr>
          <w:rFonts w:cstheme="minorHAnsi"/>
        </w:rPr>
        <w:t>feuilles</w:t>
      </w:r>
      <w:r w:rsidR="00005F3B">
        <w:rPr>
          <w:rFonts w:cstheme="minorHAnsi"/>
        </w:rPr>
        <w:t>. La plante est alors beaucoup plus soumise à des facteurs environnementaux, et le spectre n’expliquerai pas tout le phénotype</w:t>
      </w:r>
      <w:r w:rsidR="00F26227">
        <w:rPr>
          <w:rFonts w:cstheme="minorHAnsi"/>
        </w:rPr>
        <w:t>, ce qui justifierai la mauvaise prédiction de son modèle.</w:t>
      </w:r>
    </w:p>
    <w:p w14:paraId="5BD2CEEC" w14:textId="130E446C" w:rsidR="00F26227" w:rsidRPr="00BE31EB" w:rsidRDefault="00F26227" w:rsidP="001C206C">
      <w:pPr>
        <w:spacing w:line="240" w:lineRule="auto"/>
        <w:jc w:val="both"/>
        <w:rPr>
          <w:rFonts w:cstheme="minorHAnsi"/>
        </w:rPr>
      </w:pPr>
      <w:r>
        <w:rPr>
          <w:rFonts w:cstheme="minorHAnsi"/>
        </w:rPr>
        <w:t xml:space="preserve">Dans son approche statistique, M. </w:t>
      </w:r>
      <w:proofErr w:type="spellStart"/>
      <w:r>
        <w:rPr>
          <w:rFonts w:cstheme="minorHAnsi"/>
        </w:rPr>
        <w:t>Laurençon</w:t>
      </w:r>
      <w:proofErr w:type="spellEnd"/>
      <w:r>
        <w:rPr>
          <w:rFonts w:cstheme="minorHAnsi"/>
        </w:rPr>
        <w:t xml:space="preserve"> n’utilise pas du tout de données fonctionnelles, et nous nous proposons donc de les implémenter sur ces données NIRS et de phénotype de colza. Nous allons explorer plusieurs méthodes d’analyse de données fonctionnelles pour faire le lien entre le phénotype et le génotype via ces spectres NIRS. </w:t>
      </w:r>
    </w:p>
    <w:p w14:paraId="216BB673" w14:textId="6F5124FC" w:rsidR="001C206C" w:rsidRDefault="00F26227" w:rsidP="00F26227">
      <w:pPr>
        <w:pStyle w:val="Titre2"/>
      </w:pPr>
      <w:r>
        <w:t xml:space="preserve">Jeu de donnée </w:t>
      </w:r>
    </w:p>
    <w:p w14:paraId="5C4AA971" w14:textId="52C2445C" w:rsidR="00BD639F" w:rsidRPr="00BD639F" w:rsidRDefault="00BD639F" w:rsidP="00BD639F">
      <w:pPr>
        <w:pStyle w:val="Titre3"/>
      </w:pPr>
      <w:r>
        <w:t>Données NIRS</w:t>
      </w:r>
    </w:p>
    <w:p w14:paraId="2D3AD080" w14:textId="6477B1B4" w:rsidR="00F26227" w:rsidRDefault="00BD639F" w:rsidP="00BD639F">
      <w:pPr>
        <w:pStyle w:val="Titre4"/>
      </w:pPr>
      <w:r>
        <w:t>Création des expérimentations</w:t>
      </w:r>
    </w:p>
    <w:p w14:paraId="33A84506" w14:textId="4268873E" w:rsidR="00BD639F" w:rsidRDefault="00BD639F" w:rsidP="00BD639F">
      <w:pPr>
        <w:pStyle w:val="Titre4"/>
      </w:pPr>
      <w:r>
        <w:t>Méthode de prétraitement utilisés</w:t>
      </w:r>
    </w:p>
    <w:p w14:paraId="5D82187A" w14:textId="5D1F14CD" w:rsidR="00BD639F" w:rsidRDefault="00BD639F" w:rsidP="00BD639F">
      <w:pPr>
        <w:pStyle w:val="Paragraphedeliste"/>
        <w:numPr>
          <w:ilvl w:val="0"/>
          <w:numId w:val="2"/>
        </w:numPr>
      </w:pPr>
      <w:r>
        <w:t>Centrage réduction (</w:t>
      </w:r>
      <w:proofErr w:type="spellStart"/>
      <w:r>
        <w:t>snv</w:t>
      </w:r>
      <w:proofErr w:type="spellEnd"/>
      <w:r>
        <w:t> ?)</w:t>
      </w:r>
    </w:p>
    <w:p w14:paraId="6F13B217" w14:textId="310F2D9F" w:rsidR="00BD639F" w:rsidRPr="00BD639F" w:rsidRDefault="00BD639F" w:rsidP="00BD639F">
      <w:pPr>
        <w:pStyle w:val="Paragraphedeliste"/>
        <w:numPr>
          <w:ilvl w:val="0"/>
          <w:numId w:val="2"/>
        </w:numPr>
      </w:pPr>
      <w:r>
        <w:t xml:space="preserve">Lissage de </w:t>
      </w:r>
      <w:proofErr w:type="spellStart"/>
      <w:r w:rsidRPr="00BD639F">
        <w:t>Savitzky</w:t>
      </w:r>
      <w:proofErr w:type="spellEnd"/>
      <w:r w:rsidRPr="00BD639F">
        <w:t>-Golay</w:t>
      </w:r>
    </w:p>
    <w:p w14:paraId="0A00AEEE" w14:textId="7C405C66" w:rsidR="00BD639F" w:rsidRDefault="00BD639F" w:rsidP="00BD639F">
      <w:pPr>
        <w:pStyle w:val="Titre3"/>
        <w:tabs>
          <w:tab w:val="left" w:pos="1843"/>
        </w:tabs>
      </w:pPr>
      <w:r>
        <w:t>Données de phénotype</w:t>
      </w:r>
    </w:p>
    <w:p w14:paraId="24D5A48F" w14:textId="72350299" w:rsidR="002D3AD4" w:rsidRDefault="002D3AD4" w:rsidP="002D3AD4">
      <w:pPr>
        <w:pStyle w:val="Titre4"/>
      </w:pPr>
      <w:r>
        <w:t>ACP/AFM</w:t>
      </w:r>
    </w:p>
    <w:p w14:paraId="267C3EA6" w14:textId="76B19772" w:rsidR="002D3AD4" w:rsidRPr="002D3AD4" w:rsidRDefault="002D3AD4" w:rsidP="002D3AD4">
      <w:pPr>
        <w:pStyle w:val="Paragraphedeliste"/>
        <w:numPr>
          <w:ilvl w:val="0"/>
          <w:numId w:val="2"/>
        </w:numPr>
      </w:pPr>
      <w:r>
        <w:t>Réaliser une potentielle classification des phénotypes par « genre » pour faire une AFM</w:t>
      </w:r>
    </w:p>
    <w:p w14:paraId="1067F527" w14:textId="37FF5BB4" w:rsidR="001C206C" w:rsidRDefault="00F26227" w:rsidP="00F26227">
      <w:pPr>
        <w:pStyle w:val="Titre2"/>
      </w:pPr>
      <w:r>
        <w:t>Méthode</w:t>
      </w:r>
    </w:p>
    <w:p w14:paraId="20A2297C" w14:textId="4921F62D" w:rsidR="001C206C" w:rsidRDefault="00F26227" w:rsidP="00F26227">
      <w:pPr>
        <w:pStyle w:val="Titre3"/>
      </w:pPr>
      <w:r>
        <w:t>Présentation des données fonctionnelles</w:t>
      </w:r>
    </w:p>
    <w:p w14:paraId="6ABF572E" w14:textId="379E3D4E" w:rsidR="00F26227" w:rsidRDefault="00F26227" w:rsidP="00F26227">
      <w:pPr>
        <w:pStyle w:val="Paragraphedeliste"/>
        <w:numPr>
          <w:ilvl w:val="0"/>
          <w:numId w:val="1"/>
        </w:numPr>
      </w:pPr>
      <w:r>
        <w:t>Qu’est-ce que c’est ?</w:t>
      </w:r>
    </w:p>
    <w:p w14:paraId="641B4950" w14:textId="39D991E8" w:rsidR="00F26227" w:rsidRDefault="00F26227" w:rsidP="00F26227">
      <w:pPr>
        <w:pStyle w:val="Paragraphedeliste"/>
        <w:numPr>
          <w:ilvl w:val="0"/>
          <w:numId w:val="1"/>
        </w:numPr>
      </w:pPr>
      <w:r>
        <w:t>Intérêt pour cette étude</w:t>
      </w:r>
    </w:p>
    <w:p w14:paraId="15623DD2" w14:textId="27DC36BD" w:rsidR="00F26227" w:rsidRDefault="00F26227" w:rsidP="00F26227">
      <w:pPr>
        <w:pStyle w:val="Titre3"/>
      </w:pPr>
      <w:r>
        <w:t>Régression fonctionnelle : méthode des B-</w:t>
      </w:r>
      <w:proofErr w:type="spellStart"/>
      <w:r>
        <w:t>splines</w:t>
      </w:r>
      <w:proofErr w:type="spellEnd"/>
    </w:p>
    <w:p w14:paraId="45EB36E0" w14:textId="37DD77F1" w:rsidR="00F26227" w:rsidRDefault="00F26227" w:rsidP="00F26227">
      <w:pPr>
        <w:spacing w:line="240" w:lineRule="auto"/>
        <w:jc w:val="both"/>
        <w:rPr>
          <w:rFonts w:cstheme="minorHAnsi"/>
        </w:rPr>
      </w:pPr>
      <w:r>
        <w:rPr>
          <w:rFonts w:cstheme="minorHAnsi"/>
        </w:rPr>
        <w:t xml:space="preserve">Dans un premier temps, nous avons ajuster une </w:t>
      </w:r>
      <w:proofErr w:type="spellStart"/>
      <w:r>
        <w:rPr>
          <w:rFonts w:cstheme="minorHAnsi"/>
        </w:rPr>
        <w:t>spline</w:t>
      </w:r>
      <w:proofErr w:type="spellEnd"/>
      <w:r>
        <w:rPr>
          <w:rFonts w:cstheme="minorHAnsi"/>
        </w:rPr>
        <w:t xml:space="preserve"> sur 50 nœuds par spectre. Ceci nous permet d’obtenir une variable fonctionnelle qui expliquent chaque spectre avec 50 coefficients. Nous avons ensuite </w:t>
      </w:r>
      <w:r>
        <w:rPr>
          <w:rFonts w:cstheme="minorHAnsi"/>
        </w:rPr>
        <w:t>réalisé</w:t>
      </w:r>
      <w:r>
        <w:rPr>
          <w:rFonts w:cstheme="minorHAnsi"/>
        </w:rPr>
        <w:t xml:space="preserve"> une régression linéaire avec les coefficients en variables explicative pour expliquer par exemple </w:t>
      </w:r>
      <w:proofErr w:type="gramStart"/>
      <w:r>
        <w:rPr>
          <w:rFonts w:cstheme="minorHAnsi"/>
        </w:rPr>
        <w:t>la taux</w:t>
      </w:r>
      <w:proofErr w:type="gramEnd"/>
      <w:r>
        <w:rPr>
          <w:rFonts w:cstheme="minorHAnsi"/>
        </w:rPr>
        <w:t xml:space="preserve"> d’azote dans le colza. Le but est de réaliser des prédictions, ainsi de la validation croisée sera réalisé sur le modèle linéaire. </w:t>
      </w:r>
    </w:p>
    <w:p w14:paraId="19F4102C" w14:textId="39084B06" w:rsidR="00BD639F" w:rsidRPr="0078502D" w:rsidRDefault="00BD639F" w:rsidP="00F26227">
      <w:pPr>
        <w:spacing w:line="240" w:lineRule="auto"/>
        <w:jc w:val="both"/>
        <w:rPr>
          <w:rFonts w:cstheme="minorHAnsi"/>
        </w:rPr>
      </w:pPr>
      <w:r>
        <w:rPr>
          <w:rFonts w:cstheme="minorHAnsi"/>
        </w:rPr>
        <w:t>Analyse des résultats :</w:t>
      </w:r>
    </w:p>
    <w:p w14:paraId="0E09AD20" w14:textId="10EE5C10" w:rsidR="00F26227" w:rsidRPr="00F26227" w:rsidRDefault="00BD639F" w:rsidP="00BD639F">
      <w:pPr>
        <w:pStyle w:val="Paragraphedeliste"/>
        <w:numPr>
          <w:ilvl w:val="0"/>
          <w:numId w:val="1"/>
        </w:numPr>
      </w:pPr>
      <w:r>
        <w:t>Intérêt du classement entre variétés</w:t>
      </w:r>
    </w:p>
    <w:p w14:paraId="3CDA9F45" w14:textId="572DD0A7" w:rsidR="00F26227" w:rsidRDefault="00F26227" w:rsidP="00F26227">
      <w:pPr>
        <w:pStyle w:val="Titre3"/>
      </w:pPr>
      <w:r>
        <w:t>ACP fonctionnelle</w:t>
      </w:r>
    </w:p>
    <w:p w14:paraId="327973F3" w14:textId="77D8BA9C" w:rsidR="00BD639F" w:rsidRDefault="00BD639F" w:rsidP="00BD639F">
      <w:pPr>
        <w:pStyle w:val="Titre3"/>
      </w:pPr>
      <w:r>
        <w:t>Méthodes à expérimenter</w:t>
      </w:r>
    </w:p>
    <w:p w14:paraId="3DC27CDB" w14:textId="6AFCC9C1" w:rsidR="00BD639F" w:rsidRDefault="00BD639F" w:rsidP="00BD639F">
      <w:pPr>
        <w:pStyle w:val="Paragraphedeliste"/>
        <w:numPr>
          <w:ilvl w:val="0"/>
          <w:numId w:val="1"/>
        </w:numPr>
      </w:pPr>
      <w:r w:rsidRPr="00BD639F">
        <w:t>loi de mélange de régression fonctionnelle en fonction des espèces (probabilité à priori d'appartenance remplacée par probabilité à posteriori estimées à partir des données</w:t>
      </w:r>
    </w:p>
    <w:p w14:paraId="5399A991" w14:textId="1719970C" w:rsidR="00BD639F" w:rsidRPr="00BD639F" w:rsidRDefault="00BD639F" w:rsidP="00BD639F">
      <w:pPr>
        <w:pStyle w:val="Paragraphedeliste"/>
        <w:numPr>
          <w:ilvl w:val="0"/>
          <w:numId w:val="1"/>
        </w:numPr>
      </w:pPr>
      <w:r w:rsidRPr="00BD639F">
        <w:t>équivalence entre spectre sur feuille sèche et sur feuille fraiche</w:t>
      </w:r>
    </w:p>
    <w:p w14:paraId="2680FCC7" w14:textId="39CFD7E7" w:rsidR="004248E6" w:rsidRPr="004248E6" w:rsidRDefault="00BD639F" w:rsidP="004248E6">
      <w:pPr>
        <w:pStyle w:val="Titre2"/>
      </w:pPr>
      <w:r>
        <w:t>Questions de recherche</w:t>
      </w:r>
    </w:p>
    <w:p w14:paraId="7863E0EE" w14:textId="6ABC1970" w:rsidR="00BD639F" w:rsidRDefault="00BD639F" w:rsidP="00BD639F">
      <w:pPr>
        <w:pStyle w:val="Paragraphedeliste"/>
        <w:numPr>
          <w:ilvl w:val="0"/>
          <w:numId w:val="1"/>
        </w:numPr>
      </w:pPr>
      <w:r>
        <w:t>Equivalence des spectres entre feuille sèche et feuille fraiche ?</w:t>
      </w:r>
    </w:p>
    <w:p w14:paraId="33AA2771" w14:textId="0CCE54A8" w:rsidR="00BD639F" w:rsidRDefault="00BD639F" w:rsidP="00BD639F">
      <w:pPr>
        <w:pStyle w:val="Paragraphedeliste"/>
        <w:numPr>
          <w:ilvl w:val="0"/>
          <w:numId w:val="1"/>
        </w:numPr>
      </w:pPr>
      <w:r>
        <w:t>Modèle d’association des spectres par variété</w:t>
      </w:r>
    </w:p>
    <w:p w14:paraId="25DE98A0" w14:textId="1F3C0CC9" w:rsidR="00BD639F" w:rsidRDefault="002D3AD4" w:rsidP="00BD639F">
      <w:pPr>
        <w:pStyle w:val="Paragraphedeliste"/>
        <w:numPr>
          <w:ilvl w:val="0"/>
          <w:numId w:val="1"/>
        </w:numPr>
      </w:pPr>
      <w:r>
        <w:t>Répartition des données dans les modèles (regarder les résidus dans les modèles linéaires, etc…)</w:t>
      </w:r>
    </w:p>
    <w:p w14:paraId="6F3D99BC" w14:textId="08BED08D" w:rsidR="002D3AD4" w:rsidRDefault="002D3AD4" w:rsidP="00BD639F">
      <w:pPr>
        <w:pStyle w:val="Paragraphedeliste"/>
        <w:numPr>
          <w:ilvl w:val="0"/>
          <w:numId w:val="1"/>
        </w:numPr>
      </w:pPr>
      <w:r>
        <w:t xml:space="preserve">Faire attention aux </w:t>
      </w:r>
      <w:proofErr w:type="spellStart"/>
      <w:r>
        <w:t>outlyers</w:t>
      </w:r>
      <w:proofErr w:type="spellEnd"/>
    </w:p>
    <w:p w14:paraId="6809072E" w14:textId="34259062" w:rsidR="002D3AD4" w:rsidRPr="00BD639F" w:rsidRDefault="002D3AD4" w:rsidP="00BD639F">
      <w:pPr>
        <w:pStyle w:val="Paragraphedeliste"/>
        <w:numPr>
          <w:ilvl w:val="0"/>
          <w:numId w:val="1"/>
        </w:numPr>
      </w:pPr>
      <w:r>
        <w:t>P</w:t>
      </w:r>
      <w:r w:rsidRPr="002D3AD4">
        <w:t xml:space="preserve">rédire un phénotype à partir de spectres mesurés à différents endroits sur la plante. Prendre en compte plusieurs spectre </w:t>
      </w:r>
      <w:r>
        <w:sym w:font="Wingdings" w:char="F0E8"/>
      </w:r>
      <w:r>
        <w:t xml:space="preserve"> </w:t>
      </w:r>
      <w:r w:rsidRPr="002D3AD4">
        <w:t>globaliser les différentes réduction</w:t>
      </w:r>
      <w:r>
        <w:t>s</w:t>
      </w:r>
      <w:r w:rsidRPr="002D3AD4">
        <w:t xml:space="preserve"> de données sur une seule plante</w:t>
      </w:r>
    </w:p>
    <w:p w14:paraId="5FCDD164" w14:textId="184F1571" w:rsidR="00BD639F" w:rsidRDefault="00BD639F" w:rsidP="00BD639F">
      <w:pPr>
        <w:pStyle w:val="Titre2"/>
      </w:pPr>
      <w:r>
        <w:t>Bibliographie</w:t>
      </w:r>
    </w:p>
    <w:p w14:paraId="63C8CF1D" w14:textId="77777777" w:rsidR="00BD639F" w:rsidRPr="00BD639F" w:rsidRDefault="00BD639F" w:rsidP="00BD639F"/>
    <w:p w14:paraId="6306C342" w14:textId="77777777" w:rsidR="00BD639F" w:rsidRDefault="00BD639F" w:rsidP="00BD639F">
      <w:r>
        <w:t>Livre sur les données fonctionnelles :</w:t>
      </w:r>
    </w:p>
    <w:p w14:paraId="7F9D574C" w14:textId="157D999D" w:rsidR="00BD639F" w:rsidRPr="00BD639F" w:rsidRDefault="00BD639F" w:rsidP="00BD639F">
      <w:pPr>
        <w:rPr>
          <w:lang w:val="en-GB"/>
        </w:rPr>
      </w:pPr>
      <w:r>
        <w:tab/>
      </w:r>
      <w:r w:rsidRPr="00BD639F">
        <w:rPr>
          <w:lang w:val="en-GB"/>
        </w:rPr>
        <w:t xml:space="preserve">- functional data analysis (J. O. </w:t>
      </w:r>
      <w:proofErr w:type="gramStart"/>
      <w:r w:rsidRPr="00BD639F">
        <w:rPr>
          <w:lang w:val="en-GB"/>
        </w:rPr>
        <w:t>Ramsay ,</w:t>
      </w:r>
      <w:proofErr w:type="gramEnd"/>
      <w:r w:rsidRPr="00BD639F">
        <w:rPr>
          <w:lang w:val="en-GB"/>
        </w:rPr>
        <w:t xml:space="preserve"> B. W. Silverman)</w:t>
      </w:r>
    </w:p>
    <w:p w14:paraId="088BC1F1" w14:textId="5BF1A182" w:rsidR="001C206C" w:rsidRDefault="00F26227" w:rsidP="00F26227">
      <w:pPr>
        <w:pStyle w:val="Titre2"/>
      </w:pPr>
      <w:r>
        <w:t>Brouillon</w:t>
      </w:r>
    </w:p>
    <w:p w14:paraId="358ACCCC" w14:textId="081E2C07" w:rsidR="003279EC" w:rsidRDefault="00703B99" w:rsidP="006C7A99">
      <w:pPr>
        <w:spacing w:line="240" w:lineRule="auto"/>
        <w:jc w:val="both"/>
        <w:rPr>
          <w:rFonts w:cstheme="minorHAnsi"/>
        </w:rPr>
      </w:pPr>
      <w:r>
        <w:rPr>
          <w:rFonts w:cstheme="minorHAnsi"/>
        </w:rPr>
        <w:t xml:space="preserve">En effet, les processus environnementaux ont un impact sur le phénotype ce qui peut altérer le lien entre génotype et phénotype. </w:t>
      </w:r>
      <w:r w:rsidR="008134AC">
        <w:rPr>
          <w:rFonts w:cstheme="minorHAnsi"/>
        </w:rPr>
        <w:t xml:space="preserve">L’approche utilisée n’appliquait des méthodes fonctionnelles, ce qui est proposé dans le présent travail. </w:t>
      </w:r>
    </w:p>
    <w:p w14:paraId="587DDA91" w14:textId="233E1E34" w:rsidR="008134AC" w:rsidRDefault="008134AC" w:rsidP="006C7A99">
      <w:pPr>
        <w:spacing w:line="240" w:lineRule="auto"/>
        <w:jc w:val="both"/>
        <w:rPr>
          <w:rFonts w:cstheme="minorHAnsi"/>
        </w:rPr>
      </w:pPr>
      <w:r>
        <w:rPr>
          <w:rFonts w:cstheme="minorHAnsi"/>
        </w:rPr>
        <w:t xml:space="preserve">Nous proposons donc d’utiliser des méthodes fonctionnelles pour tenter une meilleure prédiction du phénotype pendant la vigueur précoce à partir de données NIRS. </w:t>
      </w:r>
    </w:p>
    <w:p w14:paraId="3365BB4E" w14:textId="2F21F4AD" w:rsidR="00BE31EB" w:rsidRPr="00BE31EB" w:rsidRDefault="00BE31EB" w:rsidP="006C7A99">
      <w:pPr>
        <w:spacing w:line="240" w:lineRule="auto"/>
        <w:jc w:val="both"/>
        <w:rPr>
          <w:rFonts w:cstheme="minorHAnsi"/>
        </w:rPr>
      </w:pPr>
      <w:r w:rsidRPr="00BE31EB">
        <w:rPr>
          <w:rFonts w:cstheme="minorHAnsi"/>
        </w:rPr>
        <w:t xml:space="preserve">La phase </w:t>
      </w:r>
      <w:r w:rsidR="006C7A99" w:rsidRPr="0078502D">
        <w:rPr>
          <w:rFonts w:cstheme="minorHAnsi"/>
        </w:rPr>
        <w:t>précoce</w:t>
      </w:r>
      <w:r w:rsidRPr="00BE31EB">
        <w:rPr>
          <w:rFonts w:cstheme="minorHAnsi"/>
        </w:rPr>
        <w:t xml:space="preserve"> est la phase de croissance du colza entre la germination et l'étape ou la plante à </w:t>
      </w:r>
      <w:proofErr w:type="spellStart"/>
      <w:r w:rsidR="006C7A99" w:rsidRPr="0078502D">
        <w:rPr>
          <w:rFonts w:cstheme="minorHAnsi"/>
        </w:rPr>
        <w:t>développée</w:t>
      </w:r>
      <w:proofErr w:type="spellEnd"/>
      <w:r w:rsidRPr="00BE31EB">
        <w:rPr>
          <w:rFonts w:cstheme="minorHAnsi"/>
        </w:rPr>
        <w:t xml:space="preserve"> 4 à 5 </w:t>
      </w:r>
      <w:r w:rsidR="006C7A99" w:rsidRPr="0078502D">
        <w:rPr>
          <w:rFonts w:cstheme="minorHAnsi"/>
        </w:rPr>
        <w:t>feuilles</w:t>
      </w:r>
      <w:r w:rsidRPr="00BE31EB">
        <w:rPr>
          <w:rFonts w:cstheme="minorHAnsi"/>
        </w:rPr>
        <w:t xml:space="preserve"> (thèse). La </w:t>
      </w:r>
      <w:r w:rsidR="006C7A99" w:rsidRPr="0078502D">
        <w:rPr>
          <w:rFonts w:cstheme="minorHAnsi"/>
        </w:rPr>
        <w:t>vigueur</w:t>
      </w:r>
      <w:r w:rsidRPr="00BE31EB">
        <w:rPr>
          <w:rFonts w:cstheme="minorHAnsi"/>
        </w:rPr>
        <w:t xml:space="preserve"> précoce du colza désigne la </w:t>
      </w:r>
      <w:r w:rsidR="006C7A99" w:rsidRPr="0078502D">
        <w:rPr>
          <w:rFonts w:cstheme="minorHAnsi"/>
        </w:rPr>
        <w:t>vigueur</w:t>
      </w:r>
      <w:r w:rsidRPr="00BE31EB">
        <w:rPr>
          <w:rFonts w:cstheme="minorHAnsi"/>
        </w:rPr>
        <w:t xml:space="preserve"> aux cours de ce stade précoce. </w:t>
      </w:r>
    </w:p>
    <w:p w14:paraId="60CF786D" w14:textId="77777777" w:rsidR="00BE31EB" w:rsidRPr="00BE31EB" w:rsidRDefault="00BE31EB" w:rsidP="006C7A99">
      <w:pPr>
        <w:spacing w:line="240" w:lineRule="auto"/>
        <w:jc w:val="both"/>
        <w:rPr>
          <w:rFonts w:cstheme="minorHAnsi"/>
        </w:rPr>
      </w:pPr>
    </w:p>
    <w:p w14:paraId="124BC651" w14:textId="0A1DC024" w:rsidR="00BE31EB" w:rsidRPr="00BE31EB" w:rsidRDefault="00BE31EB" w:rsidP="006C7A99">
      <w:pPr>
        <w:spacing w:line="240" w:lineRule="auto"/>
        <w:jc w:val="both"/>
        <w:rPr>
          <w:rFonts w:cstheme="minorHAnsi"/>
        </w:rPr>
      </w:pPr>
      <w:r w:rsidRPr="00BE31EB">
        <w:rPr>
          <w:rFonts w:cstheme="minorHAnsi"/>
        </w:rPr>
        <w:t xml:space="preserve">Un spectre infrarouge montre l'absorbance d'un composé en ordonnées en fonction des </w:t>
      </w:r>
      <w:r w:rsidR="006C7A99" w:rsidRPr="0078502D">
        <w:rPr>
          <w:rFonts w:cstheme="minorHAnsi"/>
        </w:rPr>
        <w:t>longueurs</w:t>
      </w:r>
      <w:r w:rsidRPr="00BE31EB">
        <w:rPr>
          <w:rFonts w:cstheme="minorHAnsi"/>
        </w:rPr>
        <w:t xml:space="preserve"> d'ondes en </w:t>
      </w:r>
      <w:r w:rsidR="006C7A99" w:rsidRPr="0078502D">
        <w:rPr>
          <w:rFonts w:cstheme="minorHAnsi"/>
        </w:rPr>
        <w:t>abscisses</w:t>
      </w:r>
      <w:r w:rsidRPr="00BE31EB">
        <w:rPr>
          <w:rFonts w:cstheme="minorHAnsi"/>
        </w:rPr>
        <w:t xml:space="preserve">. </w:t>
      </w:r>
    </w:p>
    <w:p w14:paraId="0003C74E" w14:textId="77777777" w:rsidR="00BE31EB" w:rsidRPr="00BE31EB" w:rsidRDefault="00BE31EB" w:rsidP="006C7A99">
      <w:pPr>
        <w:spacing w:line="240" w:lineRule="auto"/>
        <w:jc w:val="both"/>
        <w:rPr>
          <w:rFonts w:cstheme="minorHAnsi"/>
        </w:rPr>
      </w:pPr>
    </w:p>
    <w:p w14:paraId="2C019F74" w14:textId="4E788128" w:rsidR="00BE31EB" w:rsidRPr="00BE31EB" w:rsidRDefault="00BE31EB" w:rsidP="006C7A99">
      <w:pPr>
        <w:spacing w:line="240" w:lineRule="auto"/>
        <w:jc w:val="both"/>
        <w:rPr>
          <w:rFonts w:cstheme="minorHAnsi"/>
        </w:rPr>
      </w:pPr>
      <w:r w:rsidRPr="00BE31EB">
        <w:rPr>
          <w:rFonts w:cstheme="minorHAnsi"/>
        </w:rPr>
        <w:t xml:space="preserve">Données </w:t>
      </w:r>
      <w:r w:rsidR="006C7A99" w:rsidRPr="0078502D">
        <w:rPr>
          <w:rFonts w:cstheme="minorHAnsi"/>
        </w:rPr>
        <w:t>fonctionnelles :</w:t>
      </w:r>
      <w:r w:rsidRPr="00BE31EB">
        <w:rPr>
          <w:rFonts w:cstheme="minorHAnsi"/>
        </w:rPr>
        <w:t xml:space="preserve"> </w:t>
      </w:r>
    </w:p>
    <w:p w14:paraId="554EEDBF" w14:textId="79A96C0F" w:rsidR="00BE31EB" w:rsidRPr="00BE31EB" w:rsidRDefault="00BE31EB" w:rsidP="006C7A99">
      <w:pPr>
        <w:spacing w:line="240" w:lineRule="auto"/>
        <w:jc w:val="both"/>
        <w:rPr>
          <w:rFonts w:cstheme="minorHAnsi"/>
        </w:rPr>
      </w:pPr>
      <w:r w:rsidRPr="00BE31EB">
        <w:rPr>
          <w:rFonts w:cstheme="minorHAnsi"/>
        </w:rPr>
        <w:t xml:space="preserve">L'amélioration des technologies d'acquisition de données permettent aujourd'hui de collecter des données de manière quasi continue. Les observations ne sont plus des valeurs ponctuelles mais peuvent être considérées comme des fonctions continues. Des observations de telles variables sont </w:t>
      </w:r>
      <w:r w:rsidR="006C7A99" w:rsidRPr="0078502D">
        <w:rPr>
          <w:rFonts w:cstheme="minorHAnsi"/>
        </w:rPr>
        <w:t xml:space="preserve">appelées </w:t>
      </w:r>
      <w:r w:rsidRPr="00BE31EB">
        <w:rPr>
          <w:rFonts w:cstheme="minorHAnsi"/>
        </w:rPr>
        <w:t xml:space="preserve">des données </w:t>
      </w:r>
      <w:r w:rsidR="006C7A99" w:rsidRPr="0078502D">
        <w:rPr>
          <w:rFonts w:cstheme="minorHAnsi"/>
        </w:rPr>
        <w:t>fonctionnelles</w:t>
      </w:r>
      <w:r w:rsidRPr="00BE31EB">
        <w:rPr>
          <w:rFonts w:cstheme="minorHAnsi"/>
        </w:rPr>
        <w:t xml:space="preserve"> (FDA pour </w:t>
      </w:r>
      <w:proofErr w:type="spellStart"/>
      <w:r w:rsidRPr="00BE31EB">
        <w:rPr>
          <w:rFonts w:cstheme="minorHAnsi"/>
        </w:rPr>
        <w:t>Functional</w:t>
      </w:r>
      <w:proofErr w:type="spellEnd"/>
      <w:r w:rsidRPr="00BE31EB">
        <w:rPr>
          <w:rFonts w:cstheme="minorHAnsi"/>
        </w:rPr>
        <w:t xml:space="preserve"> Data </w:t>
      </w:r>
      <w:proofErr w:type="spellStart"/>
      <w:r w:rsidRPr="00BE31EB">
        <w:rPr>
          <w:rFonts w:cstheme="minorHAnsi"/>
        </w:rPr>
        <w:t>Analysis</w:t>
      </w:r>
      <w:proofErr w:type="spellEnd"/>
      <w:r w:rsidRPr="00BE31EB">
        <w:rPr>
          <w:rFonts w:cstheme="minorHAnsi"/>
        </w:rPr>
        <w:t xml:space="preserve">). </w:t>
      </w:r>
    </w:p>
    <w:p w14:paraId="5003A06D" w14:textId="77777777" w:rsidR="00BE31EB" w:rsidRPr="00BE31EB" w:rsidRDefault="00BE31EB" w:rsidP="006C7A99">
      <w:pPr>
        <w:spacing w:line="240" w:lineRule="auto"/>
        <w:jc w:val="both"/>
        <w:rPr>
          <w:rFonts w:cstheme="minorHAnsi"/>
        </w:rPr>
      </w:pPr>
    </w:p>
    <w:p w14:paraId="6D3A90B6" w14:textId="7ACE872E" w:rsidR="0078502D" w:rsidRPr="0078502D" w:rsidRDefault="00BE31EB" w:rsidP="006C7A99">
      <w:pPr>
        <w:spacing w:line="240" w:lineRule="auto"/>
        <w:jc w:val="both"/>
        <w:rPr>
          <w:rFonts w:cstheme="minorHAnsi"/>
        </w:rPr>
      </w:pPr>
      <w:r w:rsidRPr="00BE31EB">
        <w:rPr>
          <w:rFonts w:cstheme="minorHAnsi"/>
        </w:rPr>
        <w:t xml:space="preserve">Une données fonctionnelle aléatoire </w:t>
      </w:r>
      <w:r w:rsidRPr="00BE31EB">
        <w:rPr>
          <w:rFonts w:cstheme="minorHAnsi"/>
          <w:i/>
          <w:iCs/>
        </w:rPr>
        <w:t>X</w:t>
      </w:r>
      <w:r w:rsidRPr="00BE31EB">
        <w:rPr>
          <w:rFonts w:cstheme="minorHAnsi"/>
        </w:rPr>
        <w:t xml:space="preserve"> est définie dans un espace de probabilité et prend des valeurs dans un espace de fonction </w:t>
      </w:r>
      <w:r w:rsidRPr="00BE31EB">
        <w:rPr>
          <w:rFonts w:cstheme="minorHAnsi"/>
          <w:i/>
          <w:iCs/>
        </w:rPr>
        <w:t>H</w:t>
      </w:r>
      <w:r w:rsidRPr="00BE31EB">
        <w:rPr>
          <w:rFonts w:cstheme="minorHAnsi"/>
        </w:rPr>
        <w:t xml:space="preserve">. Par exemple, trouver une fonction </w:t>
      </w:r>
      <w:proofErr w:type="spellStart"/>
      <w:r w:rsidRPr="00BE31EB">
        <w:rPr>
          <w:rFonts w:cstheme="minorHAnsi"/>
        </w:rPr>
        <w:t>spline</w:t>
      </w:r>
      <w:proofErr w:type="spellEnd"/>
      <w:r w:rsidRPr="00BE31EB">
        <w:rPr>
          <w:rFonts w:cstheme="minorHAnsi"/>
        </w:rPr>
        <w:t xml:space="preserve"> sur des observations discrètes revient à trouver une variable fonctionnelle. </w:t>
      </w:r>
    </w:p>
    <w:p w14:paraId="04A46F4B" w14:textId="77777777" w:rsidR="0078502D" w:rsidRPr="0078502D" w:rsidRDefault="0078502D" w:rsidP="0078502D">
      <w:pPr>
        <w:rPr>
          <w:rFonts w:cstheme="minorHAnsi"/>
        </w:rPr>
      </w:pPr>
    </w:p>
    <w:p w14:paraId="566AFA1A" w14:textId="758DED9B" w:rsidR="00BE31EB" w:rsidRPr="00BE31EB" w:rsidRDefault="00BE31EB" w:rsidP="006C7A99">
      <w:pPr>
        <w:spacing w:line="240" w:lineRule="auto"/>
        <w:jc w:val="both"/>
        <w:rPr>
          <w:rFonts w:cstheme="minorHAnsi"/>
        </w:rPr>
      </w:pPr>
      <w:r w:rsidRPr="00BE31EB">
        <w:rPr>
          <w:rFonts w:cstheme="minorHAnsi"/>
        </w:rPr>
        <w:t>L'espace de fonction le plus étudié est l'espace de Hilbert. Un espace de Hilbert est un espace vectoriel (</w:t>
      </w:r>
      <w:proofErr w:type="spellStart"/>
      <w:r w:rsidRPr="00BE31EB">
        <w:rPr>
          <w:rFonts w:cstheme="minorHAnsi"/>
        </w:rPr>
        <w:t>ie</w:t>
      </w:r>
      <w:proofErr w:type="spellEnd"/>
      <w:r w:rsidRPr="00BE31EB">
        <w:rPr>
          <w:rFonts w:cstheme="minorHAnsi"/>
        </w:rPr>
        <w:t xml:space="preserve">. </w:t>
      </w:r>
      <w:r w:rsidR="006C7A99" w:rsidRPr="0078502D">
        <w:rPr>
          <w:rFonts w:cstheme="minorHAnsi"/>
        </w:rPr>
        <w:t>L’addition</w:t>
      </w:r>
      <w:r w:rsidRPr="00BE31EB">
        <w:rPr>
          <w:rFonts w:cstheme="minorHAnsi"/>
        </w:rPr>
        <w:t xml:space="preserve"> ou la multiplication de deux éléments d'un tel espace donnera un résultat qui appartient encore </w:t>
      </w:r>
      <w:r w:rsidR="006C7A99" w:rsidRPr="0078502D">
        <w:rPr>
          <w:rFonts w:cstheme="minorHAnsi"/>
        </w:rPr>
        <w:t>à</w:t>
      </w:r>
      <w:r w:rsidRPr="00BE31EB">
        <w:rPr>
          <w:rFonts w:cstheme="minorHAnsi"/>
        </w:rPr>
        <w:t xml:space="preserve"> cet espace). </w:t>
      </w:r>
    </w:p>
    <w:p w14:paraId="61099A93" w14:textId="77777777" w:rsidR="00BE31EB" w:rsidRPr="00BE31EB" w:rsidRDefault="00BE31EB" w:rsidP="006C7A99">
      <w:pPr>
        <w:spacing w:line="240" w:lineRule="auto"/>
        <w:jc w:val="both"/>
        <w:rPr>
          <w:rFonts w:cstheme="minorHAnsi"/>
        </w:rPr>
      </w:pPr>
    </w:p>
    <w:p w14:paraId="487BDF28" w14:textId="77777777" w:rsidR="00BE31EB" w:rsidRPr="00BE31EB" w:rsidRDefault="00BE31EB" w:rsidP="006C7A99">
      <w:pPr>
        <w:spacing w:line="240" w:lineRule="auto"/>
        <w:jc w:val="both"/>
        <w:rPr>
          <w:rFonts w:cstheme="minorHAnsi"/>
        </w:rPr>
      </w:pPr>
      <w:proofErr w:type="spellStart"/>
      <w:r w:rsidRPr="00BE31EB">
        <w:rPr>
          <w:rFonts w:cstheme="minorHAnsi"/>
        </w:rPr>
        <w:t>Sample_ID</w:t>
      </w:r>
      <w:proofErr w:type="spellEnd"/>
      <w:r w:rsidRPr="00BE31EB">
        <w:rPr>
          <w:rFonts w:cstheme="minorHAnsi"/>
        </w:rPr>
        <w:t>: Numéro d'identification unique de l'échantillon.</w:t>
      </w:r>
    </w:p>
    <w:p w14:paraId="532CCEA2" w14:textId="77777777" w:rsidR="00BE31EB" w:rsidRPr="00BE31EB" w:rsidRDefault="00BE31EB" w:rsidP="006C7A99">
      <w:pPr>
        <w:spacing w:line="240" w:lineRule="auto"/>
        <w:jc w:val="both"/>
        <w:rPr>
          <w:rFonts w:cstheme="minorHAnsi"/>
        </w:rPr>
      </w:pPr>
      <w:r w:rsidRPr="00BE31EB">
        <w:rPr>
          <w:rFonts w:cstheme="minorHAnsi"/>
        </w:rPr>
        <w:br/>
        <w:t>Accession: Génotypes</w:t>
      </w:r>
    </w:p>
    <w:p w14:paraId="78FFF32A"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Growth</w:t>
      </w:r>
      <w:proofErr w:type="spellEnd"/>
      <w:r w:rsidRPr="00BE31EB">
        <w:rPr>
          <w:rFonts w:cstheme="minorHAnsi"/>
        </w:rPr>
        <w:t xml:space="preserve"> </w:t>
      </w:r>
      <w:proofErr w:type="spellStart"/>
      <w:r w:rsidRPr="00BE31EB">
        <w:rPr>
          <w:rFonts w:cstheme="minorHAnsi"/>
        </w:rPr>
        <w:t>season</w:t>
      </w:r>
      <w:proofErr w:type="spellEnd"/>
      <w:r w:rsidRPr="00BE31EB">
        <w:rPr>
          <w:rFonts w:cstheme="minorHAnsi"/>
        </w:rPr>
        <w:t>: Saison de croissance (2014-2015; 2015-2016; 2016-2017).</w:t>
      </w:r>
    </w:p>
    <w:p w14:paraId="0E209C0E"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Growth</w:t>
      </w:r>
      <w:proofErr w:type="spellEnd"/>
      <w:r w:rsidRPr="00BE31EB">
        <w:rPr>
          <w:rFonts w:cstheme="minorHAnsi"/>
        </w:rPr>
        <w:t xml:space="preserve"> condition: Conditions de culture soit en champs soit en tunnel </w:t>
      </w:r>
    </w:p>
    <w:p w14:paraId="140F7A10" w14:textId="57BF4DAB" w:rsidR="00BE31EB" w:rsidRPr="00BE31EB" w:rsidRDefault="00BE31EB" w:rsidP="006C7A99">
      <w:pPr>
        <w:spacing w:line="240" w:lineRule="auto"/>
        <w:jc w:val="both"/>
        <w:rPr>
          <w:rFonts w:cstheme="minorHAnsi"/>
        </w:rPr>
      </w:pPr>
      <w:r w:rsidRPr="00BE31EB">
        <w:rPr>
          <w:rFonts w:cstheme="minorHAnsi"/>
        </w:rPr>
        <w:br/>
        <w:t xml:space="preserve">N </w:t>
      </w:r>
      <w:proofErr w:type="spellStart"/>
      <w:r w:rsidRPr="00BE31EB">
        <w:rPr>
          <w:rFonts w:cstheme="minorHAnsi"/>
        </w:rPr>
        <w:t>regime</w:t>
      </w:r>
      <w:proofErr w:type="spellEnd"/>
      <w:r w:rsidRPr="00BE31EB">
        <w:rPr>
          <w:rFonts w:cstheme="minorHAnsi"/>
        </w:rPr>
        <w:t xml:space="preserve">: Fertilisation azoté apporté au stade de monté en graine. N+ désigne des apports azotés optimaux pour atteindre un </w:t>
      </w:r>
      <w:r w:rsidR="006C7A99" w:rsidRPr="0078502D">
        <w:rPr>
          <w:rFonts w:cstheme="minorHAnsi"/>
        </w:rPr>
        <w:t>rendement</w:t>
      </w:r>
      <w:r w:rsidRPr="00BE31EB">
        <w:rPr>
          <w:rFonts w:cstheme="minorHAnsi"/>
        </w:rPr>
        <w:t xml:space="preserve"> de 3.5 t.ha-1 de graine de colza. N- désigne un apport sous-optimal de  80-100 kg.ha-1 d'azote</w:t>
      </w:r>
    </w:p>
    <w:p w14:paraId="30CA7B66" w14:textId="77777777" w:rsidR="00BE31EB" w:rsidRPr="00BE31EB" w:rsidRDefault="00BE31EB" w:rsidP="006C7A99">
      <w:pPr>
        <w:spacing w:line="240" w:lineRule="auto"/>
        <w:jc w:val="both"/>
        <w:rPr>
          <w:rFonts w:cstheme="minorHAnsi"/>
        </w:rPr>
      </w:pPr>
      <w:r w:rsidRPr="00BE31EB">
        <w:rPr>
          <w:rFonts w:cstheme="minorHAnsi"/>
        </w:rPr>
        <w:br/>
        <w:t xml:space="preserve">W </w:t>
      </w:r>
      <w:proofErr w:type="spellStart"/>
      <w:r w:rsidRPr="00BE31EB">
        <w:rPr>
          <w:rFonts w:cstheme="minorHAnsi"/>
        </w:rPr>
        <w:t>regime</w:t>
      </w:r>
      <w:proofErr w:type="spellEnd"/>
      <w:r w:rsidRPr="00BE31EB">
        <w:rPr>
          <w:rFonts w:cstheme="minorHAnsi"/>
        </w:rPr>
        <w:t xml:space="preserve">: Apports en eau </w:t>
      </w:r>
      <w:proofErr w:type="spellStart"/>
      <w:r w:rsidRPr="00BE31EB">
        <w:rPr>
          <w:rFonts w:cstheme="minorHAnsi"/>
        </w:rPr>
        <w:t>a</w:t>
      </w:r>
      <w:proofErr w:type="spellEnd"/>
      <w:r w:rsidRPr="00BE31EB">
        <w:rPr>
          <w:rFonts w:cstheme="minorHAnsi"/>
        </w:rPr>
        <w:t xml:space="preserve"> partir du stade de floraison. W+ indique un apport en eau optimal avec un potentiel en eau du substrat de -200 mbar. W- correspond à un apport en eau sous-optimal avec un potentiel en eau du substrat de -600 mbar. </w:t>
      </w:r>
    </w:p>
    <w:p w14:paraId="62ECCBBF" w14:textId="77777777" w:rsidR="00BE31EB" w:rsidRPr="00BE31EB" w:rsidRDefault="00BE31EB" w:rsidP="006C7A99">
      <w:pPr>
        <w:spacing w:line="240" w:lineRule="auto"/>
        <w:jc w:val="both"/>
        <w:rPr>
          <w:rFonts w:cstheme="minorHAnsi"/>
        </w:rPr>
      </w:pPr>
      <w:r w:rsidRPr="00BE31EB">
        <w:rPr>
          <w:rFonts w:cstheme="minorHAnsi"/>
        </w:rPr>
        <w:br/>
        <w:t>Tissue: Tissus végétaux d'</w:t>
      </w:r>
      <w:proofErr w:type="spellStart"/>
      <w:r w:rsidRPr="00BE31EB">
        <w:rPr>
          <w:rFonts w:cstheme="minorHAnsi"/>
        </w:rPr>
        <w:t>ou</w:t>
      </w:r>
      <w:proofErr w:type="spellEnd"/>
      <w:r w:rsidRPr="00BE31EB">
        <w:rPr>
          <w:rFonts w:cstheme="minorHAnsi"/>
        </w:rPr>
        <w:t xml:space="preserve"> proviennent les échantillons dont les racines, les feuilles, les tiges, les fleurs et les gousses de graines.</w:t>
      </w:r>
    </w:p>
    <w:p w14:paraId="31515A78" w14:textId="43D1C628" w:rsidR="00BE31EB" w:rsidRPr="00BE31EB" w:rsidRDefault="00BE31EB" w:rsidP="006C7A99">
      <w:pPr>
        <w:spacing w:line="240" w:lineRule="auto"/>
        <w:jc w:val="both"/>
        <w:rPr>
          <w:rFonts w:cstheme="minorHAnsi"/>
        </w:rPr>
      </w:pPr>
      <w:r w:rsidRPr="00BE31EB">
        <w:rPr>
          <w:rFonts w:cstheme="minorHAnsi"/>
        </w:rPr>
        <w:br/>
        <w:t xml:space="preserve">BBCH dev. Stage: Stade de </w:t>
      </w:r>
      <w:r w:rsidR="006C7A99" w:rsidRPr="0078502D">
        <w:rPr>
          <w:rFonts w:cstheme="minorHAnsi"/>
        </w:rPr>
        <w:t>développement</w:t>
      </w:r>
      <w:r w:rsidRPr="00BE31EB">
        <w:rPr>
          <w:rFonts w:cstheme="minorHAnsi"/>
        </w:rPr>
        <w:t xml:space="preserve"> d'</w:t>
      </w:r>
      <w:proofErr w:type="spellStart"/>
      <w:r w:rsidRPr="00BE31EB">
        <w:rPr>
          <w:rFonts w:cstheme="minorHAnsi"/>
        </w:rPr>
        <w:t>ou</w:t>
      </w:r>
      <w:proofErr w:type="spellEnd"/>
      <w:r w:rsidRPr="00BE31EB">
        <w:rPr>
          <w:rFonts w:cstheme="minorHAnsi"/>
        </w:rPr>
        <w:t xml:space="preserve"> </w:t>
      </w:r>
      <w:proofErr w:type="spellStart"/>
      <w:r w:rsidRPr="00BE31EB">
        <w:rPr>
          <w:rFonts w:cstheme="minorHAnsi"/>
        </w:rPr>
        <w:t>on</w:t>
      </w:r>
      <w:proofErr w:type="spellEnd"/>
      <w:r w:rsidRPr="00BE31EB">
        <w:rPr>
          <w:rFonts w:cstheme="minorHAnsi"/>
        </w:rPr>
        <w:t xml:space="preserve"> été prélevés les échantillons. </w:t>
      </w:r>
    </w:p>
    <w:p w14:paraId="19087FA5" w14:textId="77777777" w:rsidR="00BE31EB" w:rsidRPr="00BE31EB" w:rsidRDefault="00BE31EB" w:rsidP="006C7A99">
      <w:pPr>
        <w:spacing w:line="240" w:lineRule="auto"/>
        <w:jc w:val="both"/>
        <w:rPr>
          <w:rFonts w:cstheme="minorHAnsi"/>
        </w:rPr>
      </w:pPr>
      <w:r w:rsidRPr="00BE31EB">
        <w:rPr>
          <w:rFonts w:cstheme="minorHAnsi"/>
        </w:rPr>
        <w:t>15-19 stage = Plante possédant les 5 à 9 feuilles</w:t>
      </w:r>
    </w:p>
    <w:p w14:paraId="76158C71" w14:textId="17A66803" w:rsidR="00BE31EB" w:rsidRPr="00BE31EB" w:rsidRDefault="00BE31EB" w:rsidP="006C7A99">
      <w:pPr>
        <w:spacing w:line="240" w:lineRule="auto"/>
        <w:jc w:val="both"/>
        <w:rPr>
          <w:rFonts w:cstheme="minorHAnsi"/>
        </w:rPr>
      </w:pPr>
      <w:r w:rsidRPr="00BE31EB">
        <w:rPr>
          <w:rFonts w:cstheme="minorHAnsi"/>
        </w:rPr>
        <w:t xml:space="preserve">31-35 stage = Stade de montée en graine, la plante montre 1 à 5 </w:t>
      </w:r>
      <w:r w:rsidR="006C7A99" w:rsidRPr="0078502D">
        <w:rPr>
          <w:rFonts w:cstheme="minorHAnsi"/>
        </w:rPr>
        <w:t>entrenœuds</w:t>
      </w:r>
    </w:p>
    <w:p w14:paraId="33B9D166" w14:textId="77777777" w:rsidR="00BE31EB" w:rsidRPr="00BE31EB" w:rsidRDefault="00BE31EB" w:rsidP="006C7A99">
      <w:pPr>
        <w:spacing w:line="240" w:lineRule="auto"/>
        <w:jc w:val="both"/>
        <w:rPr>
          <w:rFonts w:cstheme="minorHAnsi"/>
        </w:rPr>
      </w:pPr>
      <w:r w:rsidRPr="00BE31EB">
        <w:rPr>
          <w:rFonts w:cstheme="minorHAnsi"/>
        </w:rPr>
        <w:t>55-59 stage = Production de l'inflorescence principale</w:t>
      </w:r>
    </w:p>
    <w:p w14:paraId="7AA303C1" w14:textId="77777777" w:rsidR="00BE31EB" w:rsidRPr="00BE31EB" w:rsidRDefault="00BE31EB" w:rsidP="006C7A99">
      <w:pPr>
        <w:spacing w:line="240" w:lineRule="auto"/>
        <w:jc w:val="both"/>
        <w:rPr>
          <w:rFonts w:cstheme="minorHAnsi"/>
        </w:rPr>
      </w:pPr>
      <w:r w:rsidRPr="00BE31EB">
        <w:rPr>
          <w:rFonts w:cstheme="minorHAnsi"/>
        </w:rPr>
        <w:t>61-65 stage = Stade de floraison</w:t>
      </w:r>
    </w:p>
    <w:p w14:paraId="5AD3EAD0" w14:textId="034C2435" w:rsidR="00BE31EB" w:rsidRPr="00BE31EB" w:rsidRDefault="00BE31EB" w:rsidP="006C7A99">
      <w:pPr>
        <w:spacing w:line="240" w:lineRule="auto"/>
        <w:jc w:val="both"/>
        <w:rPr>
          <w:rFonts w:cstheme="minorHAnsi"/>
        </w:rPr>
      </w:pPr>
      <w:r w:rsidRPr="00BE31EB">
        <w:rPr>
          <w:rFonts w:cstheme="minorHAnsi"/>
        </w:rPr>
        <w:t xml:space="preserve">70-75 stage = </w:t>
      </w:r>
      <w:r w:rsidR="006C7A99" w:rsidRPr="0078502D">
        <w:rPr>
          <w:rFonts w:cstheme="minorHAnsi"/>
        </w:rPr>
        <w:t>Développement</w:t>
      </w:r>
      <w:r w:rsidRPr="00BE31EB">
        <w:rPr>
          <w:rFonts w:cstheme="minorHAnsi"/>
        </w:rPr>
        <w:t xml:space="preserve"> des graines</w:t>
      </w:r>
    </w:p>
    <w:p w14:paraId="0EE41664" w14:textId="77777777" w:rsidR="00BE31EB" w:rsidRPr="00BE31EB" w:rsidRDefault="00BE31EB" w:rsidP="006C7A99">
      <w:pPr>
        <w:spacing w:line="240" w:lineRule="auto"/>
        <w:jc w:val="both"/>
        <w:rPr>
          <w:rFonts w:cstheme="minorHAnsi"/>
        </w:rPr>
      </w:pPr>
      <w:r w:rsidRPr="00BE31EB">
        <w:rPr>
          <w:rFonts w:cstheme="minorHAnsi"/>
        </w:rPr>
        <w:t>79-85 stage = Maturation des graines</w:t>
      </w:r>
    </w:p>
    <w:p w14:paraId="5F3BB239" w14:textId="2CC56F61" w:rsidR="00BE31EB" w:rsidRPr="00BE31EB" w:rsidRDefault="00BE31EB" w:rsidP="006C7A99">
      <w:pPr>
        <w:spacing w:line="240" w:lineRule="auto"/>
        <w:jc w:val="both"/>
        <w:rPr>
          <w:rFonts w:cstheme="minorHAnsi"/>
        </w:rPr>
      </w:pPr>
      <w:r w:rsidRPr="00BE31EB">
        <w:rPr>
          <w:rFonts w:cstheme="minorHAnsi"/>
        </w:rPr>
        <w:t xml:space="preserve">89-91 stage = Phase de </w:t>
      </w:r>
      <w:r w:rsidR="006C7A99" w:rsidRPr="0078502D">
        <w:rPr>
          <w:rFonts w:cstheme="minorHAnsi"/>
        </w:rPr>
        <w:t>sénescence</w:t>
      </w:r>
      <w:r w:rsidRPr="00BE31EB">
        <w:rPr>
          <w:rFonts w:cstheme="minorHAnsi"/>
        </w:rPr>
        <w:t xml:space="preserve"> de la plante</w:t>
      </w:r>
    </w:p>
    <w:p w14:paraId="103121E1" w14:textId="77777777" w:rsidR="00BE31EB" w:rsidRPr="00BE31EB" w:rsidRDefault="00BE31EB" w:rsidP="006C7A99">
      <w:pPr>
        <w:spacing w:line="240" w:lineRule="auto"/>
        <w:jc w:val="both"/>
        <w:rPr>
          <w:rFonts w:cstheme="minorHAnsi"/>
        </w:rPr>
      </w:pPr>
      <w:r w:rsidRPr="00BE31EB">
        <w:rPr>
          <w:rFonts w:cstheme="minorHAnsi"/>
        </w:rPr>
        <w:br/>
        <w:t>N content (%DM): Contenu en azote dans l'échantillon en pourcentage de matière sèche.</w:t>
      </w:r>
    </w:p>
    <w:p w14:paraId="47ED812A"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N_model_set</w:t>
      </w:r>
      <w:proofErr w:type="spellEnd"/>
      <w:r w:rsidRPr="00BE31EB">
        <w:rPr>
          <w:rFonts w:cstheme="minorHAnsi"/>
        </w:rPr>
        <w:t xml:space="preserve">-type: Désigne des échantillons sélectionnés pour la calibration (Cal) ou la validation (Val) pour le modèle de prédiction de l'azote. </w:t>
      </w:r>
    </w:p>
    <w:p w14:paraId="7D810C95" w14:textId="77777777" w:rsidR="00BE31EB" w:rsidRPr="00BE31EB" w:rsidRDefault="00BE31EB" w:rsidP="006C7A99">
      <w:pPr>
        <w:spacing w:line="240" w:lineRule="auto"/>
        <w:jc w:val="both"/>
        <w:rPr>
          <w:rFonts w:cstheme="minorHAnsi"/>
        </w:rPr>
      </w:pPr>
      <w:r w:rsidRPr="00BE31EB">
        <w:rPr>
          <w:rFonts w:cstheme="minorHAnsi"/>
        </w:rPr>
        <w:br/>
        <w:t>C content (%DM): Contenu en carbone dans l'échantillon en pourcentage de matière sèche.</w:t>
      </w:r>
    </w:p>
    <w:p w14:paraId="5ACCB8A6"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C_model_set</w:t>
      </w:r>
      <w:proofErr w:type="spellEnd"/>
      <w:r w:rsidRPr="00BE31EB">
        <w:rPr>
          <w:rFonts w:cstheme="minorHAnsi"/>
        </w:rPr>
        <w:t xml:space="preserve">-type: Désigne des échantillons sélectionnés pour la calibration (Cal) ou la validation (Val) pour le modèle de prédiction du carbone. </w:t>
      </w:r>
    </w:p>
    <w:p w14:paraId="7AD49058"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Spectra_acquisition_year</w:t>
      </w:r>
      <w:proofErr w:type="spellEnd"/>
      <w:r w:rsidRPr="00BE31EB">
        <w:rPr>
          <w:rFonts w:cstheme="minorHAnsi"/>
        </w:rPr>
        <w:t>: Années d'acquisition des spectres, ici 2027</w:t>
      </w:r>
    </w:p>
    <w:p w14:paraId="47B26A38"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Cup_type</w:t>
      </w:r>
      <w:proofErr w:type="spellEnd"/>
      <w:r w:rsidRPr="00BE31EB">
        <w:rPr>
          <w:rFonts w:cstheme="minorHAnsi"/>
        </w:rPr>
        <w:t xml:space="preserve">: Indique le type de </w:t>
      </w:r>
      <w:proofErr w:type="spellStart"/>
      <w:r w:rsidRPr="00BE31EB">
        <w:rPr>
          <w:rFonts w:cstheme="minorHAnsi"/>
        </w:rPr>
        <w:t>vial</w:t>
      </w:r>
      <w:proofErr w:type="spellEnd"/>
      <w:r w:rsidRPr="00BE31EB">
        <w:rPr>
          <w:rFonts w:cstheme="minorHAnsi"/>
        </w:rPr>
        <w:t xml:space="preserve"> en verre utilisés pour l'acquisition du spectre NIRS. “fix” désigne des </w:t>
      </w:r>
      <w:proofErr w:type="spellStart"/>
      <w:r w:rsidRPr="00BE31EB">
        <w:rPr>
          <w:rFonts w:cstheme="minorHAnsi"/>
        </w:rPr>
        <w:t>vials</w:t>
      </w:r>
      <w:proofErr w:type="spellEnd"/>
      <w:r w:rsidRPr="00BE31EB">
        <w:rPr>
          <w:rFonts w:cstheme="minorHAnsi"/>
        </w:rPr>
        <w:t xml:space="preserve"> de 22 mm de diamètre sur un support fixé. “</w:t>
      </w:r>
      <w:proofErr w:type="spellStart"/>
      <w:r w:rsidRPr="00BE31EB">
        <w:rPr>
          <w:rFonts w:cstheme="minorHAnsi"/>
        </w:rPr>
        <w:t>rotating</w:t>
      </w:r>
      <w:proofErr w:type="spellEnd"/>
      <w:r w:rsidRPr="00BE31EB">
        <w:rPr>
          <w:rFonts w:cstheme="minorHAnsi"/>
        </w:rPr>
        <w:t xml:space="preserve">” sont des </w:t>
      </w:r>
      <w:proofErr w:type="spellStart"/>
      <w:r w:rsidRPr="00BE31EB">
        <w:rPr>
          <w:rFonts w:cstheme="minorHAnsi"/>
        </w:rPr>
        <w:t>vials</w:t>
      </w:r>
      <w:proofErr w:type="spellEnd"/>
      <w:r w:rsidRPr="00BE31EB">
        <w:rPr>
          <w:rFonts w:cstheme="minorHAnsi"/>
        </w:rPr>
        <w:t xml:space="preserve"> de 51 mm de diamètre placé sur un support rotatif. </w:t>
      </w:r>
    </w:p>
    <w:p w14:paraId="22A1AFB3" w14:textId="77777777" w:rsidR="00BE31EB" w:rsidRPr="00BE31EB" w:rsidRDefault="00BE31EB" w:rsidP="006C7A99">
      <w:pPr>
        <w:spacing w:line="240" w:lineRule="auto"/>
        <w:jc w:val="both"/>
        <w:rPr>
          <w:rFonts w:cstheme="minorHAnsi"/>
        </w:rPr>
      </w:pPr>
    </w:p>
    <w:p w14:paraId="2FDE3933" w14:textId="2D4EA6FB" w:rsidR="00BE31EB" w:rsidRPr="00BE31EB" w:rsidRDefault="00BE31EB" w:rsidP="006C7A99">
      <w:pPr>
        <w:spacing w:line="240" w:lineRule="auto"/>
        <w:jc w:val="both"/>
        <w:rPr>
          <w:rFonts w:cstheme="minorHAnsi"/>
        </w:rPr>
      </w:pPr>
      <w:r w:rsidRPr="00BE31EB">
        <w:rPr>
          <w:rFonts w:cstheme="minorHAnsi"/>
        </w:rPr>
        <w:t>12489,6 to 3594,9</w:t>
      </w:r>
      <w:r w:rsidR="006C7A99" w:rsidRPr="0078502D">
        <w:rPr>
          <w:rFonts w:cstheme="minorHAnsi"/>
        </w:rPr>
        <w:t xml:space="preserve"> </w:t>
      </w:r>
      <w:r w:rsidRPr="00BE31EB">
        <w:rPr>
          <w:rFonts w:cstheme="minorHAnsi"/>
        </w:rPr>
        <w:t xml:space="preserve">: Valeurs d'absorbances mesurés pour chaque entre 12489,6 et 3594,9 cm-1. </w:t>
      </w:r>
    </w:p>
    <w:p w14:paraId="44F8FC65" w14:textId="631AF083" w:rsidR="00BE31EB" w:rsidRDefault="00BE31EB" w:rsidP="006C7A99">
      <w:pPr>
        <w:spacing w:line="240" w:lineRule="auto"/>
        <w:jc w:val="both"/>
        <w:rPr>
          <w:rFonts w:cstheme="minorHAnsi"/>
        </w:rPr>
      </w:pPr>
    </w:p>
    <w:p w14:paraId="36C6049E" w14:textId="00C9304B" w:rsidR="00454017" w:rsidRDefault="00454017" w:rsidP="006C7A99">
      <w:pPr>
        <w:spacing w:line="240" w:lineRule="auto"/>
        <w:jc w:val="both"/>
        <w:rPr>
          <w:rFonts w:cstheme="minorHAnsi"/>
        </w:rPr>
      </w:pPr>
      <w:r>
        <w:rPr>
          <w:rFonts w:cstheme="minorHAnsi"/>
        </w:rPr>
        <w:t xml:space="preserve">Démarche </w:t>
      </w:r>
      <w:proofErr w:type="spellStart"/>
      <w:r>
        <w:rPr>
          <w:rFonts w:cstheme="minorHAnsi"/>
        </w:rPr>
        <w:t>spline</w:t>
      </w:r>
      <w:proofErr w:type="spellEnd"/>
      <w:r>
        <w:rPr>
          <w:rFonts w:cstheme="minorHAnsi"/>
        </w:rPr>
        <w:t> :</w:t>
      </w:r>
    </w:p>
    <w:sectPr w:rsidR="00454017" w:rsidSect="0008738E">
      <w:type w:val="continuous"/>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47E0A"/>
    <w:multiLevelType w:val="hybridMultilevel"/>
    <w:tmpl w:val="03DC6A4C"/>
    <w:lvl w:ilvl="0" w:tplc="369C4C5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78866E53"/>
    <w:multiLevelType w:val="hybridMultilevel"/>
    <w:tmpl w:val="D376EF92"/>
    <w:lvl w:ilvl="0" w:tplc="835E560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442846978">
    <w:abstractNumId w:val="1"/>
  </w:num>
  <w:num w:numId="2" w16cid:durableId="15620135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31EB"/>
    <w:rsid w:val="00005F3B"/>
    <w:rsid w:val="0008738E"/>
    <w:rsid w:val="0016582A"/>
    <w:rsid w:val="001C206C"/>
    <w:rsid w:val="0023115F"/>
    <w:rsid w:val="002D3AD4"/>
    <w:rsid w:val="003279EC"/>
    <w:rsid w:val="003824C6"/>
    <w:rsid w:val="00393E6B"/>
    <w:rsid w:val="004248E6"/>
    <w:rsid w:val="00454017"/>
    <w:rsid w:val="006C7A99"/>
    <w:rsid w:val="006F33D0"/>
    <w:rsid w:val="00703B99"/>
    <w:rsid w:val="0078502D"/>
    <w:rsid w:val="008134AC"/>
    <w:rsid w:val="009763D7"/>
    <w:rsid w:val="009A6A8A"/>
    <w:rsid w:val="00B3569F"/>
    <w:rsid w:val="00BD639F"/>
    <w:rsid w:val="00BE31EB"/>
    <w:rsid w:val="00D2786E"/>
    <w:rsid w:val="00E21C18"/>
    <w:rsid w:val="00F26227"/>
    <w:rsid w:val="00F43FA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513A0"/>
  <w15:chartTrackingRefBased/>
  <w15:docId w15:val="{AE3B0C02-5601-4CF7-960B-70208B0A5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E31E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BE31E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BE31E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BE31E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BE31E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BE31E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E31E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E31E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E31E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E31EB"/>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BE31E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BE31E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BE31E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BE31E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BE31E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E31E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E31E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E31EB"/>
    <w:rPr>
      <w:rFonts w:eastAsiaTheme="majorEastAsia" w:cstheme="majorBidi"/>
      <w:color w:val="272727" w:themeColor="text1" w:themeTint="D8"/>
    </w:rPr>
  </w:style>
  <w:style w:type="paragraph" w:styleId="Titre">
    <w:name w:val="Title"/>
    <w:basedOn w:val="Normal"/>
    <w:next w:val="Normal"/>
    <w:link w:val="TitreCar"/>
    <w:uiPriority w:val="10"/>
    <w:qFormat/>
    <w:rsid w:val="00BE31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E31E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E31E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E31E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E31EB"/>
    <w:pPr>
      <w:spacing w:before="160"/>
      <w:jc w:val="center"/>
    </w:pPr>
    <w:rPr>
      <w:i/>
      <w:iCs/>
      <w:color w:val="404040" w:themeColor="text1" w:themeTint="BF"/>
    </w:rPr>
  </w:style>
  <w:style w:type="character" w:customStyle="1" w:styleId="CitationCar">
    <w:name w:val="Citation Car"/>
    <w:basedOn w:val="Policepardfaut"/>
    <w:link w:val="Citation"/>
    <w:uiPriority w:val="29"/>
    <w:rsid w:val="00BE31EB"/>
    <w:rPr>
      <w:i/>
      <w:iCs/>
      <w:color w:val="404040" w:themeColor="text1" w:themeTint="BF"/>
    </w:rPr>
  </w:style>
  <w:style w:type="paragraph" w:styleId="Paragraphedeliste">
    <w:name w:val="List Paragraph"/>
    <w:basedOn w:val="Normal"/>
    <w:uiPriority w:val="34"/>
    <w:qFormat/>
    <w:rsid w:val="00BE31EB"/>
    <w:pPr>
      <w:ind w:left="720"/>
      <w:contextualSpacing/>
    </w:pPr>
  </w:style>
  <w:style w:type="character" w:styleId="Accentuationintense">
    <w:name w:val="Intense Emphasis"/>
    <w:basedOn w:val="Policepardfaut"/>
    <w:uiPriority w:val="21"/>
    <w:qFormat/>
    <w:rsid w:val="00BE31EB"/>
    <w:rPr>
      <w:i/>
      <w:iCs/>
      <w:color w:val="2F5496" w:themeColor="accent1" w:themeShade="BF"/>
    </w:rPr>
  </w:style>
  <w:style w:type="paragraph" w:styleId="Citationintense">
    <w:name w:val="Intense Quote"/>
    <w:basedOn w:val="Normal"/>
    <w:next w:val="Normal"/>
    <w:link w:val="CitationintenseCar"/>
    <w:uiPriority w:val="30"/>
    <w:qFormat/>
    <w:rsid w:val="00BE31E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BE31EB"/>
    <w:rPr>
      <w:i/>
      <w:iCs/>
      <w:color w:val="2F5496" w:themeColor="accent1" w:themeShade="BF"/>
    </w:rPr>
  </w:style>
  <w:style w:type="character" w:styleId="Rfrenceintense">
    <w:name w:val="Intense Reference"/>
    <w:basedOn w:val="Policepardfaut"/>
    <w:uiPriority w:val="32"/>
    <w:qFormat/>
    <w:rsid w:val="00BE31E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197</TotalTime>
  <Pages>1</Pages>
  <Words>1187</Words>
  <Characters>6531</Characters>
  <Application>Microsoft Office Word</Application>
  <DocSecurity>0</DocSecurity>
  <Lines>54</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Thibault Roattino</dc:creator>
  <cp:keywords/>
  <dc:description/>
  <cp:lastModifiedBy>Augustin ANTIER</cp:lastModifiedBy>
  <cp:revision>6</cp:revision>
  <dcterms:created xsi:type="dcterms:W3CDTF">2025-11-26T09:30:00Z</dcterms:created>
  <dcterms:modified xsi:type="dcterms:W3CDTF">2025-12-01T14:59:00Z</dcterms:modified>
</cp:coreProperties>
</file>