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CD7F25">
      <w:pPr>
        <w:pStyle w:val="Titre1"/>
        <w:jc w:val="both"/>
      </w:pPr>
      <w:r w:rsidRPr="0008738E">
        <w:t>Utilisation de données spectrale pour la prédiction de traits d’intérêt du colz</w:t>
      </w:r>
      <w:r>
        <w:t>a</w:t>
      </w:r>
    </w:p>
    <w:p w14:paraId="41807AB5" w14:textId="77777777" w:rsidR="0008738E" w:rsidRDefault="0008738E" w:rsidP="00CD7F25">
      <w:pPr>
        <w:jc w:val="both"/>
      </w:pPr>
    </w:p>
    <w:p w14:paraId="7B5EF261" w14:textId="7FAF9449" w:rsidR="0008738E" w:rsidRPr="0008738E" w:rsidRDefault="0008738E" w:rsidP="00CD7F25">
      <w:pPr>
        <w:jc w:val="both"/>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CD7F25">
      <w:pPr>
        <w:pStyle w:val="Titre2"/>
        <w:jc w:val="both"/>
      </w:pPr>
      <w:r>
        <w:t>Contexte</w:t>
      </w:r>
    </w:p>
    <w:p w14:paraId="50DF4DC7" w14:textId="1DF3987B" w:rsidR="00E21C18" w:rsidRDefault="0008738E" w:rsidP="00CD7F25">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CD7F25">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CD7F25">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CD7F25">
      <w:pPr>
        <w:pStyle w:val="Titre2"/>
        <w:jc w:val="both"/>
      </w:pPr>
      <w:r>
        <w:t xml:space="preserve">Jeu de donnée </w:t>
      </w:r>
    </w:p>
    <w:p w14:paraId="51504A06" w14:textId="52A00C90" w:rsidR="00E57AB5" w:rsidRPr="00E57AB5" w:rsidRDefault="00E57AB5" w:rsidP="00CD7F25">
      <w:pPr>
        <w:jc w:val="both"/>
      </w:pPr>
      <w:r>
        <w:t xml:space="preserve">Le jeu de données contient plusieurs tableaux. Le premier décrit les phénotypes des différents génotypes (ou variété). Dans ce tableau, chaque ligne est un génotype. Les colonnes sont différents phénotypes. Le second tableau </w:t>
      </w:r>
      <w:r w:rsidR="00BD11C3">
        <w:t xml:space="preserve">regroupe les spectres NIRS pour les différents génotypes. Les lignes correspondent aux génotypes et les colonnes aux valeurs d’absorbances pour les différentes longueurs d’ondes. </w:t>
      </w:r>
    </w:p>
    <w:p w14:paraId="3D07F54A" w14:textId="6F25EA8E" w:rsidR="0094774A" w:rsidRDefault="0094774A" w:rsidP="00CD7F25">
      <w:pPr>
        <w:pStyle w:val="Titre3"/>
        <w:jc w:val="both"/>
      </w:pPr>
      <w:r>
        <w:t>Génotypes</w:t>
      </w:r>
    </w:p>
    <w:p w14:paraId="650323E3" w14:textId="49355498" w:rsidR="0094774A" w:rsidRPr="0094774A" w:rsidRDefault="0094774A" w:rsidP="00CD7F25">
      <w:pPr>
        <w:jc w:val="both"/>
      </w:pPr>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w:t>
      </w:r>
      <w:r>
        <w:lastRenderedPageBreak/>
        <w:t xml:space="preserve">oléagineux de printemps, et le type </w:t>
      </w:r>
      <w:proofErr w:type="spellStart"/>
      <w:r w:rsidRPr="0094774A">
        <w:rPr>
          <w:b/>
          <w:bCs/>
        </w:rPr>
        <w:t>Swede</w:t>
      </w:r>
      <w:proofErr w:type="spellEnd"/>
      <w:r>
        <w:t xml:space="preserve"> comprend 2 génotypes de rutabaga. Les rutabagas ont été introduits dans l’expérimentation afin d’augmenter la diversité génétique dans l’expérimentation. En effet, tout comme le colza, le rutabaga fait partie de l’espèce </w:t>
      </w:r>
      <w:proofErr w:type="spellStart"/>
      <w:r>
        <w:t>Brassica</w:t>
      </w:r>
      <w:proofErr w:type="spellEnd"/>
      <w:r>
        <w:t>, et il est intéressant d’étudier son phénotype puisqu’il partage une grande part de son génotype avec le colza.</w:t>
      </w:r>
    </w:p>
    <w:p w14:paraId="7247ECE7" w14:textId="100A230A" w:rsidR="0094774A" w:rsidRPr="0094774A" w:rsidRDefault="00BD639F" w:rsidP="00CD7F25">
      <w:pPr>
        <w:pStyle w:val="Titre3"/>
        <w:jc w:val="both"/>
      </w:pPr>
      <w:r>
        <w:t>Données NIRS</w:t>
      </w:r>
    </w:p>
    <w:p w14:paraId="2D3AD080" w14:textId="6477B1B4" w:rsidR="00F26227" w:rsidRDefault="00BD639F" w:rsidP="00CD7F25">
      <w:pPr>
        <w:pStyle w:val="Titre4"/>
        <w:jc w:val="both"/>
      </w:pPr>
      <w:r>
        <w:t>Création des expérimentations</w:t>
      </w:r>
    </w:p>
    <w:p w14:paraId="48D4AA95" w14:textId="449D9A1F" w:rsidR="0073724E" w:rsidRDefault="0073724E" w:rsidP="00CD7F25">
      <w:pPr>
        <w:jc w:val="both"/>
      </w:pPr>
      <w:r>
        <w:t xml:space="preserve">Les spectres ont été obtenus de trois manières différentes : </w:t>
      </w:r>
    </w:p>
    <w:p w14:paraId="2AB5989C" w14:textId="4FE2C093" w:rsidR="0073724E" w:rsidRDefault="0073724E" w:rsidP="00CD7F25">
      <w:pPr>
        <w:pStyle w:val="Paragraphedeliste"/>
        <w:numPr>
          <w:ilvl w:val="0"/>
          <w:numId w:val="6"/>
        </w:numPr>
        <w:jc w:val="both"/>
      </w:pPr>
      <w:r>
        <w:t>Soit à partir de graines séchées et broyées</w:t>
      </w:r>
    </w:p>
    <w:p w14:paraId="5EC01D3E" w14:textId="08F8BD76" w:rsidR="0073724E" w:rsidRPr="0073724E" w:rsidRDefault="0073724E" w:rsidP="00CD7F25">
      <w:pPr>
        <w:pStyle w:val="Paragraphedeliste"/>
        <w:numPr>
          <w:ilvl w:val="0"/>
          <w:numId w:val="6"/>
        </w:numPr>
        <w:jc w:val="both"/>
      </w:pPr>
      <w:r>
        <w:t xml:space="preserve">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w:t>
      </w:r>
      <w:r w:rsidRPr="00CF3BCB">
        <w:rPr>
          <w:b/>
          <w:bCs/>
        </w:rPr>
        <w:t>SOSR</w:t>
      </w:r>
      <w:r>
        <w:t xml:space="preserve"> et </w:t>
      </w:r>
      <w:proofErr w:type="spellStart"/>
      <w:r w:rsidRPr="00CF3BCB">
        <w:rPr>
          <w:b/>
          <w:bCs/>
        </w:rPr>
        <w:t>Swede</w:t>
      </w:r>
      <w:proofErr w:type="spellEnd"/>
      <w:r>
        <w:t xml:space="preserve"> qui ont été planté en mars. Pour éviter un effet de l’orientation du tunnel, il y a eu deux répétitions de cette expérimentation en inversant les bacs de place. Les génotypes </w:t>
      </w:r>
      <w:r w:rsidRPr="00CF3BCB">
        <w:rPr>
          <w:b/>
          <w:bCs/>
        </w:rPr>
        <w:t>WOSR</w:t>
      </w:r>
      <w:r>
        <w:t xml:space="preserve"> et </w:t>
      </w:r>
      <w:r w:rsidRPr="00CF3BCB">
        <w:rPr>
          <w:b/>
          <w:bCs/>
        </w:rPr>
        <w:t>WFR</w:t>
      </w:r>
      <w:r>
        <w:t xml:space="preserve">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w:t>
      </w:r>
      <w:r w:rsidR="00CF3BCB">
        <w:t>s</w:t>
      </w:r>
      <w:r w:rsidR="009D5EAD">
        <w:t xml:space="preserve"> et réduite en poudre pour une mesure de l’absorbance en spectre proche infrarouge par spectrométrie</w:t>
      </w:r>
    </w:p>
    <w:p w14:paraId="33A84506" w14:textId="4268873E" w:rsidR="00BD639F" w:rsidRDefault="00BD639F" w:rsidP="00CD7F25">
      <w:pPr>
        <w:pStyle w:val="Titre4"/>
        <w:jc w:val="both"/>
      </w:pPr>
      <w:r>
        <w:t>Méthode de prétraitement utilisés</w:t>
      </w:r>
    </w:p>
    <w:p w14:paraId="0DFED7BA" w14:textId="52F1A2AF" w:rsidR="00830E20" w:rsidRDefault="00830E20" w:rsidP="00CD7F25">
      <w:pPr>
        <w:jc w:val="both"/>
      </w:pPr>
      <w:r>
        <w:t>Les données de spectres ont eu 3 méthodes de prétraitement différentes.</w:t>
      </w:r>
    </w:p>
    <w:p w14:paraId="28BA7E70" w14:textId="13987139" w:rsidR="00830E20" w:rsidRPr="00E52675" w:rsidRDefault="00830E20" w:rsidP="00CD7F25">
      <w:pPr>
        <w:jc w:val="both"/>
        <w:rPr>
          <w:b/>
          <w:bCs/>
          <w:u w:val="single"/>
        </w:rPr>
      </w:pPr>
      <w:r w:rsidRPr="00E52675">
        <w:rPr>
          <w:b/>
          <w:bCs/>
          <w:u w:val="single"/>
        </w:rPr>
        <w:t>Correction 1 :</w:t>
      </w:r>
    </w:p>
    <w:p w14:paraId="57848295" w14:textId="79BD1005" w:rsidR="00830E20" w:rsidRDefault="00830E20" w:rsidP="00CD7F25">
      <w:pPr>
        <w:jc w:val="both"/>
      </w:pPr>
      <w:r>
        <w:tab/>
      </w:r>
      <w:r w:rsidR="00C7294D">
        <w:t>La première correction consiste en l</w:t>
      </w:r>
      <w:r>
        <w:t>’o</w:t>
      </w:r>
      <w:r w:rsidRPr="00830E20">
        <w:t>b</w:t>
      </w:r>
      <w:r w:rsidRPr="00E52675">
        <w:t>te</w:t>
      </w:r>
      <w:r w:rsidRPr="00830E20">
        <w:t>n</w:t>
      </w:r>
      <w:r>
        <w:t xml:space="preserve">tion d’un spectre moyen par génotype, pour les feuilles sèches et les graines. Ce spectre est calculé comme la moyenne arithmétique des spectres </w:t>
      </w:r>
      <w:r w:rsidR="00C7294D">
        <w:t xml:space="preserve">des réplicas </w:t>
      </w:r>
      <w:r>
        <w:t>pour un génotype (jeu de donnée MEAN). Les modèles seront nommés HBLUP</w:t>
      </w:r>
      <w:r>
        <w:rPr>
          <w:vertAlign w:val="subscript"/>
        </w:rPr>
        <w:t>leaf1</w:t>
      </w:r>
      <w:r>
        <w:t xml:space="preserve"> pour les feuilles et HBLUP</w:t>
      </w:r>
      <w:r>
        <w:softHyphen/>
      </w:r>
      <w:r>
        <w:softHyphen/>
      </w:r>
      <w:r>
        <w:softHyphen/>
      </w:r>
      <w:r w:rsidR="00E52675">
        <w:rPr>
          <w:vertAlign w:val="subscript"/>
        </w:rPr>
        <w:t>seed1</w:t>
      </w:r>
      <w:r w:rsidR="00E52675">
        <w:t xml:space="preserve"> pour les graines</w:t>
      </w:r>
    </w:p>
    <w:p w14:paraId="52F5EFBC" w14:textId="7D543922" w:rsidR="00E52675" w:rsidRPr="00E52675" w:rsidRDefault="00E52675" w:rsidP="00CD7F25">
      <w:pPr>
        <w:jc w:val="both"/>
        <w:rPr>
          <w:b/>
          <w:bCs/>
          <w:u w:val="single"/>
        </w:rPr>
      </w:pPr>
      <w:r w:rsidRPr="00E52675">
        <w:rPr>
          <w:b/>
          <w:bCs/>
          <w:u w:val="single"/>
        </w:rPr>
        <w:t>Correction 2 :</w:t>
      </w:r>
    </w:p>
    <w:p w14:paraId="59291470" w14:textId="33E91C2A" w:rsidR="00E52675" w:rsidRDefault="00E52675" w:rsidP="00CD7F25">
      <w:pPr>
        <w:jc w:val="both"/>
      </w:pPr>
      <w:r>
        <w:tab/>
      </w:r>
      <w:r w:rsidR="00C7294D">
        <w:t>La seconde correction est un calcul</w:t>
      </w:r>
      <w:r>
        <w:t xml:space="preserve"> de moyennes ajustées (BLUE) pour chaque longueur d’onde et chaque génotype pour corriger les effets environnementaux </w:t>
      </w:r>
      <w:r w:rsidR="00C7294D">
        <w:t xml:space="preserve">potentiellement </w:t>
      </w:r>
      <w:r>
        <w:t xml:space="preserve">subis par les plantes pendant l’acquisition des données. </w:t>
      </w:r>
      <w:r w:rsidR="00C7294D">
        <w:t xml:space="preserve">Ces effets sont un effet bloc car pour chaque bloc on peut observer des différences de température, d’expositions, … et un effet lié à la méthode d’acquisition. </w:t>
      </w:r>
      <w:r>
        <w:t xml:space="preserve">Cette correction n’est pas appliquée sur les graines qui ont subis les mêmes conditions d’obtention. Le modèle utilisé pour calculer les valeurs BLUE sont obtenus avec le modèle suivant : </w:t>
      </w:r>
    </w:p>
    <w:p w14:paraId="3AAEA707" w14:textId="27FF2EFC" w:rsidR="00E52675" w:rsidRDefault="00E52675" w:rsidP="00CD7F25">
      <w:pPr>
        <w:jc w:val="both"/>
        <w:rPr>
          <w:rFonts w:ascii="Cambria Math" w:hAnsi="Cambria Math" w:cs="Cambria Math"/>
          <w:sz w:val="22"/>
          <w:vertAlign w:val="subscript"/>
        </w:rPr>
      </w:pPr>
      <w:proofErr w:type="gramStart"/>
      <w:r w:rsidRPr="00E52675">
        <w:rPr>
          <w:rFonts w:ascii="Cambria Math" w:hAnsi="Cambria Math" w:cs="Cambria Math"/>
          <w:sz w:val="22"/>
        </w:rPr>
        <w:t>𝐴</w:t>
      </w:r>
      <w:proofErr w:type="gramEnd"/>
      <w:r w:rsidRPr="00E52675">
        <w:rPr>
          <w:sz w:val="22"/>
        </w:rPr>
        <w:t xml:space="preserve"> = </w:t>
      </w:r>
      <w:r w:rsidRPr="00E52675">
        <w:rPr>
          <w:rFonts w:ascii="Cambria Math" w:hAnsi="Cambria Math" w:cs="Cambria Math"/>
          <w:sz w:val="22"/>
        </w:rPr>
        <w:t>𝜇</w:t>
      </w:r>
      <w:r w:rsidR="00C7294D">
        <w:rPr>
          <w:rFonts w:ascii="Cambria Math" w:hAnsi="Cambria Math" w:cs="Cambria Math"/>
          <w:sz w:val="22"/>
        </w:rPr>
        <w:t xml:space="preserve"> </w:t>
      </w:r>
      <w:r w:rsidRPr="00E52675">
        <w:rPr>
          <w:sz w:val="22"/>
        </w:rPr>
        <w:t>+</w:t>
      </w:r>
      <w:r w:rsidR="00C7294D">
        <w:rPr>
          <w:sz w:val="22"/>
        </w:rPr>
        <w:t xml:space="preserve"> </w:t>
      </w:r>
      <w:r w:rsidRPr="00E52675">
        <w:rPr>
          <w:rFonts w:ascii="Cambria Math" w:hAnsi="Cambria Math" w:cs="Cambria Math"/>
          <w:sz w:val="22"/>
        </w:rPr>
        <w:t>𝑏𝑙𝑜𝑐</w:t>
      </w:r>
      <w:r w:rsidRPr="00E52675">
        <w:rPr>
          <w:rFonts w:ascii="Cambria Math" w:hAnsi="Cambria Math" w:cs="Cambria Math"/>
          <w:sz w:val="22"/>
          <w:vertAlign w:val="subscript"/>
        </w:rPr>
        <w:t>j</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𝑇</w:t>
      </w:r>
      <w:r w:rsidRPr="00E52675">
        <w:rPr>
          <w:sz w:val="22"/>
        </w:rPr>
        <w:t>é</w:t>
      </w:r>
      <w:r w:rsidRPr="00E52675">
        <w:rPr>
          <w:rFonts w:ascii="Cambria Math" w:hAnsi="Cambria Math" w:cs="Cambria Math"/>
          <w:sz w:val="22"/>
        </w:rPr>
        <w:t>𝑚𝑜𝑖𝑛</w:t>
      </w:r>
      <w:r w:rsidRPr="00E52675">
        <w:rPr>
          <w:rFonts w:ascii="Cambria Math" w:hAnsi="Cambria Math" w:cs="Cambria Math"/>
          <w:sz w:val="22"/>
          <w:vertAlign w:val="subscript"/>
        </w:rPr>
        <w:t>l</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𝐺</w:t>
      </w:r>
      <w:r w:rsidRPr="00E52675">
        <w:rPr>
          <w:sz w:val="22"/>
        </w:rPr>
        <w:t>é</w:t>
      </w:r>
      <w:r w:rsidRPr="00E52675">
        <w:rPr>
          <w:rFonts w:ascii="Cambria Math" w:hAnsi="Cambria Math" w:cs="Cambria Math"/>
          <w:sz w:val="22"/>
        </w:rPr>
        <w:t>𝑛𝑜𝑡𝑦𝑝𝑒</w:t>
      </w:r>
      <w:r w:rsidRPr="00E52675">
        <w:rPr>
          <w:rFonts w:ascii="Cambria Math" w:hAnsi="Cambria Math" w:cs="Cambria Math"/>
          <w:sz w:val="22"/>
          <w:vertAlign w:val="subscript"/>
        </w:rPr>
        <w:t>i(j)</w:t>
      </w:r>
      <w:r w:rsidRPr="00E52675">
        <w:rPr>
          <w:sz w:val="22"/>
        </w:rPr>
        <w:t xml:space="preserve"> +</w:t>
      </w:r>
      <w:r w:rsidR="00C7294D">
        <w:rPr>
          <w:sz w:val="22"/>
        </w:rPr>
        <w:t xml:space="preserve"> </w:t>
      </w:r>
      <w:r w:rsidRPr="00E52675">
        <w:rPr>
          <w:rFonts w:ascii="Cambria Math" w:hAnsi="Cambria Math" w:cs="Cambria Math"/>
          <w:sz w:val="22"/>
        </w:rPr>
        <w:t>𝑚</w:t>
      </w:r>
      <w:r w:rsidRPr="00E52675">
        <w:rPr>
          <w:sz w:val="22"/>
        </w:rPr>
        <w:t>é</w:t>
      </w:r>
      <w:r w:rsidRPr="00E52675">
        <w:rPr>
          <w:rFonts w:ascii="Cambria Math" w:hAnsi="Cambria Math" w:cs="Cambria Math"/>
          <w:sz w:val="22"/>
        </w:rPr>
        <w:t>𝑡ℎ𝑜𝑑𝑒</w:t>
      </w:r>
      <w:r w:rsidRPr="00E52675">
        <w:rPr>
          <w:sz w:val="22"/>
        </w:rPr>
        <w:t>_</w:t>
      </w:r>
      <w:r w:rsidRPr="00E52675">
        <w:rPr>
          <w:rFonts w:ascii="Cambria Math" w:hAnsi="Cambria Math" w:cs="Cambria Math"/>
          <w:sz w:val="22"/>
        </w:rPr>
        <w:t>𝑎𝑐𝑞𝑢𝑖𝑠𝑖𝑡𝑖𝑜𝑛</w:t>
      </w:r>
      <w:r w:rsidRPr="00E52675">
        <w:rPr>
          <w:rFonts w:ascii="Cambria Math" w:hAnsi="Cambria Math" w:cs="Cambria Math"/>
          <w:sz w:val="22"/>
          <w:vertAlign w:val="subscript"/>
        </w:rPr>
        <w:t>k</w:t>
      </w:r>
      <w:r w:rsidRPr="00E52675">
        <w:rPr>
          <w:sz w:val="22"/>
        </w:rPr>
        <w:t xml:space="preserve"> +</w:t>
      </w:r>
      <w:r w:rsidR="00C7294D">
        <w:rPr>
          <w:sz w:val="22"/>
        </w:rPr>
        <w:t xml:space="preserve"> </w:t>
      </w:r>
      <w:r w:rsidRPr="00E52675">
        <w:rPr>
          <w:rFonts w:ascii="Cambria Math" w:hAnsi="Cambria Math" w:cs="Cambria Math"/>
          <w:sz w:val="22"/>
        </w:rPr>
        <w:t>𝜀</w:t>
      </w:r>
      <w:proofErr w:type="spellStart"/>
      <w:r w:rsidRPr="00E52675">
        <w:rPr>
          <w:rFonts w:ascii="Cambria Math" w:hAnsi="Cambria Math" w:cs="Cambria Math"/>
          <w:sz w:val="22"/>
          <w:vertAlign w:val="subscript"/>
        </w:rPr>
        <w:t>ijk</w:t>
      </w:r>
      <w:proofErr w:type="spellEnd"/>
    </w:p>
    <w:p w14:paraId="40FCBB91" w14:textId="65FA9F6C" w:rsidR="00E52675" w:rsidRDefault="00E52675" w:rsidP="00CD7F25">
      <w:pPr>
        <w:jc w:val="both"/>
        <w:rPr>
          <w:rFonts w:cstheme="minorHAnsi"/>
        </w:rPr>
      </w:pPr>
      <w:r>
        <w:rPr>
          <w:rFonts w:ascii="Cambria Math" w:hAnsi="Cambria Math" w:cs="Cambria Math"/>
          <w:vertAlign w:val="subscript"/>
        </w:rPr>
        <w:lastRenderedPageBreak/>
        <w:tab/>
      </w:r>
      <w:r>
        <w:rPr>
          <w:rFonts w:cstheme="minorHAnsi"/>
        </w:rPr>
        <w:t>Le modèle est nommé HBLUP</w:t>
      </w:r>
      <w:r>
        <w:rPr>
          <w:rFonts w:cstheme="minorHAnsi"/>
          <w:vertAlign w:val="subscript"/>
        </w:rPr>
        <w:t>leaf2</w:t>
      </w:r>
    </w:p>
    <w:p w14:paraId="00AB2918" w14:textId="2AA4CEB3" w:rsidR="00E52675" w:rsidRDefault="00E52675" w:rsidP="00CD7F25">
      <w:pPr>
        <w:jc w:val="both"/>
        <w:rPr>
          <w:rFonts w:cstheme="minorHAnsi"/>
          <w:b/>
          <w:bCs/>
          <w:u w:val="single"/>
        </w:rPr>
      </w:pPr>
      <w:r w:rsidRPr="00E52675">
        <w:rPr>
          <w:rFonts w:cstheme="minorHAnsi"/>
          <w:b/>
          <w:bCs/>
          <w:u w:val="single"/>
        </w:rPr>
        <w:t>Correction 3 :</w:t>
      </w:r>
    </w:p>
    <w:p w14:paraId="349B7BD5" w14:textId="6BF0A902" w:rsidR="00E52675" w:rsidRDefault="00E52675" w:rsidP="00CD7F25">
      <w:pPr>
        <w:jc w:val="both"/>
        <w:rPr>
          <w:rFonts w:cstheme="minorHAnsi"/>
        </w:rPr>
      </w:pPr>
      <w:r>
        <w:rPr>
          <w:rFonts w:cstheme="minorHAnsi"/>
        </w:rPr>
        <w:tab/>
        <w:t>L’obtention de valeur génétiques (BLUP) pour chaque longueur d’onde et chaque génotype. (</w:t>
      </w:r>
      <w:proofErr w:type="spellStart"/>
      <w:r>
        <w:rPr>
          <w:rFonts w:cstheme="minorHAnsi"/>
        </w:rPr>
        <w:t>cf</w:t>
      </w:r>
      <w:proofErr w:type="spellEnd"/>
      <w:r>
        <w:rPr>
          <w:rFonts w:cstheme="minorHAnsi"/>
        </w:rPr>
        <w:t xml:space="preserve"> thèse, page 80). Les modèles sont nommés respectivement HBLUP</w:t>
      </w:r>
      <w:r>
        <w:rPr>
          <w:rFonts w:cstheme="minorHAnsi"/>
          <w:vertAlign w:val="subscript"/>
        </w:rPr>
        <w:t>seed3</w:t>
      </w:r>
      <w:r>
        <w:rPr>
          <w:rFonts w:cstheme="minorHAnsi"/>
        </w:rPr>
        <w:t xml:space="preserve"> et HBLUP</w:t>
      </w:r>
      <w:r>
        <w:rPr>
          <w:rFonts w:cstheme="minorHAnsi"/>
          <w:vertAlign w:val="subscript"/>
        </w:rPr>
        <w:t>leaf3</w:t>
      </w:r>
    </w:p>
    <w:p w14:paraId="2F875FBB" w14:textId="77777777" w:rsidR="00467AFA" w:rsidRPr="00E52675" w:rsidRDefault="00467AFA" w:rsidP="00CD7F25">
      <w:pPr>
        <w:jc w:val="both"/>
        <w:rPr>
          <w:rFonts w:cstheme="minorHAnsi"/>
        </w:rPr>
      </w:pPr>
    </w:p>
    <w:p w14:paraId="2C004952" w14:textId="2D8669B1" w:rsidR="00467AFA" w:rsidRPr="000E6056" w:rsidRDefault="00467AFA" w:rsidP="00CD7F25">
      <w:pPr>
        <w:jc w:val="both"/>
      </w:pPr>
      <w:r w:rsidRPr="000E6056">
        <w:rPr>
          <w:b/>
          <w:bCs/>
        </w:rPr>
        <w:t>Prétraitement possible de notre côté :</w:t>
      </w:r>
      <w:r w:rsidR="000E6056">
        <w:rPr>
          <w:b/>
          <w:bCs/>
        </w:rPr>
        <w:t xml:space="preserve"> </w:t>
      </w:r>
      <w:r w:rsidR="000E6056">
        <w:t>(à explorer)</w:t>
      </w:r>
    </w:p>
    <w:p w14:paraId="5D82187A" w14:textId="77705881" w:rsidR="00BD639F" w:rsidRDefault="00BD639F" w:rsidP="00CD7F25">
      <w:pPr>
        <w:pStyle w:val="Paragraphedeliste"/>
        <w:numPr>
          <w:ilvl w:val="0"/>
          <w:numId w:val="2"/>
        </w:numPr>
        <w:jc w:val="both"/>
      </w:pPr>
      <w:r>
        <w:t>Centrage réduction (</w:t>
      </w:r>
      <w:proofErr w:type="spellStart"/>
      <w:r>
        <w:t>snv</w:t>
      </w:r>
      <w:proofErr w:type="spellEnd"/>
      <w:r>
        <w:t> ?)</w:t>
      </w:r>
    </w:p>
    <w:p w14:paraId="6F13B217" w14:textId="310F2D9F" w:rsidR="00BD639F" w:rsidRPr="00BD639F" w:rsidRDefault="00BD639F" w:rsidP="00CD7F25">
      <w:pPr>
        <w:pStyle w:val="Paragraphedeliste"/>
        <w:numPr>
          <w:ilvl w:val="0"/>
          <w:numId w:val="2"/>
        </w:numPr>
        <w:jc w:val="both"/>
      </w:pPr>
      <w:r>
        <w:t xml:space="preserve">Lissage de </w:t>
      </w:r>
      <w:proofErr w:type="spellStart"/>
      <w:r w:rsidRPr="00BD639F">
        <w:t>Savitzky</w:t>
      </w:r>
      <w:proofErr w:type="spellEnd"/>
      <w:r w:rsidRPr="00BD639F">
        <w:t>-Golay</w:t>
      </w:r>
    </w:p>
    <w:p w14:paraId="0A00AEEE" w14:textId="7C405C66" w:rsidR="00BD639F" w:rsidRDefault="00BD639F" w:rsidP="00CD7F25">
      <w:pPr>
        <w:pStyle w:val="Titre3"/>
        <w:tabs>
          <w:tab w:val="left" w:pos="1843"/>
        </w:tabs>
        <w:jc w:val="both"/>
      </w:pPr>
      <w:r>
        <w:t>Données de phénotype</w:t>
      </w:r>
    </w:p>
    <w:p w14:paraId="6A6EF001" w14:textId="66552A55" w:rsidR="000401AA" w:rsidRDefault="000401AA" w:rsidP="00CD7F25">
      <w:pPr>
        <w:pStyle w:val="Sansinterligne"/>
        <w:jc w:val="both"/>
      </w:pPr>
      <w:r>
        <w:t xml:space="preserve">Les données de </w:t>
      </w:r>
      <w:r w:rsidR="00C927A5">
        <w:t>phénotype</w:t>
      </w:r>
      <w:r>
        <w:t xml:space="preserve"> contiennent une variable qualitative "</w:t>
      </w:r>
      <w:proofErr w:type="spellStart"/>
      <w:r>
        <w:t>variety</w:t>
      </w:r>
      <w:proofErr w:type="spellEnd"/>
      <w:r>
        <w:t xml:space="preserve">" et 23 </w:t>
      </w:r>
      <w:proofErr w:type="spellStart"/>
      <w:r>
        <w:t>varibales</w:t>
      </w:r>
      <w:proofErr w:type="spellEnd"/>
      <w:r>
        <w:t xml:space="preserve"> quantitatives :</w:t>
      </w:r>
    </w:p>
    <w:p w14:paraId="60113F6F" w14:textId="77777777" w:rsidR="00CB2948" w:rsidRDefault="00CB2948" w:rsidP="00CD7F25">
      <w:pPr>
        <w:pStyle w:val="Sansinterligne"/>
        <w:jc w:val="both"/>
      </w:pPr>
    </w:p>
    <w:p w14:paraId="00809173" w14:textId="12094F96" w:rsidR="00CB2948" w:rsidRPr="008C6FED" w:rsidRDefault="00CB2948" w:rsidP="00CD7F25">
      <w:pPr>
        <w:pStyle w:val="Sansinterligne"/>
        <w:jc w:val="both"/>
        <w:rPr>
          <w:u w:val="single"/>
        </w:rPr>
      </w:pPr>
      <w:r w:rsidRPr="008C6FED">
        <w:rPr>
          <w:u w:val="single"/>
        </w:rPr>
        <w:t>Traits physiologiques</w:t>
      </w:r>
    </w:p>
    <w:p w14:paraId="3CFA4CAD" w14:textId="3F220161" w:rsidR="000401AA" w:rsidRPr="00072C8D" w:rsidRDefault="000401AA" w:rsidP="00CD7F25">
      <w:pPr>
        <w:pStyle w:val="Sansinterligne"/>
        <w:numPr>
          <w:ilvl w:val="0"/>
          <w:numId w:val="3"/>
        </w:numPr>
        <w:jc w:val="both"/>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CD7F25">
      <w:pPr>
        <w:pStyle w:val="Sansinterligne"/>
        <w:numPr>
          <w:ilvl w:val="0"/>
          <w:numId w:val="3"/>
        </w:numPr>
        <w:jc w:val="both"/>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CD7F25">
      <w:pPr>
        <w:pStyle w:val="Sansinterligne"/>
        <w:numPr>
          <w:ilvl w:val="0"/>
          <w:numId w:val="3"/>
        </w:numPr>
        <w:jc w:val="both"/>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CD7F25">
      <w:pPr>
        <w:pStyle w:val="Sansinterligne"/>
        <w:numPr>
          <w:ilvl w:val="0"/>
          <w:numId w:val="3"/>
        </w:numPr>
        <w:jc w:val="both"/>
      </w:pPr>
      <w:r w:rsidRPr="003B23E8">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CD7F25">
      <w:pPr>
        <w:pStyle w:val="Sansinterligne"/>
        <w:numPr>
          <w:ilvl w:val="0"/>
          <w:numId w:val="3"/>
        </w:numPr>
        <w:jc w:val="both"/>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CD7F25">
      <w:pPr>
        <w:pStyle w:val="Sansinterligne"/>
        <w:numPr>
          <w:ilvl w:val="0"/>
          <w:numId w:val="3"/>
        </w:numPr>
        <w:jc w:val="both"/>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D7F25">
      <w:pPr>
        <w:pStyle w:val="Sansinterligne"/>
        <w:numPr>
          <w:ilvl w:val="0"/>
          <w:numId w:val="3"/>
        </w:numPr>
        <w:jc w:val="both"/>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D7F25">
      <w:pPr>
        <w:pStyle w:val="Sansinterligne"/>
        <w:numPr>
          <w:ilvl w:val="0"/>
          <w:numId w:val="3"/>
        </w:numPr>
        <w:jc w:val="both"/>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CD7F25">
      <w:pPr>
        <w:pStyle w:val="Sansinterligne"/>
        <w:numPr>
          <w:ilvl w:val="0"/>
          <w:numId w:val="3"/>
        </w:numPr>
        <w:jc w:val="both"/>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CD7F25">
      <w:pPr>
        <w:pStyle w:val="Sansinterligne"/>
        <w:numPr>
          <w:ilvl w:val="0"/>
          <w:numId w:val="3"/>
        </w:numPr>
        <w:jc w:val="both"/>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CD7F25">
      <w:pPr>
        <w:pStyle w:val="Sansinterligne"/>
        <w:numPr>
          <w:ilvl w:val="0"/>
          <w:numId w:val="3"/>
        </w:numPr>
        <w:jc w:val="both"/>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CD7F25">
      <w:pPr>
        <w:pStyle w:val="Sansinterligne"/>
        <w:numPr>
          <w:ilvl w:val="0"/>
          <w:numId w:val="3"/>
        </w:numPr>
        <w:jc w:val="both"/>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CD7F25">
      <w:pPr>
        <w:pStyle w:val="Sansinterligne"/>
        <w:numPr>
          <w:ilvl w:val="0"/>
          <w:numId w:val="3"/>
        </w:numPr>
        <w:jc w:val="both"/>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CD7F25">
      <w:pPr>
        <w:pStyle w:val="Sansinterligne"/>
        <w:numPr>
          <w:ilvl w:val="0"/>
          <w:numId w:val="3"/>
        </w:numPr>
        <w:jc w:val="both"/>
      </w:pPr>
      <w:proofErr w:type="spellStart"/>
      <w:r w:rsidRPr="00D53191">
        <w:t>NUtE_aer</w:t>
      </w:r>
      <w:proofErr w:type="spellEnd"/>
      <w:r w:rsidR="00D53191" w:rsidRPr="00D53191">
        <w:t>: Ratio entre le</w:t>
      </w:r>
      <w:r w:rsidR="00D53191">
        <w:t>s apports et les sorties d’azote pour les parties aériennes de la plante</w:t>
      </w:r>
    </w:p>
    <w:p w14:paraId="541F7AB7" w14:textId="77777777" w:rsidR="00CB2948" w:rsidRDefault="00CB2948" w:rsidP="00CD7F25">
      <w:pPr>
        <w:pStyle w:val="Sansinterligne"/>
        <w:jc w:val="both"/>
      </w:pPr>
    </w:p>
    <w:p w14:paraId="4617AEBB" w14:textId="06A6C3E9" w:rsidR="00CB2948" w:rsidRPr="008C6FED" w:rsidRDefault="00CB2948" w:rsidP="00CD7F25">
      <w:pPr>
        <w:pStyle w:val="Sansinterligne"/>
        <w:jc w:val="both"/>
        <w:rPr>
          <w:u w:val="single"/>
        </w:rPr>
      </w:pPr>
      <w:r w:rsidRPr="008C6FED">
        <w:rPr>
          <w:u w:val="single"/>
        </w:rPr>
        <w:t>Traits développementaux </w:t>
      </w:r>
    </w:p>
    <w:p w14:paraId="63EE0716" w14:textId="7940579D" w:rsidR="003B23E8" w:rsidRPr="00D53191" w:rsidRDefault="003B23E8" w:rsidP="00CD7F25">
      <w:pPr>
        <w:pStyle w:val="Sansinterligne"/>
        <w:numPr>
          <w:ilvl w:val="0"/>
          <w:numId w:val="4"/>
        </w:numPr>
        <w:jc w:val="both"/>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CD7F25">
      <w:pPr>
        <w:pStyle w:val="Sansinterligne"/>
        <w:numPr>
          <w:ilvl w:val="0"/>
          <w:numId w:val="4"/>
        </w:numPr>
        <w:jc w:val="both"/>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Default="003B23E8" w:rsidP="00CD7F25">
      <w:pPr>
        <w:pStyle w:val="Sansinterligne"/>
        <w:numPr>
          <w:ilvl w:val="0"/>
          <w:numId w:val="4"/>
        </w:numPr>
        <w:jc w:val="both"/>
      </w:pPr>
      <w:r>
        <w:t>SCA</w:t>
      </w:r>
      <w:r w:rsidR="00072C8D">
        <w:t xml:space="preserve"> : Résultat d’analyse des correspondances simple </w:t>
      </w:r>
    </w:p>
    <w:p w14:paraId="53737AD7" w14:textId="77777777" w:rsidR="000401AA" w:rsidRPr="003B23E8" w:rsidRDefault="000401AA" w:rsidP="00CD7F25">
      <w:pPr>
        <w:pStyle w:val="Sansinterligne"/>
        <w:jc w:val="both"/>
      </w:pPr>
    </w:p>
    <w:p w14:paraId="24D5A48F" w14:textId="6EE91158" w:rsidR="002D3AD4" w:rsidRPr="0094774A" w:rsidRDefault="002D3AD4" w:rsidP="00CD7F25">
      <w:pPr>
        <w:pStyle w:val="Titre4"/>
        <w:jc w:val="both"/>
      </w:pPr>
      <w:r w:rsidRPr="0094774A">
        <w:lastRenderedPageBreak/>
        <w:t>ACP/AFM</w:t>
      </w:r>
    </w:p>
    <w:p w14:paraId="7F7F253E" w14:textId="77777777" w:rsidR="00A471D2" w:rsidRDefault="00A471D2" w:rsidP="00CD7F25">
      <w:pPr>
        <w:pStyle w:val="Sansinterligne"/>
        <w:jc w:val="both"/>
        <w:rPr>
          <w:u w:val="single"/>
        </w:rPr>
      </w:pPr>
      <w:r w:rsidRPr="00232F8E">
        <w:rPr>
          <w:u w:val="single"/>
        </w:rPr>
        <w:t>AFM</w:t>
      </w:r>
    </w:p>
    <w:p w14:paraId="4BC4AA91" w14:textId="3ADC4A33" w:rsidR="00A471D2" w:rsidRDefault="00A471D2" w:rsidP="00CD7F25">
      <w:pPr>
        <w:pStyle w:val="Sansinterligne"/>
        <w:jc w:val="both"/>
      </w:pPr>
      <w:r w:rsidRPr="00232F8E">
        <w:t xml:space="preserve">Une analyse factorielle </w:t>
      </w:r>
      <w:r>
        <w:t>a été réalisée pour</w:t>
      </w:r>
      <w:r w:rsidRPr="00232F8E">
        <w:t xml:space="preserve"> voir les ressemblances entre variétés</w:t>
      </w:r>
      <w:r w:rsidR="00BB197E">
        <w:t>/génotypes</w:t>
      </w:r>
      <w:r w:rsidRPr="00232F8E">
        <w:t xml:space="preserve"> pour l'ensemble des </w:t>
      </w:r>
      <w:r w:rsidR="00BB197E">
        <w:t>phénotypes et</w:t>
      </w:r>
      <w:r w:rsidRPr="00232F8E">
        <w:t xml:space="preserve"> de voir la relation en les variables.</w:t>
      </w:r>
      <w:r>
        <w:t xml:space="preserve"> Plus précisément, </w:t>
      </w:r>
      <w:r w:rsidRPr="00232F8E">
        <w:t>une</w:t>
      </w:r>
      <w:r>
        <w:t xml:space="preserve"> </w:t>
      </w:r>
      <w:r w:rsidRPr="00232F8E">
        <w:t xml:space="preserve">AFM </w:t>
      </w:r>
      <w:r>
        <w:t>a été réalisée en considérant les groupes de variables «</w:t>
      </w:r>
      <w:r w:rsidRPr="00232F8E">
        <w:t>Traits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52D05E02" w14:textId="77777777" w:rsidR="00A471D2" w:rsidRDefault="00A471D2" w:rsidP="00CD7F25">
      <w:pPr>
        <w:pStyle w:val="Sansinterligne"/>
        <w:jc w:val="both"/>
      </w:pPr>
    </w:p>
    <w:p w14:paraId="1EB34AB2" w14:textId="77777777" w:rsidR="00A471D2" w:rsidRDefault="00A471D2" w:rsidP="00CD7F25">
      <w:pPr>
        <w:pStyle w:val="Sansinterligne"/>
        <w:jc w:val="both"/>
      </w:pPr>
      <w:r>
        <w:t>Le plan 1,2 explique 56.6 % de la variabilité</w:t>
      </w:r>
    </w:p>
    <w:p w14:paraId="5F454B94" w14:textId="77777777" w:rsidR="00A471D2" w:rsidRDefault="00A471D2" w:rsidP="00CD7F25">
      <w:pPr>
        <w:pStyle w:val="Sansinterligne"/>
        <w:jc w:val="both"/>
      </w:pPr>
      <w:r>
        <w:t xml:space="preserve">Les variables du groupes « traits développementaux » sont corrélées aux dimensions 1 et 2 (0.84 et 0.55 respectivement). </w:t>
      </w:r>
    </w:p>
    <w:p w14:paraId="00716076" w14:textId="77777777" w:rsidR="00A471D2" w:rsidRDefault="00A471D2" w:rsidP="00CD7F25">
      <w:pPr>
        <w:pStyle w:val="Sansinterligne"/>
        <w:jc w:val="both"/>
      </w:pPr>
      <w:r>
        <w:t>Les variables du groupes « t</w:t>
      </w:r>
      <w:r w:rsidRPr="00232F8E">
        <w:t>raits physiologiques</w:t>
      </w:r>
      <w:r>
        <w:t xml:space="preserve"> » sont corrélées aux dimensions 1, 2, 3 et 4 (0.8, 0.6,  0.99 et 0.99 respectivement). </w:t>
      </w:r>
    </w:p>
    <w:p w14:paraId="188E2D5E" w14:textId="77777777" w:rsidR="00A471D2" w:rsidRDefault="00A471D2" w:rsidP="00CD7F25">
      <w:pPr>
        <w:pStyle w:val="Sansinterligne"/>
        <w:jc w:val="both"/>
      </w:pPr>
    </w:p>
    <w:p w14:paraId="216F1FDB" w14:textId="77777777" w:rsidR="00A471D2" w:rsidRDefault="00A471D2" w:rsidP="00CD7F25">
      <w:pPr>
        <w:pStyle w:val="Sansinterligne"/>
        <w:jc w:val="both"/>
      </w:pPr>
      <w:r>
        <w:t>Concernant les variables :</w:t>
      </w:r>
    </w:p>
    <w:p w14:paraId="3F25D615" w14:textId="77777777" w:rsidR="00A471D2" w:rsidRDefault="00A471D2" w:rsidP="00CD7F25">
      <w:pPr>
        <w:pStyle w:val="Sansinterligne"/>
        <w:jc w:val="both"/>
      </w:pPr>
      <w:r>
        <w:t xml:space="preserve">Sur le plan 1-2, les deux groupes de variables sont localisés sur deux bissectrices différentes sur le graphe des variables. La bissectrice du groupe « traits physiologique » permet de voir une forte corrélation entre les variables RDW, TDW, ADW, LA et anti corrélé à la variables LAR et SLA. La bissectrice du groupe « traits développementaux » montre une forte corrélation entre les variables </w:t>
      </w:r>
      <w:proofErr w:type="spellStart"/>
      <w:r>
        <w:t>Sp</w:t>
      </w:r>
      <w:proofErr w:type="spellEnd"/>
      <w:r>
        <w:t xml:space="preserve"> et AUC et anti corrélé avec SCA. </w:t>
      </w:r>
    </w:p>
    <w:p w14:paraId="2992CAB2" w14:textId="77777777" w:rsidR="00A471D2" w:rsidRDefault="00A471D2" w:rsidP="00CD7F25">
      <w:pPr>
        <w:pStyle w:val="Sansinterligne"/>
        <w:jc w:val="both"/>
      </w:pPr>
      <w:r>
        <w:t xml:space="preserve">Ce plan 1-2 représente principalement les différences entre les traits physiologiques et les traits développementaux. </w:t>
      </w:r>
    </w:p>
    <w:p w14:paraId="7F76CF66" w14:textId="77777777" w:rsidR="00A471D2" w:rsidRDefault="00A471D2" w:rsidP="00CD7F25">
      <w:pPr>
        <w:pStyle w:val="Sansinterligne"/>
        <w:jc w:val="both"/>
      </w:pPr>
      <w:r w:rsidRPr="008D7EED">
        <w:rPr>
          <w:noProof/>
        </w:rPr>
        <w:drawing>
          <wp:inline distT="0" distB="0" distL="0" distR="0" wp14:anchorId="397B79B7" wp14:editId="70E0C52C">
            <wp:extent cx="5760720" cy="4427855"/>
            <wp:effectExtent l="0" t="0" r="0" b="0"/>
            <wp:docPr id="117837221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2218" name="Image 1" descr="Une image contenant texte, diagramme, ligne, Tracé&#10;&#10;Le contenu généré par l’IA peut être incorrect."/>
                    <pic:cNvPicPr/>
                  </pic:nvPicPr>
                  <pic:blipFill>
                    <a:blip r:embed="rId5"/>
                    <a:stretch>
                      <a:fillRect/>
                    </a:stretch>
                  </pic:blipFill>
                  <pic:spPr>
                    <a:xfrm>
                      <a:off x="0" y="0"/>
                      <a:ext cx="5760720" cy="4427855"/>
                    </a:xfrm>
                    <a:prstGeom prst="rect">
                      <a:avLst/>
                    </a:prstGeom>
                  </pic:spPr>
                </pic:pic>
              </a:graphicData>
            </a:graphic>
          </wp:inline>
        </w:drawing>
      </w:r>
    </w:p>
    <w:p w14:paraId="0BFF79DD" w14:textId="77777777" w:rsidR="00A471D2" w:rsidRDefault="00A471D2" w:rsidP="00CD7F25">
      <w:pPr>
        <w:pStyle w:val="Sansinterligne"/>
        <w:jc w:val="both"/>
      </w:pPr>
    </w:p>
    <w:p w14:paraId="62F2C5DC" w14:textId="77777777" w:rsidR="00A471D2" w:rsidRDefault="00A471D2" w:rsidP="00CD7F25">
      <w:pPr>
        <w:pStyle w:val="Sansinterligne"/>
        <w:jc w:val="both"/>
      </w:pPr>
      <w:r>
        <w:lastRenderedPageBreak/>
        <w:t xml:space="preserve">Sur le plan 3-4, on observe que les variables des traits physiologiques sont dirigées à droite du cercle des corrélations. Une forte corrélation entre les variables SR, LWR et SNU d’une part et une forte corrélation entre les variables LASNQ, SLA, LAR, </w:t>
      </w:r>
      <w:proofErr w:type="spellStart"/>
      <w:r w:rsidRPr="00D53191">
        <w:t>NUtE_tot</w:t>
      </w:r>
      <w:proofErr w:type="spellEnd"/>
      <w:r>
        <w:t xml:space="preserve"> et </w:t>
      </w:r>
      <w:proofErr w:type="spellStart"/>
      <w:r w:rsidRPr="00D53191">
        <w:t>NUtE_ae</w:t>
      </w:r>
      <w:r>
        <w:t>r</w:t>
      </w:r>
      <w:proofErr w:type="spellEnd"/>
      <w:r>
        <w:t xml:space="preserve"> d’autre part. </w:t>
      </w:r>
    </w:p>
    <w:p w14:paraId="169D7A11" w14:textId="77777777" w:rsidR="00A471D2" w:rsidRDefault="00A471D2" w:rsidP="00CD7F25">
      <w:pPr>
        <w:pStyle w:val="Sansinterligne"/>
        <w:jc w:val="both"/>
      </w:pPr>
      <w:r>
        <w:t xml:space="preserve">Ce plan 3-4 représente donc des différences dans les variables des traits physiologiques. </w:t>
      </w:r>
    </w:p>
    <w:p w14:paraId="32609C4B" w14:textId="77777777" w:rsidR="00A471D2" w:rsidRDefault="00A471D2" w:rsidP="00CD7F25">
      <w:pPr>
        <w:pStyle w:val="Sansinterligne"/>
        <w:jc w:val="both"/>
      </w:pPr>
    </w:p>
    <w:p w14:paraId="3F58B2FA" w14:textId="77777777" w:rsidR="00A471D2" w:rsidRDefault="00A471D2" w:rsidP="00CD7F25">
      <w:pPr>
        <w:pStyle w:val="Sansinterligne"/>
        <w:jc w:val="both"/>
      </w:pPr>
      <w:r w:rsidRPr="008D7EED">
        <w:rPr>
          <w:noProof/>
        </w:rPr>
        <w:drawing>
          <wp:inline distT="0" distB="0" distL="0" distR="0" wp14:anchorId="053E62BB" wp14:editId="79F91002">
            <wp:extent cx="5760720" cy="4335145"/>
            <wp:effectExtent l="0" t="0" r="0" b="8255"/>
            <wp:docPr id="183367928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9288" name="Image 1" descr="Une image contenant texte, diagramme, ligne, Tracé&#10;&#10;Le contenu généré par l’IA peut être incorrect."/>
                    <pic:cNvPicPr/>
                  </pic:nvPicPr>
                  <pic:blipFill>
                    <a:blip r:embed="rId6"/>
                    <a:stretch>
                      <a:fillRect/>
                    </a:stretch>
                  </pic:blipFill>
                  <pic:spPr>
                    <a:xfrm>
                      <a:off x="0" y="0"/>
                      <a:ext cx="5760720" cy="4335145"/>
                    </a:xfrm>
                    <a:prstGeom prst="rect">
                      <a:avLst/>
                    </a:prstGeom>
                  </pic:spPr>
                </pic:pic>
              </a:graphicData>
            </a:graphic>
          </wp:inline>
        </w:drawing>
      </w:r>
    </w:p>
    <w:p w14:paraId="48D6F078" w14:textId="77777777" w:rsidR="00A471D2" w:rsidRDefault="00A471D2" w:rsidP="00CD7F25">
      <w:pPr>
        <w:pStyle w:val="Sansinterligne"/>
        <w:jc w:val="both"/>
      </w:pPr>
    </w:p>
    <w:p w14:paraId="78D408A7" w14:textId="77777777" w:rsidR="00A471D2" w:rsidRDefault="00A471D2" w:rsidP="00CD7F25">
      <w:pPr>
        <w:pStyle w:val="Sansinterligne"/>
        <w:jc w:val="both"/>
      </w:pPr>
      <w:r>
        <w:t>Concernant les individus :</w:t>
      </w:r>
    </w:p>
    <w:p w14:paraId="795CDF6F" w14:textId="77777777" w:rsidR="00A471D2" w:rsidRDefault="00A471D2" w:rsidP="00CD7F25">
      <w:pPr>
        <w:pStyle w:val="Sansinterligne"/>
        <w:jc w:val="both"/>
      </w:pPr>
      <w:r>
        <w:t xml:space="preserve">Sur le plan 1-2, les individus ayant de fortes coordonnées sur les axes correspondent à des individus prenant des valeurs sur un des groupes de variables « traits physiologique » ou « traits développementaux ».  Ces individus ont donc des traits physiologiques ou développementaux particulier. </w:t>
      </w:r>
    </w:p>
    <w:p w14:paraId="7AF48D65" w14:textId="77777777" w:rsidR="00A471D2" w:rsidRDefault="00A471D2" w:rsidP="00CD7F25">
      <w:pPr>
        <w:pStyle w:val="Sansinterligne"/>
        <w:jc w:val="both"/>
      </w:pPr>
    </w:p>
    <w:p w14:paraId="12E16770" w14:textId="77777777" w:rsidR="00A471D2" w:rsidRDefault="00A471D2" w:rsidP="00CD7F25">
      <w:pPr>
        <w:pStyle w:val="Sansinterligne"/>
        <w:jc w:val="both"/>
      </w:pPr>
      <w:r>
        <w:t>Par exemple :</w:t>
      </w:r>
    </w:p>
    <w:p w14:paraId="6C49DE05" w14:textId="77777777" w:rsidR="00A471D2" w:rsidRDefault="00A471D2" w:rsidP="00CD7F25">
      <w:pPr>
        <w:pStyle w:val="Sansinterligne"/>
        <w:jc w:val="both"/>
      </w:pPr>
      <w:r>
        <w:t xml:space="preserve">La variété </w:t>
      </w:r>
      <w:proofErr w:type="spellStart"/>
      <w:r>
        <w:t>Navig</w:t>
      </w:r>
      <w:proofErr w:type="spellEnd"/>
      <w:r>
        <w:t xml:space="preserve"> 176 prend des valeurs soit très forte, soit très petite sur les variables des traits physiologique et des valeurs moyennes sur les variables des traits développementaux. </w:t>
      </w:r>
    </w:p>
    <w:p w14:paraId="68D757B5" w14:textId="77777777" w:rsidR="00A471D2" w:rsidRDefault="00A471D2" w:rsidP="00CD7F25">
      <w:pPr>
        <w:pStyle w:val="Sansinterligne"/>
        <w:jc w:val="both"/>
        <w:rPr>
          <w:u w:val="single"/>
        </w:rPr>
      </w:pPr>
    </w:p>
    <w:p w14:paraId="284C9831" w14:textId="77777777" w:rsidR="00A471D2" w:rsidRDefault="00A471D2" w:rsidP="00CD7F25">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1D7756AF" w14:textId="77777777" w:rsidR="00A471D2" w:rsidRDefault="00A471D2" w:rsidP="00CD7F25">
      <w:pPr>
        <w:pStyle w:val="Sansinterligne"/>
        <w:jc w:val="both"/>
      </w:pPr>
    </w:p>
    <w:p w14:paraId="06454AF9" w14:textId="77777777" w:rsidR="00A471D2" w:rsidRDefault="00A471D2" w:rsidP="00CD7F25">
      <w:pPr>
        <w:pStyle w:val="Sansinterligne"/>
        <w:jc w:val="both"/>
      </w:pPr>
      <w:r w:rsidRPr="008D7EED">
        <w:rPr>
          <w:noProof/>
        </w:rPr>
        <w:lastRenderedPageBreak/>
        <w:drawing>
          <wp:inline distT="0" distB="0" distL="0" distR="0" wp14:anchorId="513C5797" wp14:editId="62E813A3">
            <wp:extent cx="5759746" cy="4743694"/>
            <wp:effectExtent l="0" t="0" r="0" b="0"/>
            <wp:docPr id="25729462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4629" name="Image 1" descr="Une image contenant texte, capture d’écran, diagramme, Police&#10;&#10;Le contenu généré par l’IA peut être incorrect."/>
                    <pic:cNvPicPr/>
                  </pic:nvPicPr>
                  <pic:blipFill>
                    <a:blip r:embed="rId7"/>
                    <a:stretch>
                      <a:fillRect/>
                    </a:stretch>
                  </pic:blipFill>
                  <pic:spPr>
                    <a:xfrm>
                      <a:off x="0" y="0"/>
                      <a:ext cx="5759746" cy="4743694"/>
                    </a:xfrm>
                    <a:prstGeom prst="rect">
                      <a:avLst/>
                    </a:prstGeom>
                  </pic:spPr>
                </pic:pic>
              </a:graphicData>
            </a:graphic>
          </wp:inline>
        </w:drawing>
      </w:r>
    </w:p>
    <w:p w14:paraId="2B59EC4E" w14:textId="77777777" w:rsidR="00A471D2" w:rsidRDefault="00A471D2" w:rsidP="00CD7F25">
      <w:pPr>
        <w:pStyle w:val="Sansinterligne"/>
        <w:jc w:val="both"/>
      </w:pPr>
    </w:p>
    <w:p w14:paraId="33CB2881" w14:textId="77777777" w:rsidR="00A471D2" w:rsidRDefault="00A471D2" w:rsidP="00CD7F25">
      <w:pPr>
        <w:pStyle w:val="Sansinterligne"/>
        <w:jc w:val="both"/>
      </w:pPr>
      <w:r>
        <w:t xml:space="preserve">Sur le plan 3-4, les individus ayant de fortes coordonnées sur les axes sont des variétés prenant des valeurs extrêmes soit pour les variables SR, LWR et SNU, soit pour les variables LASNQ, SLA, LAR, </w:t>
      </w:r>
      <w:proofErr w:type="spellStart"/>
      <w:r w:rsidRPr="00D53191">
        <w:t>NUtE_tot</w:t>
      </w:r>
      <w:proofErr w:type="spellEnd"/>
      <w:r>
        <w:t xml:space="preserve"> et </w:t>
      </w:r>
      <w:proofErr w:type="spellStart"/>
      <w:r w:rsidRPr="00D53191">
        <w:t>NUtE_ae</w:t>
      </w:r>
      <w:r>
        <w:t>r</w:t>
      </w:r>
      <w:proofErr w:type="spellEnd"/>
      <w:r>
        <w:t xml:space="preserve">. </w:t>
      </w:r>
    </w:p>
    <w:p w14:paraId="13DDB13C" w14:textId="77777777" w:rsidR="00A471D2" w:rsidRDefault="00A471D2" w:rsidP="00CD7F25">
      <w:pPr>
        <w:pStyle w:val="Sansinterligne"/>
        <w:jc w:val="both"/>
      </w:pPr>
    </w:p>
    <w:p w14:paraId="3AE51281" w14:textId="77777777" w:rsidR="00A471D2" w:rsidRDefault="00A471D2" w:rsidP="00CD7F25">
      <w:pPr>
        <w:pStyle w:val="Sansinterligne"/>
        <w:jc w:val="both"/>
        <w:rPr>
          <w:u w:val="single"/>
        </w:rPr>
      </w:pPr>
      <w:r w:rsidRPr="004A5663">
        <w:rPr>
          <w:u w:val="single"/>
        </w:rPr>
        <w:t>AFM avec le type en variable supplémentaire</w:t>
      </w:r>
    </w:p>
    <w:p w14:paraId="0103B230" w14:textId="77777777" w:rsidR="00A471D2" w:rsidRPr="004A5663" w:rsidRDefault="00A471D2" w:rsidP="00CD7F25">
      <w:pPr>
        <w:pStyle w:val="Sansinterligne"/>
        <w:jc w:val="both"/>
      </w:pPr>
      <w:r>
        <w:t xml:space="preserve">Le type SORS regroupe des variétés prenant des valeurs moyennes ou extrêmes pour les variables des traits développementaux et physiologiques. Le type WOSR regroupe des variétés prenant des valeurs moyennes pour les variables des traits développementaux et physiologiques. Le type WFR, regroupe des variétés prenant de fortes valeurs pour les variables RDW, TDW, ADW et LA. </w:t>
      </w:r>
    </w:p>
    <w:p w14:paraId="05D78E51" w14:textId="77777777" w:rsidR="00A471D2" w:rsidRDefault="00A471D2" w:rsidP="00CD7F25">
      <w:pPr>
        <w:pStyle w:val="Sansinterligne"/>
        <w:jc w:val="both"/>
      </w:pPr>
    </w:p>
    <w:p w14:paraId="2B1293B2" w14:textId="4D71CFE3" w:rsidR="00F620A9" w:rsidRDefault="00F620A9" w:rsidP="00CD7F25">
      <w:pPr>
        <w:pStyle w:val="Sansinterligne"/>
        <w:jc w:val="both"/>
      </w:pPr>
      <w:r w:rsidRPr="00F620A9">
        <w:rPr>
          <w:noProof/>
        </w:rPr>
        <w:lastRenderedPageBreak/>
        <w:drawing>
          <wp:inline distT="0" distB="0" distL="0" distR="0" wp14:anchorId="22411A39" wp14:editId="2CAED549">
            <wp:extent cx="5760720" cy="4314190"/>
            <wp:effectExtent l="0" t="0" r="0" b="0"/>
            <wp:docPr id="1432080453" name="Image 1"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80453" name="Image 1" descr="Une image contenant texte, diagramme, capture d’écran, Tracé&#10;&#10;Le contenu généré par l’IA peut être incorrect."/>
                    <pic:cNvPicPr/>
                  </pic:nvPicPr>
                  <pic:blipFill>
                    <a:blip r:embed="rId8"/>
                    <a:stretch>
                      <a:fillRect/>
                    </a:stretch>
                  </pic:blipFill>
                  <pic:spPr>
                    <a:xfrm>
                      <a:off x="0" y="0"/>
                      <a:ext cx="5760720" cy="4314190"/>
                    </a:xfrm>
                    <a:prstGeom prst="rect">
                      <a:avLst/>
                    </a:prstGeom>
                  </pic:spPr>
                </pic:pic>
              </a:graphicData>
            </a:graphic>
          </wp:inline>
        </w:drawing>
      </w:r>
    </w:p>
    <w:p w14:paraId="1067F527" w14:textId="37FF5BB4" w:rsidR="001C206C" w:rsidRDefault="00F26227" w:rsidP="00CD7F25">
      <w:pPr>
        <w:pStyle w:val="Titre2"/>
        <w:jc w:val="both"/>
      </w:pPr>
      <w:r>
        <w:t>Méthode</w:t>
      </w:r>
    </w:p>
    <w:p w14:paraId="20A2297C" w14:textId="4921F62D" w:rsidR="001C206C" w:rsidRDefault="00F26227" w:rsidP="00CD7F25">
      <w:pPr>
        <w:pStyle w:val="Titre3"/>
        <w:jc w:val="both"/>
      </w:pPr>
      <w:r>
        <w:t>Présentation des données fonctionnelles</w:t>
      </w:r>
    </w:p>
    <w:p w14:paraId="6ABF572E" w14:textId="379E3D4E" w:rsidR="00F26227" w:rsidRDefault="00F26227" w:rsidP="00CD7F25">
      <w:pPr>
        <w:pStyle w:val="Paragraphedeliste"/>
        <w:numPr>
          <w:ilvl w:val="0"/>
          <w:numId w:val="1"/>
        </w:numPr>
        <w:jc w:val="both"/>
      </w:pPr>
      <w:r>
        <w:t>Qu’est-ce que c’est ?</w:t>
      </w:r>
    </w:p>
    <w:p w14:paraId="641B4950" w14:textId="39D991E8" w:rsidR="00F26227" w:rsidRDefault="00F26227" w:rsidP="00CD7F25">
      <w:pPr>
        <w:pStyle w:val="Paragraphedeliste"/>
        <w:numPr>
          <w:ilvl w:val="0"/>
          <w:numId w:val="1"/>
        </w:numPr>
        <w:jc w:val="both"/>
      </w:pPr>
      <w:r>
        <w:t>Intérêt pour cette étude</w:t>
      </w:r>
    </w:p>
    <w:p w14:paraId="15623DD2" w14:textId="27DC36BD" w:rsidR="00F26227" w:rsidRDefault="00F26227" w:rsidP="00CD7F25">
      <w:pPr>
        <w:pStyle w:val="Titre3"/>
        <w:jc w:val="both"/>
      </w:pPr>
      <w:r>
        <w:t>Régression fonctionnelle : méthode des B-</w:t>
      </w:r>
      <w:proofErr w:type="spellStart"/>
      <w:r>
        <w:t>splines</w:t>
      </w:r>
      <w:proofErr w:type="spellEnd"/>
    </w:p>
    <w:p w14:paraId="45EB36E0" w14:textId="37DD77F1" w:rsidR="00F26227" w:rsidRDefault="00F26227" w:rsidP="00CD7F25">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CD7F25">
      <w:pPr>
        <w:spacing w:line="240" w:lineRule="auto"/>
        <w:jc w:val="both"/>
        <w:rPr>
          <w:rFonts w:cstheme="minorHAnsi"/>
        </w:rPr>
      </w:pPr>
      <w:r>
        <w:rPr>
          <w:rFonts w:cstheme="minorHAnsi"/>
        </w:rPr>
        <w:t>Analyse des résultats :</w:t>
      </w:r>
    </w:p>
    <w:p w14:paraId="0E09AD20" w14:textId="10EE5C10" w:rsidR="00F26227" w:rsidRPr="00F26227" w:rsidRDefault="00BD639F" w:rsidP="00CD7F25">
      <w:pPr>
        <w:pStyle w:val="Paragraphedeliste"/>
        <w:numPr>
          <w:ilvl w:val="0"/>
          <w:numId w:val="1"/>
        </w:numPr>
        <w:jc w:val="both"/>
      </w:pPr>
      <w:r>
        <w:t>Intérêt du classement entre variétés</w:t>
      </w:r>
    </w:p>
    <w:p w14:paraId="3CDA9F45" w14:textId="572DD0A7" w:rsidR="00F26227" w:rsidRDefault="00F26227" w:rsidP="00CD7F25">
      <w:pPr>
        <w:pStyle w:val="Titre3"/>
        <w:jc w:val="both"/>
      </w:pPr>
      <w:r>
        <w:t>ACP fonctionnelle</w:t>
      </w:r>
    </w:p>
    <w:p w14:paraId="327973F3" w14:textId="77D8BA9C" w:rsidR="00BD639F" w:rsidRDefault="00BD639F" w:rsidP="00CD7F25">
      <w:pPr>
        <w:pStyle w:val="Titre3"/>
        <w:jc w:val="both"/>
      </w:pPr>
      <w:r>
        <w:t>Méthodes à expérimenter</w:t>
      </w:r>
    </w:p>
    <w:p w14:paraId="3DC27CDB" w14:textId="6AFCC9C1" w:rsidR="00BD639F" w:rsidRDefault="00BD639F" w:rsidP="00CD7F25">
      <w:pPr>
        <w:pStyle w:val="Paragraphedeliste"/>
        <w:numPr>
          <w:ilvl w:val="0"/>
          <w:numId w:val="1"/>
        </w:numPr>
        <w:jc w:val="both"/>
      </w:pPr>
      <w:r w:rsidRPr="00BD639F">
        <w:t>loi de mélange de régression fonctionnelle en fonction des espèces (probabilité à priori d'appartenance remplacée par probabilité à posteriori estimées à partir des données</w:t>
      </w:r>
    </w:p>
    <w:p w14:paraId="5399A991" w14:textId="1719970C" w:rsidR="00BD639F" w:rsidRDefault="00BD639F" w:rsidP="00CD7F25">
      <w:pPr>
        <w:pStyle w:val="Paragraphedeliste"/>
        <w:numPr>
          <w:ilvl w:val="0"/>
          <w:numId w:val="1"/>
        </w:numPr>
        <w:jc w:val="both"/>
      </w:pPr>
      <w:proofErr w:type="gramStart"/>
      <w:r w:rsidRPr="00BD639F">
        <w:t>équivalence</w:t>
      </w:r>
      <w:proofErr w:type="gramEnd"/>
      <w:r w:rsidRPr="00BD639F">
        <w:t xml:space="preserve"> entre spectre sur feuille sèche et sur feuille fraiche</w:t>
      </w:r>
    </w:p>
    <w:p w14:paraId="285C8490" w14:textId="00564CF3" w:rsidR="00660CBA" w:rsidRPr="00660CBA" w:rsidRDefault="00660CBA" w:rsidP="00660CBA">
      <w:pPr>
        <w:pStyle w:val="Titre3"/>
      </w:pPr>
      <w:r>
        <w:lastRenderedPageBreak/>
        <w:t>Régression fonctionnelle</w:t>
      </w:r>
    </w:p>
    <w:p w14:paraId="783BFA01" w14:textId="77777777" w:rsidR="00026846" w:rsidRDefault="00660CBA" w:rsidP="00660CBA">
      <w:pPr>
        <w:pStyle w:val="Sansinterligne"/>
        <w:jc w:val="both"/>
      </w:pPr>
      <w:r>
        <w:t xml:space="preserve">Pour la présente étude, nous souhaitons prédire un phénotype qui est un scalaire. Dans le cas d’une prédiction d’un scalaire par des variables fonctionnelles, le modèle </w:t>
      </w:r>
      <w:proofErr w:type="spellStart"/>
      <w:r w:rsidRPr="00660CBA">
        <w:t>Linear</w:t>
      </w:r>
      <w:proofErr w:type="spellEnd"/>
      <w:r w:rsidRPr="00660CBA">
        <w:t xml:space="preserve"> </w:t>
      </w:r>
      <w:proofErr w:type="spellStart"/>
      <w:r w:rsidRPr="00660CBA">
        <w:t>scalar</w:t>
      </w:r>
      <w:proofErr w:type="spellEnd"/>
      <w:r w:rsidRPr="00660CBA">
        <w:t>-on-</w:t>
      </w:r>
      <w:proofErr w:type="spellStart"/>
      <w:r w:rsidRPr="00660CBA">
        <w:t>function</w:t>
      </w:r>
      <w:proofErr w:type="spellEnd"/>
      <w:r w:rsidRPr="00660CBA">
        <w:t xml:space="preserve"> </w:t>
      </w:r>
      <w:proofErr w:type="spellStart"/>
      <w:r w:rsidRPr="00660CBA">
        <w:t>regression</w:t>
      </w:r>
      <w:proofErr w:type="spellEnd"/>
      <w:r>
        <w:t xml:space="preserve"> (LSFR) doit être utilisé. </w:t>
      </w:r>
    </w:p>
    <w:p w14:paraId="15BE154B" w14:textId="77777777" w:rsidR="00026846" w:rsidRDefault="00026846" w:rsidP="00660CBA">
      <w:pPr>
        <w:pStyle w:val="Sansinterligne"/>
        <w:jc w:val="both"/>
      </w:pPr>
    </w:p>
    <w:p w14:paraId="08581FAB" w14:textId="2FF2EEC0" w:rsidR="004F70F3" w:rsidRDefault="004F70F3" w:rsidP="00660CBA">
      <w:pPr>
        <w:pStyle w:val="Sansinterligne"/>
        <w:jc w:val="both"/>
        <w:rPr>
          <w:rFonts w:eastAsiaTheme="minorEastAsia"/>
        </w:rPr>
      </w:pPr>
      <w:r>
        <w:t>Dans le cas d’une régression classique, la variable réponse et l</w:t>
      </w:r>
      <w:r w:rsidR="00224100">
        <w:t xml:space="preserve">es </w:t>
      </w:r>
      <w:r>
        <w:t xml:space="preserve">paramètres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oMath>
      <w:r w:rsidR="00224100">
        <w:rPr>
          <w:rFonts w:eastAsiaTheme="minorEastAsia"/>
        </w:rPr>
        <w:t xml:space="preserve"> et </w:t>
      </w:r>
      <m:oMath>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1</m:t>
            </m:r>
          </m:sub>
        </m:sSub>
      </m:oMath>
      <w:r>
        <w:rPr>
          <w:rFonts w:eastAsiaTheme="minorEastAsia"/>
        </w:rPr>
        <w:t xml:space="preserve"> </w:t>
      </w:r>
      <w:r>
        <w:t>sont des scalaires :</w:t>
      </w:r>
    </w:p>
    <w:p w14:paraId="33A11210" w14:textId="77777777" w:rsidR="00224100" w:rsidRPr="004F70F3" w:rsidRDefault="00224100" w:rsidP="00660CBA">
      <w:pPr>
        <w:pStyle w:val="Sansinterligne"/>
        <w:jc w:val="both"/>
        <w:rPr>
          <w:rFonts w:eastAsiaTheme="minorEastAsia"/>
        </w:rPr>
      </w:pPr>
    </w:p>
    <w:p w14:paraId="479AF1AA" w14:textId="1E35E445" w:rsidR="00A732FA" w:rsidRPr="00A732FA" w:rsidRDefault="00A732FA" w:rsidP="00660CBA">
      <w:pPr>
        <w:pStyle w:val="Sansinterligne"/>
        <w:jc w:val="both"/>
        <w:rPr>
          <w:rFonts w:eastAsiaTheme="minorEastAsia"/>
        </w:rPr>
      </w:pPr>
      <m:oMathPara>
        <m:oMath>
          <m:r>
            <w:rPr>
              <w:rFonts w:ascii="Cambria Math" w:hAnsi="Cambria Math"/>
            </w:rPr>
            <m:t>Y=</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+X</m:t>
          </m:r>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ϵ</m:t>
          </m:r>
          <m:r>
            <m:rPr>
              <m:sty m:val="p"/>
            </m:rPr>
            <w:rPr>
              <w:rFonts w:ascii="Cambria Math" w:hAnsi="Cambria Math"/>
            </w:rPr>
            <m:t xml:space="preserve">   </m:t>
          </m:r>
          <m:d>
            <m:dPr>
              <m:ctrlPr>
                <w:rPr>
                  <w:rFonts w:ascii="Cambria Math" w:hAnsi="Cambria Math"/>
                </w:rPr>
              </m:ctrlPr>
            </m:dPr>
            <m:e>
              <m:r>
                <m:rPr>
                  <m:sty m:val="p"/>
                </m:rPr>
                <w:rPr>
                  <w:rFonts w:ascii="Cambria Math" w:hAnsi="Cambria Math"/>
                </w:rPr>
                <m:t>1</m:t>
              </m:r>
            </m:e>
          </m:d>
        </m:oMath>
      </m:oMathPara>
    </w:p>
    <w:p w14:paraId="64D4447F" w14:textId="77777777" w:rsidR="004F70F3" w:rsidRPr="004F70F3" w:rsidRDefault="004F70F3" w:rsidP="00660CBA">
      <w:pPr>
        <w:pStyle w:val="Sansinterligne"/>
        <w:jc w:val="both"/>
        <w:rPr>
          <w:rFonts w:eastAsiaTheme="minorEastAsia"/>
        </w:rPr>
      </w:pPr>
    </w:p>
    <w:p w14:paraId="198EA5AF" w14:textId="4425FA9A" w:rsidR="004F70F3" w:rsidRDefault="004F70F3" w:rsidP="00660CBA">
      <w:pPr>
        <w:pStyle w:val="Sansinterligne"/>
        <w:jc w:val="both"/>
        <w:rPr>
          <w:rFonts w:eastAsiaTheme="minorEastAsia"/>
          <w:iCs/>
        </w:rPr>
      </w:pPr>
      <w:r>
        <w:rPr>
          <w:rFonts w:eastAsiaTheme="minorEastAsia"/>
        </w:rPr>
        <w:t xml:space="preserve">Pour le modèle LSFR, la variable réponse et </w:t>
      </w:r>
      <w:r>
        <w:t xml:space="preserve">le paramètres </w:t>
      </w:r>
      <m:oMath>
        <m:r>
          <w:rPr>
            <w:rFonts w:ascii="Cambria Math" w:hAnsi="Cambria Math"/>
          </w:rPr>
          <m:t>β</m:t>
        </m:r>
      </m:oMath>
      <w:r>
        <w:rPr>
          <w:rFonts w:eastAsiaTheme="minorEastAsia"/>
          <w:iCs/>
        </w:rPr>
        <w:t xml:space="preserve"> sont des fonctions. L’équation 1 peut donc s’écrire ainsi :</w:t>
      </w:r>
    </w:p>
    <w:p w14:paraId="5C313D0F" w14:textId="77777777" w:rsidR="004F70F3" w:rsidRDefault="004F70F3" w:rsidP="00660CBA">
      <w:pPr>
        <w:pStyle w:val="Sansinterligne"/>
        <w:jc w:val="both"/>
        <w:rPr>
          <w:rFonts w:eastAsiaTheme="minorEastAsia"/>
          <w:iCs/>
        </w:rPr>
      </w:pPr>
    </w:p>
    <w:p w14:paraId="45806528" w14:textId="69B58852" w:rsidR="00A732FA" w:rsidRDefault="004F70F3" w:rsidP="00660CBA">
      <w:pPr>
        <w:pStyle w:val="Sansinterligne"/>
        <w:jc w:val="both"/>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nary>
            <m:naryPr>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t</m:t>
                  </m:r>
                </m:e>
              </m:d>
              <m:r>
                <m:rPr>
                  <m:nor/>
                </m:rPr>
                <w:rPr>
                  <w:rFonts w:ascii="Cambria Math" w:eastAsiaTheme="minorEastAsia" w:hAnsi="Cambria Math"/>
                </w:rPr>
                <m:t>d</m:t>
              </m:r>
              <m:ctrlPr>
                <w:rPr>
                  <w:rFonts w:ascii="Cambria Math" w:eastAsiaTheme="minorEastAsia" w:hAnsi="Cambria Math"/>
                  <w:i/>
                </w:rPr>
              </m:ctrlPr>
            </m:e>
          </m:nary>
          <m:r>
            <w:rPr>
              <w:rFonts w:ascii="Cambria Math" w:eastAsiaTheme="minorEastAsia" w:hAnsi="Cambria Math"/>
            </w:rPr>
            <m:t>t</m:t>
          </m:r>
          <m:r>
            <w:rPr>
              <w:rFonts w:ascii="Cambria Math" w:eastAsiaTheme="minorEastAsia" w:hAnsi="Cambria Math"/>
            </w:rPr>
            <m:t>+</m:t>
          </m:r>
          <m:r>
            <m:rPr>
              <m:sty m:val="p"/>
            </m:rPr>
            <w:rPr>
              <w:rFonts w:ascii="Cambria Math" w:eastAsiaTheme="minorEastAsia" w:hAnsi="Cambria Math"/>
            </w:rPr>
            <m:t>ϵ</m:t>
          </m:r>
          <m:r>
            <m:rPr>
              <m:sty m:val="p"/>
            </m:rPr>
            <w:rPr>
              <w:rFonts w:ascii="Cambria Math" w:eastAsiaTheme="minorEastAsia" w:hAnsi="Cambria Math"/>
            </w:rPr>
            <m:t xml:space="preserve">   (2)</m:t>
          </m:r>
        </m:oMath>
      </m:oMathPara>
    </w:p>
    <w:p w14:paraId="7380A1F8" w14:textId="77777777" w:rsidR="004F70F3" w:rsidRDefault="004F70F3" w:rsidP="00660CBA">
      <w:pPr>
        <w:pStyle w:val="Sansinterligne"/>
        <w:jc w:val="both"/>
        <w:rPr>
          <w:rFonts w:eastAsiaTheme="minorEastAsia"/>
        </w:rPr>
      </w:pPr>
    </w:p>
    <w:p w14:paraId="6149A9FF" w14:textId="215FCB2F" w:rsidR="0030515B" w:rsidRDefault="00224100" w:rsidP="00660CBA">
      <w:pPr>
        <w:pStyle w:val="Sansinterligne"/>
        <w:jc w:val="both"/>
        <w:rPr>
          <w:rFonts w:eastAsiaTheme="minorEastAsia"/>
        </w:rPr>
      </w:pPr>
      <w:r>
        <w:t>L’</w:t>
      </w:r>
      <w:r w:rsidR="0083013B">
        <w:t>approche pour l’</w:t>
      </w:r>
      <w:r>
        <w:t xml:space="preserve">estimation de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0</m:t>
            </m:r>
          </m:sub>
        </m:sSub>
      </m:oMath>
      <w:r w:rsidR="00B31F00">
        <w:rPr>
          <w:rFonts w:eastAsiaTheme="minorEastAsia"/>
        </w:rPr>
        <w:t xml:space="preserve"> et de </w:t>
      </w:r>
      <w:r>
        <w:t xml:space="preserve">la fonction du coefficient </w:t>
      </w:r>
      <m:oMath>
        <m:r>
          <m:rPr>
            <m:sty m:val="p"/>
          </m:rPr>
          <w:rPr>
            <w:rFonts w:ascii="Cambria Math" w:hAnsi="Cambria Math"/>
          </w:rPr>
          <m:t>β</m:t>
        </m:r>
      </m:oMath>
      <w:r>
        <w:rPr>
          <w:rFonts w:eastAsiaTheme="minorEastAsia"/>
        </w:rPr>
        <w:t xml:space="preserve"> </w:t>
      </w:r>
      <w:r w:rsidR="00B31F00">
        <w:rPr>
          <w:rFonts w:eastAsiaTheme="minorEastAsia"/>
        </w:rPr>
        <w:t xml:space="preserve">est </w:t>
      </w:r>
      <w:r w:rsidR="00606681">
        <w:rPr>
          <w:rFonts w:eastAsiaTheme="minorEastAsia"/>
        </w:rPr>
        <w:t>d’utiliser</w:t>
      </w:r>
      <w:r w:rsidR="00B31F00">
        <w:rPr>
          <w:rFonts w:eastAsiaTheme="minorEastAsia"/>
        </w:rPr>
        <w:t xml:space="preserve"> </w:t>
      </w:r>
      <w:r w:rsidR="00DD3478">
        <w:rPr>
          <w:rFonts w:eastAsiaTheme="minorEastAsia"/>
        </w:rPr>
        <w:t>un</w:t>
      </w:r>
      <w:r w:rsidR="00B31F00">
        <w:rPr>
          <w:rFonts w:eastAsiaTheme="minorEastAsia"/>
        </w:rPr>
        <w:t xml:space="preserve"> ensemble de fonctions de bases</w:t>
      </w:r>
      <w:r w:rsidR="0083013B">
        <w:rPr>
          <w:rFonts w:eastAsiaTheme="minorEastAsia"/>
        </w:rPr>
        <w:t xml:space="preserve"> </w:t>
      </w:r>
      <w:r w:rsidR="0083013B" w:rsidRPr="0083013B">
        <w:rPr>
          <w:rFonts w:eastAsiaTheme="minorEastAsia"/>
          <w:i/>
          <w:iCs/>
        </w:rPr>
        <w:t>a priori</w:t>
      </w:r>
      <w:r w:rsidR="00DD3478">
        <w:rPr>
          <w:rFonts w:eastAsiaTheme="minorEastAsia"/>
        </w:rPr>
        <w:t xml:space="preserve"> tel que</w:t>
      </w:r>
      <w:r w:rsidR="00DD3478">
        <w:rPr>
          <w:rFonts w:eastAsiaTheme="minorEastAsia"/>
        </w:rPr>
        <w:t xml:space="preserve"> </w:t>
      </w:r>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γ</m:t>
        </m:r>
      </m:oMath>
      <w:r w:rsidR="00DD3478">
        <w:rPr>
          <w:rFonts w:eastAsiaTheme="minorEastAsia"/>
        </w:rPr>
        <w:t xml:space="preserve"> avec </w:t>
      </w:r>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t</m:t>
                </m:r>
              </m:e>
            </m:d>
          </m:e>
        </m:d>
      </m:oMath>
      <w:r w:rsidR="0030515B">
        <w:rPr>
          <w:rFonts w:eastAsiaTheme="minorEastAsia"/>
        </w:rPr>
        <w:t xml:space="preserve"> un ensemble de fonction de base et </w:t>
      </w:r>
      <m:oMath>
        <m:r>
          <m:rPr>
            <m:sty m:val="p"/>
          </m:rPr>
          <w:rPr>
            <w:rFonts w:ascii="Cambria Math" w:eastAsiaTheme="minorEastAsia" w:hAnsi="Cambria Math"/>
          </w:rPr>
          <m:t>γ</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k</m:t>
                </m:r>
              </m:sub>
            </m:sSub>
          </m:e>
        </m:d>
      </m:oMath>
      <w:r w:rsidR="0030515B">
        <w:rPr>
          <w:rFonts w:eastAsiaTheme="minorEastAsia"/>
        </w:rPr>
        <w:t>.</w:t>
      </w:r>
      <w:r w:rsidR="00606681">
        <w:rPr>
          <w:rFonts w:eastAsiaTheme="minorEastAsia"/>
        </w:rPr>
        <w:t xml:space="preserve"> Les paramètres</w:t>
      </w:r>
      <w:r w:rsidR="0030515B">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0</m:t>
            </m:r>
          </m:sub>
        </m:sSub>
      </m:oMath>
      <w:r w:rsidR="0030515B">
        <w:rPr>
          <w:rFonts w:eastAsiaTheme="minorEastAsia"/>
        </w:rPr>
        <w:t xml:space="preserve"> et </w:t>
      </w:r>
      <m:oMath>
        <m:r>
          <m:rPr>
            <m:sty m:val="p"/>
          </m:rPr>
          <w:rPr>
            <w:rFonts w:ascii="Cambria Math" w:eastAsiaTheme="minorEastAsia" w:hAnsi="Cambria Math"/>
          </w:rPr>
          <m:t>γ</m:t>
        </m:r>
      </m:oMath>
      <w:r w:rsidR="0030515B">
        <w:rPr>
          <w:rFonts w:eastAsiaTheme="minorEastAsia"/>
        </w:rPr>
        <w:t xml:space="preserve"> s’estime ainsi :</w:t>
      </w:r>
    </w:p>
    <w:p w14:paraId="459F9AE5" w14:textId="77777777" w:rsidR="0030515B" w:rsidRDefault="0030515B" w:rsidP="00660CBA">
      <w:pPr>
        <w:pStyle w:val="Sansinterligne"/>
        <w:jc w:val="both"/>
        <w:rPr>
          <w:rFonts w:eastAsiaTheme="minorEastAsia"/>
        </w:rPr>
      </w:pPr>
    </w:p>
    <w:p w14:paraId="2E97EB66" w14:textId="50E00E21" w:rsidR="0085137E" w:rsidRPr="00FD6405" w:rsidRDefault="00FD6405" w:rsidP="00660CBA">
      <w:pPr>
        <w:pStyle w:val="Sansinterligne"/>
        <w:jc w:val="both"/>
        <w:rPr>
          <w:rFonts w:eastAsiaTheme="minorEastAsia"/>
          <w:lang w:val="en-US"/>
        </w:rPr>
      </w:pPr>
      <m:oMathPara>
        <m:oMath>
          <m:acc>
            <m:accPr>
              <m:ctrlPr>
                <w:rPr>
                  <w:rFonts w:ascii="Cambria Math" w:eastAsiaTheme="minorEastAsia" w:hAnsi="Cambria Math"/>
                </w:rPr>
              </m:ctrlPr>
            </m:accPr>
            <m:e>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lang w:val="en-US"/>
                    </w:rPr>
                    <m:t>0</m:t>
                  </m:r>
                </m:sub>
              </m:sSub>
            </m:e>
          </m:acc>
          <m:r>
            <w:rPr>
              <w:rFonts w:ascii="Cambria Math" w:eastAsiaTheme="minorEastAsia" w:hAnsi="Cambria Math"/>
              <w:lang w:val="en-US"/>
            </w:rPr>
            <m:t>,</m:t>
          </m:r>
          <m:acc>
            <m:accPr>
              <m:ctrlPr>
                <w:rPr>
                  <w:rFonts w:ascii="Cambria Math" w:eastAsiaTheme="minorEastAsia" w:hAnsi="Cambria Math"/>
                </w:rPr>
              </m:ctrlPr>
            </m:accPr>
            <m:e>
              <m:r>
                <m:rPr>
                  <m:sty m:val="p"/>
                </m:rPr>
                <w:rPr>
                  <w:rFonts w:ascii="Cambria Math" w:eastAsiaTheme="minorEastAsia" w:hAnsi="Cambria Math"/>
                </w:rPr>
                <m:t>γ</m:t>
              </m:r>
            </m:e>
          </m:acc>
          <m:r>
            <w:rPr>
              <w:rFonts w:ascii="Cambria Math" w:eastAsiaTheme="minorEastAsia" w:hAnsi="Cambria Math"/>
              <w:lang w:val="en-US"/>
            </w:rPr>
            <m:t>=</m:t>
          </m:r>
          <m:r>
            <m:rPr>
              <m:sty m:val="p"/>
            </m:rPr>
            <w:rPr>
              <w:rFonts w:ascii="Cambria Math" w:eastAsiaTheme="minorEastAsia" w:hAnsi="Cambria Math"/>
            </w:rPr>
            <m:t>argmi</m:t>
          </m:r>
          <m:sSub>
            <m:sSubPr>
              <m:ctrlPr>
                <w:rPr>
                  <w:rFonts w:ascii="Cambria Math" w:eastAsiaTheme="minorEastAsia" w:hAnsi="Cambria Math"/>
                  <w:i/>
                </w:rPr>
              </m:ctrlPr>
            </m:sSubPr>
            <m:e>
              <m:r>
                <w:rPr>
                  <w:rFonts w:ascii="Cambria Math" w:eastAsiaTheme="minorEastAsia" w:hAnsi="Cambria Math"/>
                </w:rPr>
                <m:t>n</m:t>
              </m:r>
            </m:e>
            <m:sub>
              <m:r>
                <m:rPr>
                  <m:sty m:val="p"/>
                </m:rPr>
                <w:rPr>
                  <w:rFonts w:ascii="Cambria Math" w:eastAsiaTheme="minorEastAsia" w:hAnsi="Cambria Math"/>
                </w:rPr>
                <m:t>β</m:t>
              </m:r>
              <m:r>
                <m:rPr>
                  <m:sty m:val="p"/>
                </m:rPr>
                <w:rPr>
                  <w:rFonts w:ascii="Cambria Math" w:eastAsiaTheme="minorEastAsia" w:hAnsi="Cambria Math"/>
                  <w:lang w:val="en-US"/>
                </w:rPr>
                <m:t>,</m:t>
              </m:r>
              <m:r>
                <m:rPr>
                  <m:sty m:val="p"/>
                </m:rPr>
                <w:rPr>
                  <w:rFonts w:ascii="Cambria Math" w:eastAsiaTheme="minorEastAsia" w:hAnsi="Cambria Math"/>
                </w:rPr>
                <m:t>γ</m:t>
              </m:r>
            </m:sub>
          </m:sSub>
          <m:d>
            <m:dPr>
              <m:begChr m:val="["/>
              <m:endChr m:val="]"/>
              <m:ctrlPr>
                <w:rPr>
                  <w:rFonts w:ascii="Cambria Math" w:eastAsiaTheme="minorEastAsia" w:hAnsi="Cambria Math"/>
                </w:rPr>
              </m:ctrlPr>
            </m:dPr>
            <m:e>
              <m:nary>
                <m:naryPr>
                  <m:chr m:val="∑"/>
                  <m:ctrlPr>
                    <w:rPr>
                      <w:rFonts w:ascii="Cambria Math" w:eastAsiaTheme="minorEastAsia" w:hAnsi="Cambria Math"/>
                    </w:rPr>
                  </m:ctrlPr>
                </m:naryPr>
                <m:sub>
                  <m:r>
                    <w:rPr>
                      <w:rFonts w:ascii="Cambria Math" w:eastAsiaTheme="minorEastAsia" w:hAnsi="Cambria Math"/>
                    </w:rPr>
                    <m:t>i</m:t>
                  </m:r>
                  <m:r>
                    <w:rPr>
                      <w:rFonts w:ascii="Cambria Math" w:eastAsiaTheme="minorEastAsia" w:hAnsi="Cambria Math"/>
                      <w:lang w:val="en-US"/>
                    </w:rPr>
                    <m:t>=1</m:t>
                  </m:r>
                  <m:ctrlPr>
                    <w:rPr>
                      <w:rFonts w:ascii="Cambria Math" w:eastAsiaTheme="minorEastAsia" w:hAnsi="Cambria Math"/>
                      <w:i/>
                    </w:rPr>
                  </m:ctrlPr>
                </m:sub>
                <m:sup>
                  <m:r>
                    <w:rPr>
                      <w:rFonts w:ascii="Cambria Math" w:eastAsiaTheme="minorEastAsia" w:hAnsi="Cambria Math"/>
                    </w:rPr>
                    <m:t>n</m:t>
                  </m:r>
                  <m:ctrlPr>
                    <w:rPr>
                      <w:rFonts w:ascii="Cambria Math" w:eastAsiaTheme="minorEastAsia" w:hAnsi="Cambria Math"/>
                      <w:i/>
                    </w:rPr>
                  </m:ctrlPr>
                </m:sup>
                <m:e>
                  <m:r>
                    <m:rPr>
                      <m:lit/>
                    </m:rP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ctrlPr>
                    <w:rPr>
                      <w:rFonts w:ascii="Cambria Math" w:eastAsiaTheme="minorEastAsia" w:hAnsi="Cambria Math"/>
                      <w:i/>
                    </w:rPr>
                  </m:ctrlPr>
                </m:e>
              </m:nary>
              <m:r>
                <w:rPr>
                  <w:rFonts w:ascii="Cambria Math" w:eastAsiaTheme="minorEastAsia" w:hAnsi="Cambria Math"/>
                  <w:lang w:val="en-US"/>
                </w:rPr>
                <m:t>-</m:t>
              </m:r>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i/>
                      <w:lang w:val="en-US"/>
                    </w:rPr>
                  </m:ctrlPr>
                </m:e>
                <m:sub>
                  <m:r>
                    <w:rPr>
                      <w:rFonts w:ascii="Cambria Math" w:eastAsiaTheme="minorEastAsia" w:hAnsi="Cambria Math"/>
                      <w:lang w:val="en-US"/>
                    </w:rPr>
                    <m:t>0</m:t>
                  </m:r>
                </m:sub>
              </m:sSub>
              <m:r>
                <w:rPr>
                  <w:rFonts w:ascii="Cambria Math" w:eastAsiaTheme="minorEastAsia" w:hAnsi="Cambria Math"/>
                  <w:lang w:val="en-US"/>
                </w:rPr>
                <m:t>-</m:t>
              </m:r>
              <m:nary>
                <m:naryPr>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r>
                    <w:rPr>
                      <w:rFonts w:ascii="Cambria Math" w:eastAsiaTheme="minorEastAsia" w:hAnsi="Cambria Math"/>
                    </w:rPr>
                    <m:t>X</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b</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r>
                        <m:rPr>
                          <m:sty m:val="p"/>
                        </m:rPr>
                        <w:rPr>
                          <w:rFonts w:ascii="Cambria Math" w:eastAsiaTheme="minorEastAsia" w:hAnsi="Cambria Math"/>
                        </w:rPr>
                        <m:t>γ</m:t>
                      </m:r>
                      <m:ctrlPr>
                        <w:rPr>
                          <w:rFonts w:ascii="Cambria Math" w:eastAsiaTheme="minorEastAsia" w:hAnsi="Cambria Math"/>
                        </w:rPr>
                      </m:ctrlPr>
                    </m:e>
                  </m:d>
                  <m:r>
                    <m:rPr>
                      <m:nor/>
                    </m:rPr>
                    <w:rPr>
                      <w:rFonts w:ascii="Cambria Math" w:eastAsiaTheme="minorEastAsia" w:hAnsi="Cambria Math"/>
                      <w:lang w:val="en-US"/>
                    </w:rPr>
                    <m:t>dt</m:t>
                  </m:r>
                  <m:ctrlPr>
                    <w:rPr>
                      <w:rFonts w:ascii="Cambria Math" w:eastAsiaTheme="minorEastAsia" w:hAnsi="Cambria Math"/>
                      <w:i/>
                    </w:rPr>
                  </m:ctrlPr>
                </m:e>
              </m:nary>
              <m:sSup>
                <m:sSupPr>
                  <m:ctrlPr>
                    <w:rPr>
                      <w:rFonts w:ascii="Cambria Math" w:eastAsiaTheme="minorEastAsia" w:hAnsi="Cambria Math"/>
                      <w:i/>
                    </w:rPr>
                  </m:ctrlPr>
                </m:sSupPr>
                <m:e>
                  <m:r>
                    <m:rPr>
                      <m:lit/>
                    </m:rPr>
                    <w:rPr>
                      <w:rFonts w:ascii="Cambria Math" w:eastAsiaTheme="minorEastAsia" w:hAnsi="Cambria Math"/>
                      <w:lang w:val="en-US"/>
                    </w:rPr>
                    <m:t>}</m:t>
                  </m:r>
                  <m:ctrlPr>
                    <w:rPr>
                      <w:rFonts w:ascii="Cambria Math" w:eastAsiaTheme="minorEastAsia" w:hAnsi="Cambria Math"/>
                      <w:i/>
                      <w:lang w:val="en-US"/>
                    </w:rPr>
                  </m:ctrlPr>
                </m:e>
                <m:sup>
                  <m:r>
                    <w:rPr>
                      <w:rFonts w:ascii="Cambria Math" w:eastAsiaTheme="minorEastAsia" w:hAnsi="Cambria Math"/>
                      <w:lang w:val="en-US"/>
                    </w:rPr>
                    <m:t>2</m:t>
                  </m:r>
                </m:sup>
              </m:sSup>
              <m:ctrlPr>
                <w:rPr>
                  <w:rFonts w:ascii="Cambria Math" w:eastAsiaTheme="minorEastAsia" w:hAnsi="Cambria Math"/>
                  <w:i/>
                </w:rPr>
              </m:ctrlPr>
            </m:e>
          </m:d>
          <m:r>
            <w:rPr>
              <w:rFonts w:ascii="Cambria Math" w:eastAsiaTheme="minorEastAsia" w:hAnsi="Cambria Math"/>
              <w:lang w:val="en-US"/>
            </w:rPr>
            <m:t>+</m:t>
          </m:r>
          <m:r>
            <m:rPr>
              <m:sty m:val="p"/>
            </m:rPr>
            <w:rPr>
              <w:rFonts w:ascii="Cambria Math" w:eastAsiaTheme="minorEastAsia" w:hAnsi="Cambria Math"/>
            </w:rPr>
            <m:t>γP</m:t>
          </m:r>
          <m:d>
            <m:dPr>
              <m:ctrlPr>
                <w:rPr>
                  <w:rFonts w:ascii="Cambria Math" w:eastAsiaTheme="minorEastAsia" w:hAnsi="Cambria Math"/>
                </w:rPr>
              </m:ctrlPr>
            </m:dPr>
            <m:e>
              <m:r>
                <m:rPr>
                  <m:sty m:val="p"/>
                </m:rPr>
                <w:rPr>
                  <w:rFonts w:ascii="Cambria Math" w:eastAsiaTheme="minorEastAsia" w:hAnsi="Cambria Math"/>
                </w:rPr>
                <m:t>γ</m:t>
              </m:r>
              <m:ctrlPr>
                <w:rPr>
                  <w:rFonts w:ascii="Cambria Math" w:eastAsiaTheme="minorEastAsia" w:hAnsi="Cambria Math"/>
                  <w:i/>
                </w:rPr>
              </m:ctrlPr>
            </m:e>
          </m:d>
          <m:r>
            <w:rPr>
              <w:rFonts w:ascii="Cambria Math" w:eastAsiaTheme="minorEastAsia" w:hAnsi="Cambria Math"/>
              <w:lang w:val="en-US"/>
            </w:rPr>
            <m:t>   </m:t>
          </m:r>
          <m:d>
            <m:dPr>
              <m:ctrlPr>
                <w:rPr>
                  <w:rFonts w:ascii="Cambria Math" w:eastAsiaTheme="minorEastAsia" w:hAnsi="Cambria Math"/>
                </w:rPr>
              </m:ctrlPr>
            </m:dPr>
            <m:e>
              <m:r>
                <w:rPr>
                  <w:rFonts w:ascii="Cambria Math" w:eastAsiaTheme="minorEastAsia" w:hAnsi="Cambria Math"/>
                  <w:lang w:val="en-US"/>
                </w:rPr>
                <m:t>3</m:t>
              </m:r>
              <m:ctrlPr>
                <w:rPr>
                  <w:rFonts w:ascii="Cambria Math" w:eastAsiaTheme="minorEastAsia" w:hAnsi="Cambria Math"/>
                  <w:i/>
                </w:rPr>
              </m:ctrlPr>
            </m:e>
          </m:d>
        </m:oMath>
      </m:oMathPara>
    </w:p>
    <w:p w14:paraId="45E3A666" w14:textId="77777777" w:rsidR="0085137E" w:rsidRPr="0085137E" w:rsidRDefault="0085137E" w:rsidP="00660CBA">
      <w:pPr>
        <w:pStyle w:val="Sansinterligne"/>
        <w:jc w:val="both"/>
        <w:rPr>
          <w:rFonts w:eastAsiaTheme="minorEastAsia"/>
          <w:lang w:val="en-US"/>
        </w:rPr>
      </w:pPr>
    </w:p>
    <w:p w14:paraId="430FF17C" w14:textId="6A69C63B" w:rsidR="0092646F" w:rsidRDefault="0092646F" w:rsidP="00660CBA">
      <w:pPr>
        <w:pStyle w:val="Sansinterligne"/>
        <w:jc w:val="both"/>
        <w:rPr>
          <w:rFonts w:eastAsiaTheme="minorEastAsia"/>
        </w:rPr>
      </w:pPr>
      <w:r>
        <w:rPr>
          <w:rFonts w:eastAsiaTheme="minorEastAsia"/>
        </w:rPr>
        <w:t>Avec</w:t>
      </w:r>
      <w:r w:rsidR="0085137E">
        <w:rPr>
          <w:rFonts w:eastAsiaTheme="minorEastAsia"/>
        </w:rPr>
        <w:t xml:space="preserve"> </w:t>
      </w:r>
      <m:oMath>
        <m:r>
          <w:rPr>
            <w:rFonts w:ascii="Cambria Math" w:eastAsiaTheme="minorEastAsia" w:hAnsi="Cambria Math"/>
          </w:rPr>
          <m:t>P</m:t>
        </m:r>
        <m:r>
          <w:rPr>
            <w:rFonts w:ascii="Cambria Math" w:eastAsiaTheme="minorEastAsia" w:hAnsi="Cambria Math"/>
          </w:rPr>
          <m:t xml:space="preserve"> </m:t>
        </m:r>
      </m:oMath>
      <w:r>
        <w:rPr>
          <w:rFonts w:eastAsiaTheme="minorEastAsia"/>
        </w:rPr>
        <w:t>une fonction de pénalisation</w:t>
      </w:r>
      <w:r w:rsidR="002F4FD1">
        <w:rPr>
          <w:rFonts w:eastAsiaTheme="minorEastAsia"/>
        </w:rPr>
        <w:t xml:space="preserve">. L’expression 3 revient à minimiser l’écart entre l’observation et la prédiction de manière pénaliser. </w:t>
      </w:r>
    </w:p>
    <w:p w14:paraId="4161EDA9" w14:textId="77777777" w:rsidR="00FD6405" w:rsidRDefault="00FD6405" w:rsidP="00660CBA">
      <w:pPr>
        <w:pStyle w:val="Sansinterligne"/>
        <w:jc w:val="both"/>
        <w:rPr>
          <w:rFonts w:eastAsiaTheme="minorEastAsia"/>
        </w:rPr>
      </w:pPr>
    </w:p>
    <w:p w14:paraId="17C05A7F" w14:textId="022C1728" w:rsidR="00FD6405" w:rsidRPr="00FD6405" w:rsidRDefault="00FD6405" w:rsidP="00660CBA">
      <w:pPr>
        <w:pStyle w:val="Sansinterligne"/>
        <w:jc w:val="both"/>
        <w:rPr>
          <w:rFonts w:eastAsiaTheme="minorEastAsia"/>
        </w:rPr>
      </w:pPr>
      <w:r>
        <w:rPr>
          <w:rFonts w:eastAsiaTheme="minorEastAsia"/>
        </w:rPr>
        <w:t>L’ensemble de fonction</w:t>
      </w:r>
      <w:r w:rsidR="00606681">
        <w:rPr>
          <w:rFonts w:eastAsiaTheme="minorEastAsia"/>
        </w:rPr>
        <w:t>s</w:t>
      </w:r>
      <w:r>
        <w:rPr>
          <w:rFonts w:eastAsiaTheme="minorEastAsia"/>
        </w:rPr>
        <w:t xml:space="preserve"> de bases peuvent être des B </w:t>
      </w:r>
      <w:proofErr w:type="spellStart"/>
      <w:r>
        <w:rPr>
          <w:rFonts w:eastAsiaTheme="minorEastAsia"/>
        </w:rPr>
        <w:t>splines</w:t>
      </w:r>
      <w:proofErr w:type="spellEnd"/>
      <w:r>
        <w:rPr>
          <w:rFonts w:eastAsiaTheme="minorEastAsia"/>
        </w:rPr>
        <w:t>.</w:t>
      </w:r>
      <w:r>
        <w:rPr>
          <w:rFonts w:eastAsiaTheme="minorEastAsia"/>
        </w:rPr>
        <w:t xml:space="preserve"> </w:t>
      </w:r>
      <w:r w:rsidR="00606681">
        <w:rPr>
          <w:rFonts w:eastAsiaTheme="minorEastAsia"/>
        </w:rPr>
        <w:t xml:space="preserve">Dans ce cas, la pénalité est de forme quadratique, l’expression 3 revient donc à résoudre un problème de régression pénalisée Ridge. </w:t>
      </w:r>
    </w:p>
    <w:p w14:paraId="7611C232" w14:textId="2F33FC00" w:rsidR="00AD2B10" w:rsidRPr="00AD2B10" w:rsidRDefault="00AD2B10" w:rsidP="00660CBA">
      <w:pPr>
        <w:pStyle w:val="Sansinterligne"/>
        <w:jc w:val="both"/>
        <w:rPr>
          <w:rFonts w:eastAsiaTheme="minorEastAsia"/>
        </w:rPr>
      </w:pPr>
    </w:p>
    <w:p w14:paraId="2680FCC7" w14:textId="39CFD7E7" w:rsidR="004248E6" w:rsidRPr="004248E6" w:rsidRDefault="00BD639F" w:rsidP="00CD7F25">
      <w:pPr>
        <w:pStyle w:val="Titre2"/>
        <w:jc w:val="both"/>
      </w:pPr>
      <w:r>
        <w:t>Questions de recherche</w:t>
      </w:r>
    </w:p>
    <w:p w14:paraId="7863E0EE" w14:textId="6ABC1970" w:rsidR="00BD639F" w:rsidRDefault="00BD639F" w:rsidP="00CD7F25">
      <w:pPr>
        <w:pStyle w:val="Paragraphedeliste"/>
        <w:numPr>
          <w:ilvl w:val="0"/>
          <w:numId w:val="1"/>
        </w:numPr>
        <w:jc w:val="both"/>
      </w:pPr>
      <w:r>
        <w:t>Equivalence des spectres entre feuille sèche et feuille fraiche ?</w:t>
      </w:r>
    </w:p>
    <w:p w14:paraId="33AA2771" w14:textId="0CCE54A8" w:rsidR="00BD639F" w:rsidRDefault="00BD639F" w:rsidP="00CD7F25">
      <w:pPr>
        <w:pStyle w:val="Paragraphedeliste"/>
        <w:numPr>
          <w:ilvl w:val="0"/>
          <w:numId w:val="1"/>
        </w:numPr>
        <w:jc w:val="both"/>
      </w:pPr>
      <w:r>
        <w:t>Modèle d’association des spectres par variété</w:t>
      </w:r>
    </w:p>
    <w:p w14:paraId="25DE98A0" w14:textId="1F3C0CC9" w:rsidR="00BD639F" w:rsidRDefault="002D3AD4" w:rsidP="00CD7F25">
      <w:pPr>
        <w:pStyle w:val="Paragraphedeliste"/>
        <w:numPr>
          <w:ilvl w:val="0"/>
          <w:numId w:val="1"/>
        </w:numPr>
        <w:jc w:val="both"/>
      </w:pPr>
      <w:r>
        <w:t>Répartition des données dans les modèles (regarder les résidus dans les modèles linéaires, etc…)</w:t>
      </w:r>
    </w:p>
    <w:p w14:paraId="6F3D99BC" w14:textId="08BED08D" w:rsidR="002D3AD4" w:rsidRDefault="002D3AD4" w:rsidP="00CD7F25">
      <w:pPr>
        <w:pStyle w:val="Paragraphedeliste"/>
        <w:numPr>
          <w:ilvl w:val="0"/>
          <w:numId w:val="1"/>
        </w:numPr>
        <w:jc w:val="both"/>
      </w:pPr>
      <w:r>
        <w:t xml:space="preserve">Faire attention aux </w:t>
      </w:r>
      <w:proofErr w:type="spellStart"/>
      <w:r>
        <w:t>outlyers</w:t>
      </w:r>
      <w:proofErr w:type="spellEnd"/>
    </w:p>
    <w:p w14:paraId="6809072E" w14:textId="34259062" w:rsidR="002D3AD4" w:rsidRPr="00BD639F" w:rsidRDefault="002D3AD4" w:rsidP="00CD7F25">
      <w:pPr>
        <w:pStyle w:val="Paragraphedeliste"/>
        <w:numPr>
          <w:ilvl w:val="0"/>
          <w:numId w:val="1"/>
        </w:numPr>
        <w:jc w:val="both"/>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CD7F25">
      <w:pPr>
        <w:pStyle w:val="Titre2"/>
        <w:jc w:val="both"/>
      </w:pPr>
      <w:r>
        <w:t>Bibliographie</w:t>
      </w:r>
    </w:p>
    <w:p w14:paraId="63C8CF1D" w14:textId="77777777" w:rsidR="00BD639F" w:rsidRPr="00BD639F" w:rsidRDefault="00BD639F" w:rsidP="00CD7F25">
      <w:pPr>
        <w:jc w:val="both"/>
      </w:pPr>
    </w:p>
    <w:p w14:paraId="6306C342" w14:textId="77777777" w:rsidR="00BD639F" w:rsidRDefault="00BD639F" w:rsidP="00CD7F25">
      <w:pPr>
        <w:jc w:val="both"/>
      </w:pPr>
      <w:r>
        <w:lastRenderedPageBreak/>
        <w:t>Livre sur les données fonctionnelles :</w:t>
      </w:r>
    </w:p>
    <w:p w14:paraId="7F9D574C" w14:textId="157D999D" w:rsidR="00BD639F" w:rsidRPr="00BD639F" w:rsidRDefault="00BD639F" w:rsidP="00CD7F25">
      <w:pPr>
        <w:jc w:val="both"/>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CD7F25">
      <w:pPr>
        <w:pStyle w:val="Titre2"/>
        <w:jc w:val="both"/>
      </w:pPr>
      <w:r>
        <w:t>Brouillon</w:t>
      </w:r>
    </w:p>
    <w:p w14:paraId="358ACCCC" w14:textId="081E2C07" w:rsidR="003279EC" w:rsidRDefault="00703B99" w:rsidP="00CD7F25">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CD7F25">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CD7F25">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CD7F25">
      <w:pPr>
        <w:spacing w:line="240" w:lineRule="auto"/>
        <w:jc w:val="both"/>
        <w:rPr>
          <w:rFonts w:cstheme="minorHAnsi"/>
        </w:rPr>
      </w:pPr>
    </w:p>
    <w:p w14:paraId="124BC651" w14:textId="0A1DC024" w:rsidR="00BE31EB" w:rsidRPr="00BE31EB" w:rsidRDefault="00BE31EB" w:rsidP="00CD7F25">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CD7F25">
      <w:pPr>
        <w:spacing w:line="240" w:lineRule="auto"/>
        <w:jc w:val="both"/>
        <w:rPr>
          <w:rFonts w:cstheme="minorHAnsi"/>
        </w:rPr>
      </w:pPr>
    </w:p>
    <w:p w14:paraId="2C019F74" w14:textId="4E788128" w:rsidR="00BE31EB" w:rsidRPr="00BE31EB" w:rsidRDefault="00BE31EB" w:rsidP="00CD7F25">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CD7F25">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CD7F25">
      <w:pPr>
        <w:spacing w:line="240" w:lineRule="auto"/>
        <w:jc w:val="both"/>
        <w:rPr>
          <w:rFonts w:cstheme="minorHAnsi"/>
        </w:rPr>
      </w:pPr>
    </w:p>
    <w:p w14:paraId="6D3A90B6" w14:textId="7ACE872E" w:rsidR="0078502D" w:rsidRPr="0078502D" w:rsidRDefault="00BE31EB" w:rsidP="00CD7F25">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CD7F25">
      <w:pPr>
        <w:jc w:val="both"/>
        <w:rPr>
          <w:rFonts w:cstheme="minorHAnsi"/>
        </w:rPr>
      </w:pPr>
    </w:p>
    <w:p w14:paraId="566AFA1A" w14:textId="758DED9B" w:rsidR="00BE31EB" w:rsidRPr="00BE31EB" w:rsidRDefault="00BE31EB" w:rsidP="00CD7F25">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CD7F25">
      <w:pPr>
        <w:spacing w:line="240" w:lineRule="auto"/>
        <w:jc w:val="both"/>
        <w:rPr>
          <w:rFonts w:cstheme="minorHAnsi"/>
        </w:rPr>
      </w:pPr>
    </w:p>
    <w:p w14:paraId="487BDF28" w14:textId="77777777" w:rsidR="00BE31EB" w:rsidRPr="00BE31EB" w:rsidRDefault="00BE31EB" w:rsidP="00CD7F25">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CD7F25">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CD7F25">
      <w:pPr>
        <w:spacing w:line="240" w:lineRule="auto"/>
        <w:jc w:val="both"/>
        <w:rPr>
          <w:rFonts w:cstheme="minorHAnsi"/>
        </w:rPr>
      </w:pPr>
      <w:r w:rsidRPr="00BE31EB">
        <w:rPr>
          <w:rFonts w:cstheme="minorHAnsi"/>
        </w:rPr>
        <w:lastRenderedPageBreak/>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CD7F25">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CD7F25">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CD7F25">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CD7F25">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CD7F25">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CD7F25">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CD7F25">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CD7F25">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CD7F25">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CD7F25">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CD7F25">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CD7F25">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CD7F25">
      <w:pPr>
        <w:spacing w:line="240" w:lineRule="auto"/>
        <w:jc w:val="both"/>
        <w:rPr>
          <w:rFonts w:cstheme="minorHAnsi"/>
        </w:rPr>
      </w:pPr>
    </w:p>
    <w:p w14:paraId="2FDE3933" w14:textId="2D4EA6FB" w:rsidR="00BE31EB" w:rsidRPr="00BE31EB" w:rsidRDefault="00BE31EB" w:rsidP="00CD7F25">
      <w:pPr>
        <w:spacing w:line="240" w:lineRule="auto"/>
        <w:jc w:val="both"/>
        <w:rPr>
          <w:rFonts w:cstheme="minorHAnsi"/>
        </w:rPr>
      </w:pPr>
      <w:r w:rsidRPr="00BE31EB">
        <w:rPr>
          <w:rFonts w:cstheme="minorHAnsi"/>
        </w:rPr>
        <w:lastRenderedPageBreak/>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CD7F25">
      <w:pPr>
        <w:spacing w:line="240" w:lineRule="auto"/>
        <w:jc w:val="both"/>
        <w:rPr>
          <w:rFonts w:cstheme="minorHAnsi"/>
        </w:rPr>
      </w:pPr>
    </w:p>
    <w:p w14:paraId="36C6049E" w14:textId="00C9304B" w:rsidR="00454017" w:rsidRDefault="00454017" w:rsidP="00CD7F25">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4AF4F90"/>
    <w:multiLevelType w:val="hybridMultilevel"/>
    <w:tmpl w:val="19703F04"/>
    <w:lvl w:ilvl="0" w:tplc="770467C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5"/>
  </w:num>
  <w:num w:numId="2" w16cid:durableId="1562013530">
    <w:abstractNumId w:val="1"/>
  </w:num>
  <w:num w:numId="3" w16cid:durableId="1155562814">
    <w:abstractNumId w:val="0"/>
  </w:num>
  <w:num w:numId="4" w16cid:durableId="588125985">
    <w:abstractNumId w:val="4"/>
  </w:num>
  <w:num w:numId="5" w16cid:durableId="216859866">
    <w:abstractNumId w:val="3"/>
  </w:num>
  <w:num w:numId="6" w16cid:durableId="205724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26846"/>
    <w:rsid w:val="000401AA"/>
    <w:rsid w:val="00046F34"/>
    <w:rsid w:val="00072C8D"/>
    <w:rsid w:val="0008738E"/>
    <w:rsid w:val="000E6056"/>
    <w:rsid w:val="00127B77"/>
    <w:rsid w:val="00163212"/>
    <w:rsid w:val="0016582A"/>
    <w:rsid w:val="00191C23"/>
    <w:rsid w:val="001B679E"/>
    <w:rsid w:val="001C206C"/>
    <w:rsid w:val="001D46D0"/>
    <w:rsid w:val="001E0CBE"/>
    <w:rsid w:val="00224100"/>
    <w:rsid w:val="0023115F"/>
    <w:rsid w:val="00232F8E"/>
    <w:rsid w:val="00273E62"/>
    <w:rsid w:val="002D3AD4"/>
    <w:rsid w:val="002F4FD1"/>
    <w:rsid w:val="0030515B"/>
    <w:rsid w:val="003279EC"/>
    <w:rsid w:val="00342320"/>
    <w:rsid w:val="003824C6"/>
    <w:rsid w:val="00393E6B"/>
    <w:rsid w:val="003B23E8"/>
    <w:rsid w:val="003B57DA"/>
    <w:rsid w:val="004248E6"/>
    <w:rsid w:val="00437E00"/>
    <w:rsid w:val="00454017"/>
    <w:rsid w:val="00467AFA"/>
    <w:rsid w:val="004F70F3"/>
    <w:rsid w:val="005D262B"/>
    <w:rsid w:val="00606681"/>
    <w:rsid w:val="00614CF7"/>
    <w:rsid w:val="00660CBA"/>
    <w:rsid w:val="006C7A99"/>
    <w:rsid w:val="006F33D0"/>
    <w:rsid w:val="00703B99"/>
    <w:rsid w:val="0073724E"/>
    <w:rsid w:val="00775C44"/>
    <w:rsid w:val="0078502D"/>
    <w:rsid w:val="007C6ADF"/>
    <w:rsid w:val="008134AC"/>
    <w:rsid w:val="0083013B"/>
    <w:rsid w:val="00830E20"/>
    <w:rsid w:val="0085137E"/>
    <w:rsid w:val="008C6FED"/>
    <w:rsid w:val="0092646F"/>
    <w:rsid w:val="0094774A"/>
    <w:rsid w:val="009763D7"/>
    <w:rsid w:val="00981D73"/>
    <w:rsid w:val="009A6A8A"/>
    <w:rsid w:val="009D5EAD"/>
    <w:rsid w:val="00A471D2"/>
    <w:rsid w:val="00A732FA"/>
    <w:rsid w:val="00A73622"/>
    <w:rsid w:val="00AD2B10"/>
    <w:rsid w:val="00B31F00"/>
    <w:rsid w:val="00B3569F"/>
    <w:rsid w:val="00B37A3E"/>
    <w:rsid w:val="00B43ABD"/>
    <w:rsid w:val="00BB197E"/>
    <w:rsid w:val="00BD11C3"/>
    <w:rsid w:val="00BD639F"/>
    <w:rsid w:val="00BE31EB"/>
    <w:rsid w:val="00C7294D"/>
    <w:rsid w:val="00C927A5"/>
    <w:rsid w:val="00CB2948"/>
    <w:rsid w:val="00CD7F25"/>
    <w:rsid w:val="00CF3BCB"/>
    <w:rsid w:val="00D2786E"/>
    <w:rsid w:val="00D37A62"/>
    <w:rsid w:val="00D53191"/>
    <w:rsid w:val="00D55E19"/>
    <w:rsid w:val="00D919BE"/>
    <w:rsid w:val="00DA3757"/>
    <w:rsid w:val="00DD3478"/>
    <w:rsid w:val="00E21C18"/>
    <w:rsid w:val="00E52675"/>
    <w:rsid w:val="00E57AB5"/>
    <w:rsid w:val="00E754E4"/>
    <w:rsid w:val="00E75840"/>
    <w:rsid w:val="00EC7B76"/>
    <w:rsid w:val="00F26227"/>
    <w:rsid w:val="00F32AE9"/>
    <w:rsid w:val="00F43FAA"/>
    <w:rsid w:val="00F620A9"/>
    <w:rsid w:val="00FD6405"/>
    <w:rsid w:val="00FD786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 w:type="character" w:styleId="Textedelespacerserv">
    <w:name w:val="Placeholder Text"/>
    <w:basedOn w:val="Policepardfaut"/>
    <w:uiPriority w:val="99"/>
    <w:semiHidden/>
    <w:rsid w:val="00660C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4754</TotalTime>
  <Pages>11</Pages>
  <Words>2641</Words>
  <Characters>14530</Characters>
  <Application>Microsoft Office Word</Application>
  <DocSecurity>0</DocSecurity>
  <Lines>121</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23</cp:revision>
  <dcterms:created xsi:type="dcterms:W3CDTF">2025-11-26T09:30:00Z</dcterms:created>
  <dcterms:modified xsi:type="dcterms:W3CDTF">2025-12-09T10:09:00Z</dcterms:modified>
</cp:coreProperties>
</file>