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BB4E" w14:textId="639B5E49" w:rsidR="00BE31EB" w:rsidRPr="00BE31EB" w:rsidRDefault="00BE31EB" w:rsidP="006C7A99">
      <w:pPr>
        <w:spacing w:line="240" w:lineRule="auto"/>
        <w:jc w:val="both"/>
        <w:rPr>
          <w:rFonts w:cstheme="minorHAnsi"/>
        </w:rPr>
      </w:pPr>
      <w:r w:rsidRPr="00BE31EB">
        <w:rPr>
          <w:rFonts w:cstheme="minorHAnsi"/>
        </w:rPr>
        <w:t xml:space="preserve">La phase </w:t>
      </w:r>
      <w:r w:rsidR="006C7A99" w:rsidRPr="0078502D">
        <w:rPr>
          <w:rFonts w:cstheme="minorHAnsi"/>
        </w:rPr>
        <w:t>précoce</w:t>
      </w:r>
      <w:r w:rsidRPr="00BE31EB">
        <w:rPr>
          <w:rFonts w:cstheme="minorHAnsi"/>
        </w:rPr>
        <w:t xml:space="preserve"> est la phase de croissance du colza entre la germination et l'étape ou la plante à </w:t>
      </w:r>
      <w:proofErr w:type="spellStart"/>
      <w:r w:rsidR="006C7A99" w:rsidRPr="0078502D">
        <w:rPr>
          <w:rFonts w:cstheme="minorHAnsi"/>
        </w:rPr>
        <w:t>développée</w:t>
      </w:r>
      <w:proofErr w:type="spellEnd"/>
      <w:r w:rsidRPr="00BE31EB">
        <w:rPr>
          <w:rFonts w:cstheme="minorHAnsi"/>
        </w:rPr>
        <w:t xml:space="preserve"> 4 à 5 </w:t>
      </w:r>
      <w:r w:rsidR="006C7A99" w:rsidRPr="0078502D">
        <w:rPr>
          <w:rFonts w:cstheme="minorHAnsi"/>
        </w:rPr>
        <w:t>feuilles</w:t>
      </w:r>
      <w:r w:rsidRPr="00BE31EB">
        <w:rPr>
          <w:rFonts w:cstheme="minorHAnsi"/>
        </w:rPr>
        <w:t xml:space="preserve"> (thèse). La </w:t>
      </w:r>
      <w:r w:rsidR="006C7A99" w:rsidRPr="0078502D">
        <w:rPr>
          <w:rFonts w:cstheme="minorHAnsi"/>
        </w:rPr>
        <w:t>vigueur</w:t>
      </w:r>
      <w:r w:rsidRPr="00BE31EB">
        <w:rPr>
          <w:rFonts w:cstheme="minorHAnsi"/>
        </w:rPr>
        <w:t xml:space="preserve"> précoce du colza désigne la </w:t>
      </w:r>
      <w:r w:rsidR="006C7A99" w:rsidRPr="0078502D">
        <w:rPr>
          <w:rFonts w:cstheme="minorHAnsi"/>
        </w:rPr>
        <w:t>vigueur</w:t>
      </w:r>
      <w:r w:rsidRPr="00BE31EB">
        <w:rPr>
          <w:rFonts w:cstheme="minorHAnsi"/>
        </w:rPr>
        <w:t xml:space="preserve"> aux cours de ce stade précoce. </w:t>
      </w:r>
    </w:p>
    <w:p w14:paraId="60CF786D" w14:textId="77777777" w:rsidR="00BE31EB" w:rsidRPr="00BE31EB" w:rsidRDefault="00BE31EB" w:rsidP="006C7A99">
      <w:pPr>
        <w:spacing w:line="240" w:lineRule="auto"/>
        <w:jc w:val="both"/>
        <w:rPr>
          <w:rFonts w:cstheme="minorHAnsi"/>
        </w:rPr>
      </w:pPr>
    </w:p>
    <w:p w14:paraId="124BC651" w14:textId="0A1DC024" w:rsidR="00BE31EB" w:rsidRPr="00BE31EB" w:rsidRDefault="00BE31EB" w:rsidP="006C7A99">
      <w:pPr>
        <w:spacing w:line="240" w:lineRule="auto"/>
        <w:jc w:val="both"/>
        <w:rPr>
          <w:rFonts w:cstheme="minorHAnsi"/>
        </w:rPr>
      </w:pPr>
      <w:r w:rsidRPr="00BE31EB">
        <w:rPr>
          <w:rFonts w:cstheme="minorHAnsi"/>
        </w:rPr>
        <w:t xml:space="preserve">Un spectre infrarouge montre l'absorbance d'un composé en ordonnées en fonction des </w:t>
      </w:r>
      <w:r w:rsidR="006C7A99" w:rsidRPr="0078502D">
        <w:rPr>
          <w:rFonts w:cstheme="minorHAnsi"/>
        </w:rPr>
        <w:t>longueurs</w:t>
      </w:r>
      <w:r w:rsidRPr="00BE31EB">
        <w:rPr>
          <w:rFonts w:cstheme="minorHAnsi"/>
        </w:rPr>
        <w:t xml:space="preserve"> d'ondes en </w:t>
      </w:r>
      <w:r w:rsidR="006C7A99" w:rsidRPr="0078502D">
        <w:rPr>
          <w:rFonts w:cstheme="minorHAnsi"/>
        </w:rPr>
        <w:t>abscisses</w:t>
      </w:r>
      <w:r w:rsidRPr="00BE31EB">
        <w:rPr>
          <w:rFonts w:cstheme="minorHAnsi"/>
        </w:rPr>
        <w:t xml:space="preserve">. </w:t>
      </w:r>
    </w:p>
    <w:p w14:paraId="0003C74E" w14:textId="77777777" w:rsidR="00BE31EB" w:rsidRPr="00BE31EB" w:rsidRDefault="00BE31EB" w:rsidP="006C7A99">
      <w:pPr>
        <w:spacing w:line="240" w:lineRule="auto"/>
        <w:jc w:val="both"/>
        <w:rPr>
          <w:rFonts w:cstheme="minorHAnsi"/>
        </w:rPr>
      </w:pPr>
    </w:p>
    <w:p w14:paraId="2C019F74" w14:textId="4E788128" w:rsidR="00BE31EB" w:rsidRPr="00BE31EB" w:rsidRDefault="00BE31EB" w:rsidP="006C7A99">
      <w:pPr>
        <w:spacing w:line="240" w:lineRule="auto"/>
        <w:jc w:val="both"/>
        <w:rPr>
          <w:rFonts w:cstheme="minorHAnsi"/>
        </w:rPr>
      </w:pPr>
      <w:r w:rsidRPr="00BE31EB">
        <w:rPr>
          <w:rFonts w:cstheme="minorHAnsi"/>
        </w:rPr>
        <w:t xml:space="preserve">Données </w:t>
      </w:r>
      <w:r w:rsidR="006C7A99" w:rsidRPr="0078502D">
        <w:rPr>
          <w:rFonts w:cstheme="minorHAnsi"/>
        </w:rPr>
        <w:t>fonctionnelles :</w:t>
      </w:r>
      <w:r w:rsidRPr="00BE31EB">
        <w:rPr>
          <w:rFonts w:cstheme="minorHAnsi"/>
        </w:rPr>
        <w:t xml:space="preserve"> </w:t>
      </w:r>
    </w:p>
    <w:p w14:paraId="554EEDBF" w14:textId="79A96C0F" w:rsidR="00BE31EB" w:rsidRPr="00BE31EB" w:rsidRDefault="00BE31EB" w:rsidP="006C7A99">
      <w:pPr>
        <w:spacing w:line="240" w:lineRule="auto"/>
        <w:jc w:val="both"/>
        <w:rPr>
          <w:rFonts w:cstheme="minorHAnsi"/>
        </w:rPr>
      </w:pPr>
      <w:r w:rsidRPr="00BE31EB">
        <w:rPr>
          <w:rFonts w:cstheme="minorHAnsi"/>
        </w:rPr>
        <w:t xml:space="preserve">L'amélioration des technologies d'acquisition de données permettent aujourd'hui de collecter des données de manière quasi continue. Les observations ne sont plus des valeurs ponctuelles mais peuvent être considérées comme des fonctions continues. Des observations de telles variables sont </w:t>
      </w:r>
      <w:r w:rsidR="006C7A99" w:rsidRPr="0078502D">
        <w:rPr>
          <w:rFonts w:cstheme="minorHAnsi"/>
        </w:rPr>
        <w:t xml:space="preserve">appelées </w:t>
      </w:r>
      <w:r w:rsidRPr="00BE31EB">
        <w:rPr>
          <w:rFonts w:cstheme="minorHAnsi"/>
        </w:rPr>
        <w:t xml:space="preserve">des données </w:t>
      </w:r>
      <w:r w:rsidR="006C7A99" w:rsidRPr="0078502D">
        <w:rPr>
          <w:rFonts w:cstheme="minorHAnsi"/>
        </w:rPr>
        <w:t>fonctionnelles</w:t>
      </w:r>
      <w:r w:rsidRPr="00BE31EB">
        <w:rPr>
          <w:rFonts w:cstheme="minorHAnsi"/>
        </w:rPr>
        <w:t xml:space="preserve"> (FDA pour </w:t>
      </w:r>
      <w:proofErr w:type="spellStart"/>
      <w:r w:rsidRPr="00BE31EB">
        <w:rPr>
          <w:rFonts w:cstheme="minorHAnsi"/>
        </w:rPr>
        <w:t>Functional</w:t>
      </w:r>
      <w:proofErr w:type="spellEnd"/>
      <w:r w:rsidRPr="00BE31EB">
        <w:rPr>
          <w:rFonts w:cstheme="minorHAnsi"/>
        </w:rPr>
        <w:t xml:space="preserve"> Data </w:t>
      </w:r>
      <w:proofErr w:type="spellStart"/>
      <w:r w:rsidRPr="00BE31EB">
        <w:rPr>
          <w:rFonts w:cstheme="minorHAnsi"/>
        </w:rPr>
        <w:t>Analysis</w:t>
      </w:r>
      <w:proofErr w:type="spellEnd"/>
      <w:r w:rsidRPr="00BE31EB">
        <w:rPr>
          <w:rFonts w:cstheme="minorHAnsi"/>
        </w:rPr>
        <w:t xml:space="preserve">). </w:t>
      </w:r>
    </w:p>
    <w:p w14:paraId="5003A06D" w14:textId="77777777" w:rsidR="00BE31EB" w:rsidRPr="00BE31EB" w:rsidRDefault="00BE31EB" w:rsidP="006C7A99">
      <w:pPr>
        <w:spacing w:line="240" w:lineRule="auto"/>
        <w:jc w:val="both"/>
        <w:rPr>
          <w:rFonts w:cstheme="minorHAnsi"/>
        </w:rPr>
      </w:pPr>
    </w:p>
    <w:p w14:paraId="6D3A90B6" w14:textId="7ACE872E" w:rsidR="0078502D" w:rsidRPr="0078502D" w:rsidRDefault="00BE31EB" w:rsidP="006C7A99">
      <w:pPr>
        <w:spacing w:line="240" w:lineRule="auto"/>
        <w:jc w:val="both"/>
        <w:rPr>
          <w:rFonts w:cstheme="minorHAnsi"/>
        </w:rPr>
      </w:pPr>
      <w:r w:rsidRPr="00BE31EB">
        <w:rPr>
          <w:rFonts w:cstheme="minorHAnsi"/>
        </w:rPr>
        <w:t xml:space="preserve">Une données fonctionnelle aléatoire </w:t>
      </w:r>
      <w:r w:rsidRPr="00BE31EB">
        <w:rPr>
          <w:rFonts w:cstheme="minorHAnsi"/>
          <w:i/>
          <w:iCs/>
        </w:rPr>
        <w:t>X</w:t>
      </w:r>
      <w:r w:rsidRPr="00BE31EB">
        <w:rPr>
          <w:rFonts w:cstheme="minorHAnsi"/>
        </w:rPr>
        <w:t xml:space="preserve"> est définie dans un espace de probabilité et prend des valeurs dans un espace de fonction </w:t>
      </w:r>
      <w:r w:rsidRPr="00BE31EB">
        <w:rPr>
          <w:rFonts w:cstheme="minorHAnsi"/>
          <w:i/>
          <w:iCs/>
        </w:rPr>
        <w:t>H</w:t>
      </w:r>
      <w:r w:rsidRPr="00BE31EB">
        <w:rPr>
          <w:rFonts w:cstheme="minorHAnsi"/>
        </w:rPr>
        <w:t xml:space="preserve">. Par exemple, trouver une fonction </w:t>
      </w:r>
      <w:proofErr w:type="spellStart"/>
      <w:r w:rsidRPr="00BE31EB">
        <w:rPr>
          <w:rFonts w:cstheme="minorHAnsi"/>
        </w:rPr>
        <w:t>spline</w:t>
      </w:r>
      <w:proofErr w:type="spellEnd"/>
      <w:r w:rsidRPr="00BE31EB">
        <w:rPr>
          <w:rFonts w:cstheme="minorHAnsi"/>
        </w:rPr>
        <w:t xml:space="preserve"> sur des observations discrètes revient à trouver une variable fonctionnelle. </w:t>
      </w:r>
    </w:p>
    <w:p w14:paraId="04A46F4B" w14:textId="77777777" w:rsidR="0078502D" w:rsidRPr="0078502D" w:rsidRDefault="0078502D" w:rsidP="0078502D">
      <w:pPr>
        <w:rPr>
          <w:rFonts w:cstheme="minorHAnsi"/>
        </w:rPr>
      </w:pPr>
    </w:p>
    <w:p w14:paraId="566AFA1A" w14:textId="758DED9B" w:rsidR="00BE31EB" w:rsidRPr="00BE31EB" w:rsidRDefault="00BE31EB" w:rsidP="006C7A99">
      <w:pPr>
        <w:spacing w:line="240" w:lineRule="auto"/>
        <w:jc w:val="both"/>
        <w:rPr>
          <w:rFonts w:cstheme="minorHAnsi"/>
        </w:rPr>
      </w:pPr>
      <w:r w:rsidRPr="00BE31EB">
        <w:rPr>
          <w:rFonts w:cstheme="minorHAnsi"/>
        </w:rPr>
        <w:t>L'espace de fonction le plus étudié est l'espace de Hilbert. Un espace de Hilbert est un espace vectoriel (</w:t>
      </w:r>
      <w:proofErr w:type="spellStart"/>
      <w:r w:rsidRPr="00BE31EB">
        <w:rPr>
          <w:rFonts w:cstheme="minorHAnsi"/>
        </w:rPr>
        <w:t>ie</w:t>
      </w:r>
      <w:proofErr w:type="spellEnd"/>
      <w:r w:rsidRPr="00BE31EB">
        <w:rPr>
          <w:rFonts w:cstheme="minorHAnsi"/>
        </w:rPr>
        <w:t xml:space="preserve">. </w:t>
      </w:r>
      <w:r w:rsidR="006C7A99" w:rsidRPr="0078502D">
        <w:rPr>
          <w:rFonts w:cstheme="minorHAnsi"/>
        </w:rPr>
        <w:t>L’addition</w:t>
      </w:r>
      <w:r w:rsidRPr="00BE31EB">
        <w:rPr>
          <w:rFonts w:cstheme="minorHAnsi"/>
        </w:rPr>
        <w:t xml:space="preserve"> ou la multiplication de deux éléments d'un tel espace donnera un résultat qui appartient encore </w:t>
      </w:r>
      <w:r w:rsidR="006C7A99" w:rsidRPr="0078502D">
        <w:rPr>
          <w:rFonts w:cstheme="minorHAnsi"/>
        </w:rPr>
        <w:t>à</w:t>
      </w:r>
      <w:r w:rsidRPr="00BE31EB">
        <w:rPr>
          <w:rFonts w:cstheme="minorHAnsi"/>
        </w:rPr>
        <w:t xml:space="preserve"> cet espace). </w:t>
      </w:r>
    </w:p>
    <w:p w14:paraId="61099A93" w14:textId="77777777" w:rsidR="00BE31EB" w:rsidRPr="00BE31EB" w:rsidRDefault="00BE31EB" w:rsidP="006C7A99">
      <w:pPr>
        <w:spacing w:line="240" w:lineRule="auto"/>
        <w:jc w:val="both"/>
        <w:rPr>
          <w:rFonts w:cstheme="minorHAnsi"/>
        </w:rPr>
      </w:pPr>
    </w:p>
    <w:p w14:paraId="487BDF28" w14:textId="77777777" w:rsidR="00BE31EB" w:rsidRPr="00BE31EB" w:rsidRDefault="00BE31EB" w:rsidP="006C7A99">
      <w:pPr>
        <w:spacing w:line="240" w:lineRule="auto"/>
        <w:jc w:val="both"/>
        <w:rPr>
          <w:rFonts w:cstheme="minorHAnsi"/>
        </w:rPr>
      </w:pPr>
      <w:proofErr w:type="spellStart"/>
      <w:r w:rsidRPr="00BE31EB">
        <w:rPr>
          <w:rFonts w:cstheme="minorHAnsi"/>
        </w:rPr>
        <w:t>Sample_</w:t>
      </w:r>
      <w:proofErr w:type="gramStart"/>
      <w:r w:rsidRPr="00BE31EB">
        <w:rPr>
          <w:rFonts w:cstheme="minorHAnsi"/>
        </w:rPr>
        <w:t>ID</w:t>
      </w:r>
      <w:proofErr w:type="spellEnd"/>
      <w:r w:rsidRPr="00BE31EB">
        <w:rPr>
          <w:rFonts w:cstheme="minorHAnsi"/>
        </w:rPr>
        <w:t>:</w:t>
      </w:r>
      <w:proofErr w:type="gramEnd"/>
      <w:r w:rsidRPr="00BE31EB">
        <w:rPr>
          <w:rFonts w:cstheme="minorHAnsi"/>
        </w:rPr>
        <w:t xml:space="preserve"> Numéro d'identification unique de l'échantillon.</w:t>
      </w:r>
    </w:p>
    <w:p w14:paraId="532CCEA2" w14:textId="77777777" w:rsidR="00BE31EB" w:rsidRPr="00BE31EB" w:rsidRDefault="00BE31EB" w:rsidP="006C7A99">
      <w:pPr>
        <w:spacing w:line="240" w:lineRule="auto"/>
        <w:jc w:val="both"/>
        <w:rPr>
          <w:rFonts w:cstheme="minorHAnsi"/>
        </w:rPr>
      </w:pPr>
      <w:r w:rsidRPr="00BE31EB">
        <w:rPr>
          <w:rFonts w:cstheme="minorHAnsi"/>
        </w:rPr>
        <w:br/>
      </w:r>
      <w:proofErr w:type="gramStart"/>
      <w:r w:rsidRPr="00BE31EB">
        <w:rPr>
          <w:rFonts w:cstheme="minorHAnsi"/>
        </w:rPr>
        <w:t>Accession:</w:t>
      </w:r>
      <w:proofErr w:type="gramEnd"/>
      <w:r w:rsidRPr="00BE31EB">
        <w:rPr>
          <w:rFonts w:cstheme="minorHAnsi"/>
        </w:rPr>
        <w:t xml:space="preserve"> Génotypes</w:t>
      </w:r>
    </w:p>
    <w:p w14:paraId="78FFF32A" w14:textId="77777777" w:rsidR="00BE31EB" w:rsidRPr="00BE31EB" w:rsidRDefault="00BE31EB" w:rsidP="006C7A99">
      <w:pPr>
        <w:spacing w:line="240" w:lineRule="auto"/>
        <w:jc w:val="both"/>
        <w:rPr>
          <w:rFonts w:cstheme="minorHAnsi"/>
        </w:rPr>
      </w:pPr>
      <w:r w:rsidRPr="00BE31EB">
        <w:rPr>
          <w:rFonts w:cstheme="minorHAnsi"/>
        </w:rPr>
        <w:br/>
      </w:r>
      <w:proofErr w:type="spellStart"/>
      <w:r w:rsidRPr="00BE31EB">
        <w:rPr>
          <w:rFonts w:cstheme="minorHAnsi"/>
        </w:rPr>
        <w:t>Growth</w:t>
      </w:r>
      <w:proofErr w:type="spellEnd"/>
      <w:r w:rsidRPr="00BE31EB">
        <w:rPr>
          <w:rFonts w:cstheme="minorHAnsi"/>
        </w:rPr>
        <w:t xml:space="preserve"> </w:t>
      </w:r>
      <w:proofErr w:type="spellStart"/>
      <w:proofErr w:type="gramStart"/>
      <w:r w:rsidRPr="00BE31EB">
        <w:rPr>
          <w:rFonts w:cstheme="minorHAnsi"/>
        </w:rPr>
        <w:t>season</w:t>
      </w:r>
      <w:proofErr w:type="spellEnd"/>
      <w:r w:rsidRPr="00BE31EB">
        <w:rPr>
          <w:rFonts w:cstheme="minorHAnsi"/>
        </w:rPr>
        <w:t>:</w:t>
      </w:r>
      <w:proofErr w:type="gramEnd"/>
      <w:r w:rsidRPr="00BE31EB">
        <w:rPr>
          <w:rFonts w:cstheme="minorHAnsi"/>
        </w:rPr>
        <w:t xml:space="preserve"> Saison de croissance (2014-</w:t>
      </w:r>
      <w:proofErr w:type="gramStart"/>
      <w:r w:rsidRPr="00BE31EB">
        <w:rPr>
          <w:rFonts w:cstheme="minorHAnsi"/>
        </w:rPr>
        <w:t>2015;</w:t>
      </w:r>
      <w:proofErr w:type="gramEnd"/>
      <w:r w:rsidRPr="00BE31EB">
        <w:rPr>
          <w:rFonts w:cstheme="minorHAnsi"/>
        </w:rPr>
        <w:t xml:space="preserve"> 2015-</w:t>
      </w:r>
      <w:proofErr w:type="gramStart"/>
      <w:r w:rsidRPr="00BE31EB">
        <w:rPr>
          <w:rFonts w:cstheme="minorHAnsi"/>
        </w:rPr>
        <w:t>2016;</w:t>
      </w:r>
      <w:proofErr w:type="gramEnd"/>
      <w:r w:rsidRPr="00BE31EB">
        <w:rPr>
          <w:rFonts w:cstheme="minorHAnsi"/>
        </w:rPr>
        <w:t xml:space="preserve"> 2016-2017).</w:t>
      </w:r>
    </w:p>
    <w:p w14:paraId="0E209C0E" w14:textId="77777777" w:rsidR="00BE31EB" w:rsidRPr="00BE31EB" w:rsidRDefault="00BE31EB" w:rsidP="006C7A99">
      <w:pPr>
        <w:spacing w:line="240" w:lineRule="auto"/>
        <w:jc w:val="both"/>
        <w:rPr>
          <w:rFonts w:cstheme="minorHAnsi"/>
        </w:rPr>
      </w:pPr>
      <w:r w:rsidRPr="00BE31EB">
        <w:rPr>
          <w:rFonts w:cstheme="minorHAnsi"/>
        </w:rPr>
        <w:br/>
      </w:r>
      <w:proofErr w:type="spellStart"/>
      <w:r w:rsidRPr="00BE31EB">
        <w:rPr>
          <w:rFonts w:cstheme="minorHAnsi"/>
        </w:rPr>
        <w:t>Growth</w:t>
      </w:r>
      <w:proofErr w:type="spellEnd"/>
      <w:r w:rsidRPr="00BE31EB">
        <w:rPr>
          <w:rFonts w:cstheme="minorHAnsi"/>
        </w:rPr>
        <w:t xml:space="preserve"> </w:t>
      </w:r>
      <w:proofErr w:type="gramStart"/>
      <w:r w:rsidRPr="00BE31EB">
        <w:rPr>
          <w:rFonts w:cstheme="minorHAnsi"/>
        </w:rPr>
        <w:t>condition:</w:t>
      </w:r>
      <w:proofErr w:type="gramEnd"/>
      <w:r w:rsidRPr="00BE31EB">
        <w:rPr>
          <w:rFonts w:cstheme="minorHAnsi"/>
        </w:rPr>
        <w:t xml:space="preserve"> Conditions de culture soit en champs soit en tunnel </w:t>
      </w:r>
    </w:p>
    <w:p w14:paraId="140F7A10" w14:textId="57BF4DAB" w:rsidR="00BE31EB" w:rsidRPr="00BE31EB" w:rsidRDefault="00BE31EB" w:rsidP="006C7A99">
      <w:pPr>
        <w:spacing w:line="240" w:lineRule="auto"/>
        <w:jc w:val="both"/>
        <w:rPr>
          <w:rFonts w:cstheme="minorHAnsi"/>
        </w:rPr>
      </w:pPr>
      <w:r w:rsidRPr="00BE31EB">
        <w:rPr>
          <w:rFonts w:cstheme="minorHAnsi"/>
        </w:rPr>
        <w:br/>
        <w:t xml:space="preserve">N </w:t>
      </w:r>
      <w:proofErr w:type="spellStart"/>
      <w:proofErr w:type="gramStart"/>
      <w:r w:rsidRPr="00BE31EB">
        <w:rPr>
          <w:rFonts w:cstheme="minorHAnsi"/>
        </w:rPr>
        <w:t>regime</w:t>
      </w:r>
      <w:proofErr w:type="spellEnd"/>
      <w:r w:rsidRPr="00BE31EB">
        <w:rPr>
          <w:rFonts w:cstheme="minorHAnsi"/>
        </w:rPr>
        <w:t>:</w:t>
      </w:r>
      <w:proofErr w:type="gramEnd"/>
      <w:r w:rsidRPr="00BE31EB">
        <w:rPr>
          <w:rFonts w:cstheme="minorHAnsi"/>
        </w:rPr>
        <w:t xml:space="preserve"> Fertilisation azoté apporté au stade de monté en graine. N+ désigne des apports azotés optimaux pour atteindre un </w:t>
      </w:r>
      <w:r w:rsidR="006C7A99" w:rsidRPr="0078502D">
        <w:rPr>
          <w:rFonts w:cstheme="minorHAnsi"/>
        </w:rPr>
        <w:t>rendement</w:t>
      </w:r>
      <w:r w:rsidRPr="00BE31EB">
        <w:rPr>
          <w:rFonts w:cstheme="minorHAnsi"/>
        </w:rPr>
        <w:t xml:space="preserve"> de 3.5 </w:t>
      </w:r>
      <w:proofErr w:type="gramStart"/>
      <w:r w:rsidRPr="00BE31EB">
        <w:rPr>
          <w:rFonts w:cstheme="minorHAnsi"/>
        </w:rPr>
        <w:t>t.ha</w:t>
      </w:r>
      <w:proofErr w:type="gramEnd"/>
      <w:r w:rsidRPr="00BE31EB">
        <w:rPr>
          <w:rFonts w:cstheme="minorHAnsi"/>
        </w:rPr>
        <w:t xml:space="preserve">-1 de graine de colza. N- désigne un apport sous-optimal </w:t>
      </w:r>
      <w:proofErr w:type="gramStart"/>
      <w:r w:rsidRPr="00BE31EB">
        <w:rPr>
          <w:rFonts w:cstheme="minorHAnsi"/>
        </w:rPr>
        <w:t>de  80</w:t>
      </w:r>
      <w:proofErr w:type="gramEnd"/>
      <w:r w:rsidRPr="00BE31EB">
        <w:rPr>
          <w:rFonts w:cstheme="minorHAnsi"/>
        </w:rPr>
        <w:t xml:space="preserve">-100 </w:t>
      </w:r>
      <w:proofErr w:type="gramStart"/>
      <w:r w:rsidRPr="00BE31EB">
        <w:rPr>
          <w:rFonts w:cstheme="minorHAnsi"/>
        </w:rPr>
        <w:t>kg.ha</w:t>
      </w:r>
      <w:proofErr w:type="gramEnd"/>
      <w:r w:rsidRPr="00BE31EB">
        <w:rPr>
          <w:rFonts w:cstheme="minorHAnsi"/>
        </w:rPr>
        <w:t>-1 d'azote</w:t>
      </w:r>
    </w:p>
    <w:p w14:paraId="30CA7B66" w14:textId="77777777" w:rsidR="00BE31EB" w:rsidRPr="00BE31EB" w:rsidRDefault="00BE31EB" w:rsidP="006C7A99">
      <w:pPr>
        <w:spacing w:line="240" w:lineRule="auto"/>
        <w:jc w:val="both"/>
        <w:rPr>
          <w:rFonts w:cstheme="minorHAnsi"/>
        </w:rPr>
      </w:pPr>
      <w:r w:rsidRPr="00BE31EB">
        <w:rPr>
          <w:rFonts w:cstheme="minorHAnsi"/>
        </w:rPr>
        <w:br/>
        <w:t xml:space="preserve">W </w:t>
      </w:r>
      <w:proofErr w:type="spellStart"/>
      <w:proofErr w:type="gramStart"/>
      <w:r w:rsidRPr="00BE31EB">
        <w:rPr>
          <w:rFonts w:cstheme="minorHAnsi"/>
        </w:rPr>
        <w:t>regime</w:t>
      </w:r>
      <w:proofErr w:type="spellEnd"/>
      <w:r w:rsidRPr="00BE31EB">
        <w:rPr>
          <w:rFonts w:cstheme="minorHAnsi"/>
        </w:rPr>
        <w:t>:</w:t>
      </w:r>
      <w:proofErr w:type="gramEnd"/>
      <w:r w:rsidRPr="00BE31EB">
        <w:rPr>
          <w:rFonts w:cstheme="minorHAnsi"/>
        </w:rPr>
        <w:t xml:space="preserve"> Apports en eau </w:t>
      </w:r>
      <w:proofErr w:type="spellStart"/>
      <w:proofErr w:type="gramStart"/>
      <w:r w:rsidRPr="00BE31EB">
        <w:rPr>
          <w:rFonts w:cstheme="minorHAnsi"/>
        </w:rPr>
        <w:t>a</w:t>
      </w:r>
      <w:proofErr w:type="spellEnd"/>
      <w:proofErr w:type="gramEnd"/>
      <w:r w:rsidRPr="00BE31EB">
        <w:rPr>
          <w:rFonts w:cstheme="minorHAnsi"/>
        </w:rPr>
        <w:t xml:space="preserve"> partir du stade de floraison. W+ indique un apport en eau optimal avec un potentiel en eau du substrat de -200 mbar. W- correspond à un apport en eau sous-optimal avec un potentiel en eau du substrat de -600 mbar. </w:t>
      </w:r>
    </w:p>
    <w:p w14:paraId="62ECCBBF" w14:textId="77777777" w:rsidR="00BE31EB" w:rsidRPr="00BE31EB" w:rsidRDefault="00BE31EB" w:rsidP="006C7A99">
      <w:pPr>
        <w:spacing w:line="240" w:lineRule="auto"/>
        <w:jc w:val="both"/>
        <w:rPr>
          <w:rFonts w:cstheme="minorHAnsi"/>
        </w:rPr>
      </w:pPr>
      <w:r w:rsidRPr="00BE31EB">
        <w:rPr>
          <w:rFonts w:cstheme="minorHAnsi"/>
        </w:rPr>
        <w:lastRenderedPageBreak/>
        <w:br/>
      </w:r>
      <w:proofErr w:type="gramStart"/>
      <w:r w:rsidRPr="00BE31EB">
        <w:rPr>
          <w:rFonts w:cstheme="minorHAnsi"/>
        </w:rPr>
        <w:t>Tissue:</w:t>
      </w:r>
      <w:proofErr w:type="gramEnd"/>
      <w:r w:rsidRPr="00BE31EB">
        <w:rPr>
          <w:rFonts w:cstheme="minorHAnsi"/>
        </w:rPr>
        <w:t xml:space="preserve"> Tissus végétaux d'</w:t>
      </w:r>
      <w:proofErr w:type="spellStart"/>
      <w:r w:rsidRPr="00BE31EB">
        <w:rPr>
          <w:rFonts w:cstheme="minorHAnsi"/>
        </w:rPr>
        <w:t>ou</w:t>
      </w:r>
      <w:proofErr w:type="spellEnd"/>
      <w:r w:rsidRPr="00BE31EB">
        <w:rPr>
          <w:rFonts w:cstheme="minorHAnsi"/>
        </w:rPr>
        <w:t xml:space="preserve"> proviennent les échantillons dont les racines, les feuilles, les tiges, les fleurs et les gousses de graines.</w:t>
      </w:r>
    </w:p>
    <w:p w14:paraId="31515A78" w14:textId="43D1C628" w:rsidR="00BE31EB" w:rsidRPr="00BE31EB" w:rsidRDefault="00BE31EB" w:rsidP="006C7A99">
      <w:pPr>
        <w:spacing w:line="240" w:lineRule="auto"/>
        <w:jc w:val="both"/>
        <w:rPr>
          <w:rFonts w:cstheme="minorHAnsi"/>
        </w:rPr>
      </w:pPr>
      <w:r w:rsidRPr="00BE31EB">
        <w:rPr>
          <w:rFonts w:cstheme="minorHAnsi"/>
        </w:rPr>
        <w:br/>
        <w:t xml:space="preserve">BBCH dev. </w:t>
      </w:r>
      <w:proofErr w:type="gramStart"/>
      <w:r w:rsidRPr="00BE31EB">
        <w:rPr>
          <w:rFonts w:cstheme="minorHAnsi"/>
        </w:rPr>
        <w:t>Stage:</w:t>
      </w:r>
      <w:proofErr w:type="gramEnd"/>
      <w:r w:rsidRPr="00BE31EB">
        <w:rPr>
          <w:rFonts w:cstheme="minorHAnsi"/>
        </w:rPr>
        <w:t xml:space="preserve"> Stade de </w:t>
      </w:r>
      <w:r w:rsidR="006C7A99" w:rsidRPr="0078502D">
        <w:rPr>
          <w:rFonts w:cstheme="minorHAnsi"/>
        </w:rPr>
        <w:t>développement</w:t>
      </w:r>
      <w:r w:rsidRPr="00BE31EB">
        <w:rPr>
          <w:rFonts w:cstheme="minorHAnsi"/>
        </w:rPr>
        <w:t xml:space="preserve"> d'</w:t>
      </w:r>
      <w:proofErr w:type="spellStart"/>
      <w:r w:rsidRPr="00BE31EB">
        <w:rPr>
          <w:rFonts w:cstheme="minorHAnsi"/>
        </w:rPr>
        <w:t>ou</w:t>
      </w:r>
      <w:proofErr w:type="spellEnd"/>
      <w:r w:rsidRPr="00BE31EB">
        <w:rPr>
          <w:rFonts w:cstheme="minorHAnsi"/>
        </w:rPr>
        <w:t xml:space="preserve"> </w:t>
      </w:r>
      <w:proofErr w:type="spellStart"/>
      <w:proofErr w:type="gramStart"/>
      <w:r w:rsidRPr="00BE31EB">
        <w:rPr>
          <w:rFonts w:cstheme="minorHAnsi"/>
        </w:rPr>
        <w:t>on</w:t>
      </w:r>
      <w:proofErr w:type="spellEnd"/>
      <w:proofErr w:type="gramEnd"/>
      <w:r w:rsidRPr="00BE31EB">
        <w:rPr>
          <w:rFonts w:cstheme="minorHAnsi"/>
        </w:rPr>
        <w:t xml:space="preserve"> été prélevés les échantillons. </w:t>
      </w:r>
    </w:p>
    <w:p w14:paraId="19087FA5" w14:textId="77777777" w:rsidR="00BE31EB" w:rsidRPr="00BE31EB" w:rsidRDefault="00BE31EB" w:rsidP="006C7A99">
      <w:pPr>
        <w:spacing w:line="240" w:lineRule="auto"/>
        <w:jc w:val="both"/>
        <w:rPr>
          <w:rFonts w:cstheme="minorHAnsi"/>
        </w:rPr>
      </w:pPr>
      <w:r w:rsidRPr="00BE31EB">
        <w:rPr>
          <w:rFonts w:cstheme="minorHAnsi"/>
        </w:rPr>
        <w:t>15-19 stage = Plante possédant les 5 à 9 feuilles</w:t>
      </w:r>
    </w:p>
    <w:p w14:paraId="76158C71" w14:textId="17A66803" w:rsidR="00BE31EB" w:rsidRPr="00BE31EB" w:rsidRDefault="00BE31EB" w:rsidP="006C7A99">
      <w:pPr>
        <w:spacing w:line="240" w:lineRule="auto"/>
        <w:jc w:val="both"/>
        <w:rPr>
          <w:rFonts w:cstheme="minorHAnsi"/>
        </w:rPr>
      </w:pPr>
      <w:r w:rsidRPr="00BE31EB">
        <w:rPr>
          <w:rFonts w:cstheme="minorHAnsi"/>
        </w:rPr>
        <w:t xml:space="preserve">31-35 stage = Stade de montée en graine, la plante montre 1 à 5 </w:t>
      </w:r>
      <w:r w:rsidR="006C7A99" w:rsidRPr="0078502D">
        <w:rPr>
          <w:rFonts w:cstheme="minorHAnsi"/>
        </w:rPr>
        <w:t>entrenœuds</w:t>
      </w:r>
    </w:p>
    <w:p w14:paraId="33B9D166" w14:textId="77777777" w:rsidR="00BE31EB" w:rsidRPr="00BE31EB" w:rsidRDefault="00BE31EB" w:rsidP="006C7A99">
      <w:pPr>
        <w:spacing w:line="240" w:lineRule="auto"/>
        <w:jc w:val="both"/>
        <w:rPr>
          <w:rFonts w:cstheme="minorHAnsi"/>
        </w:rPr>
      </w:pPr>
      <w:r w:rsidRPr="00BE31EB">
        <w:rPr>
          <w:rFonts w:cstheme="minorHAnsi"/>
        </w:rPr>
        <w:t>55-59 stage = Production de l'inflorescence principale</w:t>
      </w:r>
    </w:p>
    <w:p w14:paraId="7AA303C1" w14:textId="77777777" w:rsidR="00BE31EB" w:rsidRPr="00BE31EB" w:rsidRDefault="00BE31EB" w:rsidP="006C7A99">
      <w:pPr>
        <w:spacing w:line="240" w:lineRule="auto"/>
        <w:jc w:val="both"/>
        <w:rPr>
          <w:rFonts w:cstheme="minorHAnsi"/>
        </w:rPr>
      </w:pPr>
      <w:r w:rsidRPr="00BE31EB">
        <w:rPr>
          <w:rFonts w:cstheme="minorHAnsi"/>
        </w:rPr>
        <w:t>61-65 stage = Stade de floraison</w:t>
      </w:r>
    </w:p>
    <w:p w14:paraId="5AD3EAD0" w14:textId="034C2435" w:rsidR="00BE31EB" w:rsidRPr="00BE31EB" w:rsidRDefault="00BE31EB" w:rsidP="006C7A99">
      <w:pPr>
        <w:spacing w:line="240" w:lineRule="auto"/>
        <w:jc w:val="both"/>
        <w:rPr>
          <w:rFonts w:cstheme="minorHAnsi"/>
        </w:rPr>
      </w:pPr>
      <w:r w:rsidRPr="00BE31EB">
        <w:rPr>
          <w:rFonts w:cstheme="minorHAnsi"/>
        </w:rPr>
        <w:t xml:space="preserve">70-75 stage = </w:t>
      </w:r>
      <w:r w:rsidR="006C7A99" w:rsidRPr="0078502D">
        <w:rPr>
          <w:rFonts w:cstheme="minorHAnsi"/>
        </w:rPr>
        <w:t>Développement</w:t>
      </w:r>
      <w:r w:rsidRPr="00BE31EB">
        <w:rPr>
          <w:rFonts w:cstheme="minorHAnsi"/>
        </w:rPr>
        <w:t xml:space="preserve"> des graines</w:t>
      </w:r>
    </w:p>
    <w:p w14:paraId="0EE41664" w14:textId="77777777" w:rsidR="00BE31EB" w:rsidRPr="00BE31EB" w:rsidRDefault="00BE31EB" w:rsidP="006C7A99">
      <w:pPr>
        <w:spacing w:line="240" w:lineRule="auto"/>
        <w:jc w:val="both"/>
        <w:rPr>
          <w:rFonts w:cstheme="minorHAnsi"/>
        </w:rPr>
      </w:pPr>
      <w:r w:rsidRPr="00BE31EB">
        <w:rPr>
          <w:rFonts w:cstheme="minorHAnsi"/>
        </w:rPr>
        <w:t>79-85 stage = Maturation des graines</w:t>
      </w:r>
    </w:p>
    <w:p w14:paraId="5F3BB239" w14:textId="2CC56F61" w:rsidR="00BE31EB" w:rsidRPr="00BE31EB" w:rsidRDefault="00BE31EB" w:rsidP="006C7A99">
      <w:pPr>
        <w:spacing w:line="240" w:lineRule="auto"/>
        <w:jc w:val="both"/>
        <w:rPr>
          <w:rFonts w:cstheme="minorHAnsi"/>
        </w:rPr>
      </w:pPr>
      <w:r w:rsidRPr="00BE31EB">
        <w:rPr>
          <w:rFonts w:cstheme="minorHAnsi"/>
        </w:rPr>
        <w:t xml:space="preserve">89-91 stage = Phase de </w:t>
      </w:r>
      <w:r w:rsidR="006C7A99" w:rsidRPr="0078502D">
        <w:rPr>
          <w:rFonts w:cstheme="minorHAnsi"/>
        </w:rPr>
        <w:t>sénescence</w:t>
      </w:r>
      <w:r w:rsidRPr="00BE31EB">
        <w:rPr>
          <w:rFonts w:cstheme="minorHAnsi"/>
        </w:rPr>
        <w:t xml:space="preserve"> de la plante</w:t>
      </w:r>
    </w:p>
    <w:p w14:paraId="103121E1" w14:textId="77777777" w:rsidR="00BE31EB" w:rsidRPr="00BE31EB" w:rsidRDefault="00BE31EB" w:rsidP="006C7A99">
      <w:pPr>
        <w:spacing w:line="240" w:lineRule="auto"/>
        <w:jc w:val="both"/>
        <w:rPr>
          <w:rFonts w:cstheme="minorHAnsi"/>
        </w:rPr>
      </w:pPr>
      <w:r w:rsidRPr="00BE31EB">
        <w:rPr>
          <w:rFonts w:cstheme="minorHAnsi"/>
        </w:rPr>
        <w:br/>
        <w:t>N content (%DM</w:t>
      </w:r>
      <w:proofErr w:type="gramStart"/>
      <w:r w:rsidRPr="00BE31EB">
        <w:rPr>
          <w:rFonts w:cstheme="minorHAnsi"/>
        </w:rPr>
        <w:t>):</w:t>
      </w:r>
      <w:proofErr w:type="gramEnd"/>
      <w:r w:rsidRPr="00BE31EB">
        <w:rPr>
          <w:rFonts w:cstheme="minorHAnsi"/>
        </w:rPr>
        <w:t xml:space="preserve"> Contenu en azote dans l'échantillon en pourcentage de matière sèche.</w:t>
      </w:r>
    </w:p>
    <w:p w14:paraId="47ED812A" w14:textId="77777777" w:rsidR="00BE31EB" w:rsidRPr="00BE31EB" w:rsidRDefault="00BE31EB" w:rsidP="006C7A99">
      <w:pPr>
        <w:spacing w:line="240" w:lineRule="auto"/>
        <w:jc w:val="both"/>
        <w:rPr>
          <w:rFonts w:cstheme="minorHAnsi"/>
        </w:rPr>
      </w:pPr>
      <w:r w:rsidRPr="00BE31EB">
        <w:rPr>
          <w:rFonts w:cstheme="minorHAnsi"/>
        </w:rPr>
        <w:br/>
      </w:r>
      <w:proofErr w:type="spellStart"/>
      <w:r w:rsidRPr="00BE31EB">
        <w:rPr>
          <w:rFonts w:cstheme="minorHAnsi"/>
        </w:rPr>
        <w:t>N_model_set</w:t>
      </w:r>
      <w:proofErr w:type="spellEnd"/>
      <w:r w:rsidRPr="00BE31EB">
        <w:rPr>
          <w:rFonts w:cstheme="minorHAnsi"/>
        </w:rPr>
        <w:t>-</w:t>
      </w:r>
      <w:proofErr w:type="gramStart"/>
      <w:r w:rsidRPr="00BE31EB">
        <w:rPr>
          <w:rFonts w:cstheme="minorHAnsi"/>
        </w:rPr>
        <w:t>type:</w:t>
      </w:r>
      <w:proofErr w:type="gramEnd"/>
      <w:r w:rsidRPr="00BE31EB">
        <w:rPr>
          <w:rFonts w:cstheme="minorHAnsi"/>
        </w:rPr>
        <w:t xml:space="preserve"> Désigne des échantillons sélectionnés pour la calibration (Cal) ou la validation (Val) pour le modèle de prédiction de l'azote. </w:t>
      </w:r>
    </w:p>
    <w:p w14:paraId="7D810C95" w14:textId="77777777" w:rsidR="00BE31EB" w:rsidRPr="00BE31EB" w:rsidRDefault="00BE31EB" w:rsidP="006C7A99">
      <w:pPr>
        <w:spacing w:line="240" w:lineRule="auto"/>
        <w:jc w:val="both"/>
        <w:rPr>
          <w:rFonts w:cstheme="minorHAnsi"/>
        </w:rPr>
      </w:pPr>
      <w:r w:rsidRPr="00BE31EB">
        <w:rPr>
          <w:rFonts w:cstheme="minorHAnsi"/>
        </w:rPr>
        <w:br/>
        <w:t>C content (%DM</w:t>
      </w:r>
      <w:proofErr w:type="gramStart"/>
      <w:r w:rsidRPr="00BE31EB">
        <w:rPr>
          <w:rFonts w:cstheme="minorHAnsi"/>
        </w:rPr>
        <w:t>):</w:t>
      </w:r>
      <w:proofErr w:type="gramEnd"/>
      <w:r w:rsidRPr="00BE31EB">
        <w:rPr>
          <w:rFonts w:cstheme="minorHAnsi"/>
        </w:rPr>
        <w:t xml:space="preserve"> Contenu en carbone dans l'échantillon en pourcentage de matière sèche.</w:t>
      </w:r>
    </w:p>
    <w:p w14:paraId="5ACCB8A6" w14:textId="77777777" w:rsidR="00BE31EB" w:rsidRPr="00BE31EB" w:rsidRDefault="00BE31EB" w:rsidP="006C7A99">
      <w:pPr>
        <w:spacing w:line="240" w:lineRule="auto"/>
        <w:jc w:val="both"/>
        <w:rPr>
          <w:rFonts w:cstheme="minorHAnsi"/>
        </w:rPr>
      </w:pPr>
      <w:r w:rsidRPr="00BE31EB">
        <w:rPr>
          <w:rFonts w:cstheme="minorHAnsi"/>
        </w:rPr>
        <w:br/>
      </w:r>
      <w:proofErr w:type="spellStart"/>
      <w:r w:rsidRPr="00BE31EB">
        <w:rPr>
          <w:rFonts w:cstheme="minorHAnsi"/>
        </w:rPr>
        <w:t>C_model_set</w:t>
      </w:r>
      <w:proofErr w:type="spellEnd"/>
      <w:r w:rsidRPr="00BE31EB">
        <w:rPr>
          <w:rFonts w:cstheme="minorHAnsi"/>
        </w:rPr>
        <w:t>-</w:t>
      </w:r>
      <w:proofErr w:type="gramStart"/>
      <w:r w:rsidRPr="00BE31EB">
        <w:rPr>
          <w:rFonts w:cstheme="minorHAnsi"/>
        </w:rPr>
        <w:t>type:</w:t>
      </w:r>
      <w:proofErr w:type="gramEnd"/>
      <w:r w:rsidRPr="00BE31EB">
        <w:rPr>
          <w:rFonts w:cstheme="minorHAnsi"/>
        </w:rPr>
        <w:t xml:space="preserve"> Désigne des échantillons sélectionnés pour la calibration (Cal) ou la validation (Val) pour le modèle de prédiction du carbone. </w:t>
      </w:r>
    </w:p>
    <w:p w14:paraId="7AD49058" w14:textId="77777777" w:rsidR="00BE31EB" w:rsidRPr="00BE31EB" w:rsidRDefault="00BE31EB" w:rsidP="006C7A99">
      <w:pPr>
        <w:spacing w:line="240" w:lineRule="auto"/>
        <w:jc w:val="both"/>
        <w:rPr>
          <w:rFonts w:cstheme="minorHAnsi"/>
        </w:rPr>
      </w:pPr>
      <w:r w:rsidRPr="00BE31EB">
        <w:rPr>
          <w:rFonts w:cstheme="minorHAnsi"/>
        </w:rPr>
        <w:br/>
      </w:r>
      <w:proofErr w:type="spellStart"/>
      <w:r w:rsidRPr="00BE31EB">
        <w:rPr>
          <w:rFonts w:cstheme="minorHAnsi"/>
        </w:rPr>
        <w:t>Spectra_acquisition_</w:t>
      </w:r>
      <w:proofErr w:type="gramStart"/>
      <w:r w:rsidRPr="00BE31EB">
        <w:rPr>
          <w:rFonts w:cstheme="minorHAnsi"/>
        </w:rPr>
        <w:t>year</w:t>
      </w:r>
      <w:proofErr w:type="spellEnd"/>
      <w:r w:rsidRPr="00BE31EB">
        <w:rPr>
          <w:rFonts w:cstheme="minorHAnsi"/>
        </w:rPr>
        <w:t>:</w:t>
      </w:r>
      <w:proofErr w:type="gramEnd"/>
      <w:r w:rsidRPr="00BE31EB">
        <w:rPr>
          <w:rFonts w:cstheme="minorHAnsi"/>
        </w:rPr>
        <w:t xml:space="preserve"> Années d'acquisition des spectres, ici 2027</w:t>
      </w:r>
    </w:p>
    <w:p w14:paraId="47B26A38" w14:textId="77777777" w:rsidR="00BE31EB" w:rsidRPr="00BE31EB" w:rsidRDefault="00BE31EB" w:rsidP="006C7A99">
      <w:pPr>
        <w:spacing w:line="240" w:lineRule="auto"/>
        <w:jc w:val="both"/>
        <w:rPr>
          <w:rFonts w:cstheme="minorHAnsi"/>
        </w:rPr>
      </w:pPr>
      <w:r w:rsidRPr="00BE31EB">
        <w:rPr>
          <w:rFonts w:cstheme="minorHAnsi"/>
        </w:rPr>
        <w:br/>
      </w:r>
      <w:proofErr w:type="spellStart"/>
      <w:r w:rsidRPr="00BE31EB">
        <w:rPr>
          <w:rFonts w:cstheme="minorHAnsi"/>
        </w:rPr>
        <w:t>Cup_</w:t>
      </w:r>
      <w:proofErr w:type="gramStart"/>
      <w:r w:rsidRPr="00BE31EB">
        <w:rPr>
          <w:rFonts w:cstheme="minorHAnsi"/>
        </w:rPr>
        <w:t>type</w:t>
      </w:r>
      <w:proofErr w:type="spellEnd"/>
      <w:r w:rsidRPr="00BE31EB">
        <w:rPr>
          <w:rFonts w:cstheme="minorHAnsi"/>
        </w:rPr>
        <w:t>:</w:t>
      </w:r>
      <w:proofErr w:type="gramEnd"/>
      <w:r w:rsidRPr="00BE31EB">
        <w:rPr>
          <w:rFonts w:cstheme="minorHAnsi"/>
        </w:rPr>
        <w:t xml:space="preserve"> Indique le type de </w:t>
      </w:r>
      <w:proofErr w:type="spellStart"/>
      <w:r w:rsidRPr="00BE31EB">
        <w:rPr>
          <w:rFonts w:cstheme="minorHAnsi"/>
        </w:rPr>
        <w:t>vial</w:t>
      </w:r>
      <w:proofErr w:type="spellEnd"/>
      <w:r w:rsidRPr="00BE31EB">
        <w:rPr>
          <w:rFonts w:cstheme="minorHAnsi"/>
        </w:rPr>
        <w:t xml:space="preserve"> en verre utilisés pour l'acquisition du spectre NIRS. “fix” désigne des </w:t>
      </w:r>
      <w:proofErr w:type="spellStart"/>
      <w:r w:rsidRPr="00BE31EB">
        <w:rPr>
          <w:rFonts w:cstheme="minorHAnsi"/>
        </w:rPr>
        <w:t>vials</w:t>
      </w:r>
      <w:proofErr w:type="spellEnd"/>
      <w:r w:rsidRPr="00BE31EB">
        <w:rPr>
          <w:rFonts w:cstheme="minorHAnsi"/>
        </w:rPr>
        <w:t xml:space="preserve"> de 22 mm de diamètre sur un support fixé. “</w:t>
      </w:r>
      <w:proofErr w:type="spellStart"/>
      <w:r w:rsidRPr="00BE31EB">
        <w:rPr>
          <w:rFonts w:cstheme="minorHAnsi"/>
        </w:rPr>
        <w:t>rotating</w:t>
      </w:r>
      <w:proofErr w:type="spellEnd"/>
      <w:r w:rsidRPr="00BE31EB">
        <w:rPr>
          <w:rFonts w:cstheme="minorHAnsi"/>
        </w:rPr>
        <w:t xml:space="preserve">” sont des </w:t>
      </w:r>
      <w:proofErr w:type="spellStart"/>
      <w:r w:rsidRPr="00BE31EB">
        <w:rPr>
          <w:rFonts w:cstheme="minorHAnsi"/>
        </w:rPr>
        <w:t>vials</w:t>
      </w:r>
      <w:proofErr w:type="spellEnd"/>
      <w:r w:rsidRPr="00BE31EB">
        <w:rPr>
          <w:rFonts w:cstheme="minorHAnsi"/>
        </w:rPr>
        <w:t xml:space="preserve"> de 51 mm de diamètre placé sur un support rotatif. </w:t>
      </w:r>
    </w:p>
    <w:p w14:paraId="22A1AFB3" w14:textId="77777777" w:rsidR="00BE31EB" w:rsidRPr="00BE31EB" w:rsidRDefault="00BE31EB" w:rsidP="006C7A99">
      <w:pPr>
        <w:spacing w:line="240" w:lineRule="auto"/>
        <w:jc w:val="both"/>
        <w:rPr>
          <w:rFonts w:cstheme="minorHAnsi"/>
        </w:rPr>
      </w:pPr>
    </w:p>
    <w:p w14:paraId="2FDE3933" w14:textId="2D4EA6FB" w:rsidR="00BE31EB" w:rsidRPr="00BE31EB" w:rsidRDefault="00BE31EB" w:rsidP="006C7A99">
      <w:pPr>
        <w:spacing w:line="240" w:lineRule="auto"/>
        <w:jc w:val="both"/>
        <w:rPr>
          <w:rFonts w:cstheme="minorHAnsi"/>
        </w:rPr>
      </w:pPr>
      <w:r w:rsidRPr="00BE31EB">
        <w:rPr>
          <w:rFonts w:cstheme="minorHAnsi"/>
        </w:rPr>
        <w:t>12489,6 to 3594,9</w:t>
      </w:r>
      <w:r w:rsidR="006C7A99" w:rsidRPr="0078502D">
        <w:rPr>
          <w:rFonts w:cstheme="minorHAnsi"/>
        </w:rPr>
        <w:t xml:space="preserve"> </w:t>
      </w:r>
      <w:r w:rsidRPr="00BE31EB">
        <w:rPr>
          <w:rFonts w:cstheme="minorHAnsi"/>
        </w:rPr>
        <w:t xml:space="preserve">: Valeurs d'absorbances mesurés pour chaque entre 12489,6 et 3594,9 cm-1. </w:t>
      </w:r>
    </w:p>
    <w:p w14:paraId="44F8FC65" w14:textId="631AF083" w:rsidR="00BE31EB" w:rsidRDefault="00BE31EB" w:rsidP="006C7A99">
      <w:pPr>
        <w:spacing w:line="240" w:lineRule="auto"/>
        <w:jc w:val="both"/>
        <w:rPr>
          <w:rFonts w:cstheme="minorHAnsi"/>
        </w:rPr>
      </w:pPr>
    </w:p>
    <w:p w14:paraId="36C6049E" w14:textId="00C9304B" w:rsidR="00454017" w:rsidRDefault="00454017" w:rsidP="006C7A99">
      <w:pPr>
        <w:spacing w:line="240" w:lineRule="auto"/>
        <w:jc w:val="both"/>
        <w:rPr>
          <w:rFonts w:cstheme="minorHAnsi"/>
        </w:rPr>
      </w:pPr>
      <w:r>
        <w:rPr>
          <w:rFonts w:cstheme="minorHAnsi"/>
        </w:rPr>
        <w:t xml:space="preserve">Démarche </w:t>
      </w:r>
      <w:proofErr w:type="spellStart"/>
      <w:r>
        <w:rPr>
          <w:rFonts w:cstheme="minorHAnsi"/>
        </w:rPr>
        <w:t>spline</w:t>
      </w:r>
      <w:proofErr w:type="spellEnd"/>
      <w:r>
        <w:rPr>
          <w:rFonts w:cstheme="minorHAnsi"/>
        </w:rPr>
        <w:t> :</w:t>
      </w:r>
    </w:p>
    <w:p w14:paraId="751E1F2E" w14:textId="22345151" w:rsidR="00454017" w:rsidRPr="0078502D" w:rsidRDefault="0016582A" w:rsidP="006C7A99">
      <w:pPr>
        <w:spacing w:line="240" w:lineRule="auto"/>
        <w:jc w:val="both"/>
        <w:rPr>
          <w:rFonts w:cstheme="minorHAnsi"/>
        </w:rPr>
      </w:pPr>
      <w:r>
        <w:rPr>
          <w:rFonts w:cstheme="minorHAnsi"/>
        </w:rPr>
        <w:t xml:space="preserve">Dans un premier temps, nous avons ajuster une </w:t>
      </w:r>
      <w:proofErr w:type="spellStart"/>
      <w:r>
        <w:rPr>
          <w:rFonts w:cstheme="minorHAnsi"/>
        </w:rPr>
        <w:t>spline</w:t>
      </w:r>
      <w:proofErr w:type="spellEnd"/>
      <w:r>
        <w:rPr>
          <w:rFonts w:cstheme="minorHAnsi"/>
        </w:rPr>
        <w:t xml:space="preserve"> sur 50 nœuds par spectre. Ceci nous permet d’obtenir une variable fonctionnelle qui expliquent chaque spectre avec </w:t>
      </w:r>
      <w:r>
        <w:rPr>
          <w:rFonts w:cstheme="minorHAnsi"/>
        </w:rPr>
        <w:t>50 coefficients</w:t>
      </w:r>
      <w:r>
        <w:rPr>
          <w:rFonts w:cstheme="minorHAnsi"/>
        </w:rPr>
        <w:t xml:space="preserve">. Nous avons ensuite </w:t>
      </w:r>
      <w:proofErr w:type="gramStart"/>
      <w:r>
        <w:rPr>
          <w:rFonts w:cstheme="minorHAnsi"/>
        </w:rPr>
        <w:t>réaliser</w:t>
      </w:r>
      <w:proofErr w:type="gramEnd"/>
      <w:r>
        <w:rPr>
          <w:rFonts w:cstheme="minorHAnsi"/>
        </w:rPr>
        <w:t xml:space="preserve"> une régression linéaire avec les coefficients en </w:t>
      </w:r>
      <w:r>
        <w:rPr>
          <w:rFonts w:cstheme="minorHAnsi"/>
        </w:rPr>
        <w:lastRenderedPageBreak/>
        <w:t xml:space="preserve">variables explicative pour expliquer par exemple </w:t>
      </w:r>
      <w:proofErr w:type="gramStart"/>
      <w:r>
        <w:rPr>
          <w:rFonts w:cstheme="minorHAnsi"/>
        </w:rPr>
        <w:t>la taux</w:t>
      </w:r>
      <w:proofErr w:type="gramEnd"/>
      <w:r>
        <w:rPr>
          <w:rFonts w:cstheme="minorHAnsi"/>
        </w:rPr>
        <w:t xml:space="preserve"> d’azote dans le colza. Le but est de réaliser des prédictions, ainsi de la validation croisée sera réalisé sur le modèle linéaire. </w:t>
      </w:r>
    </w:p>
    <w:sectPr w:rsidR="00454017" w:rsidRPr="00785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EB"/>
    <w:rsid w:val="0016582A"/>
    <w:rsid w:val="003824C6"/>
    <w:rsid w:val="00454017"/>
    <w:rsid w:val="006C7A99"/>
    <w:rsid w:val="0078502D"/>
    <w:rsid w:val="009A6A8A"/>
    <w:rsid w:val="00BE31EB"/>
    <w:rsid w:val="00F43F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513A0"/>
  <w15:chartTrackingRefBased/>
  <w15:docId w15:val="{AE3B0C02-5601-4CF7-960B-70208B0A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3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E3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E31E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E31E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E31E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E31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31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31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31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31E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E31E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E31E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E31E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31E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31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31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31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31EB"/>
    <w:rPr>
      <w:rFonts w:eastAsiaTheme="majorEastAsia" w:cstheme="majorBidi"/>
      <w:color w:val="272727" w:themeColor="text1" w:themeTint="D8"/>
    </w:rPr>
  </w:style>
  <w:style w:type="paragraph" w:styleId="Titre">
    <w:name w:val="Title"/>
    <w:basedOn w:val="Normal"/>
    <w:next w:val="Normal"/>
    <w:link w:val="TitreCar"/>
    <w:uiPriority w:val="10"/>
    <w:qFormat/>
    <w:rsid w:val="00BE3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31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31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31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31EB"/>
    <w:pPr>
      <w:spacing w:before="160"/>
      <w:jc w:val="center"/>
    </w:pPr>
    <w:rPr>
      <w:i/>
      <w:iCs/>
      <w:color w:val="404040" w:themeColor="text1" w:themeTint="BF"/>
    </w:rPr>
  </w:style>
  <w:style w:type="character" w:customStyle="1" w:styleId="CitationCar">
    <w:name w:val="Citation Car"/>
    <w:basedOn w:val="Policepardfaut"/>
    <w:link w:val="Citation"/>
    <w:uiPriority w:val="29"/>
    <w:rsid w:val="00BE31EB"/>
    <w:rPr>
      <w:i/>
      <w:iCs/>
      <w:color w:val="404040" w:themeColor="text1" w:themeTint="BF"/>
    </w:rPr>
  </w:style>
  <w:style w:type="paragraph" w:styleId="Paragraphedeliste">
    <w:name w:val="List Paragraph"/>
    <w:basedOn w:val="Normal"/>
    <w:uiPriority w:val="34"/>
    <w:qFormat/>
    <w:rsid w:val="00BE31EB"/>
    <w:pPr>
      <w:ind w:left="720"/>
      <w:contextualSpacing/>
    </w:pPr>
  </w:style>
  <w:style w:type="character" w:styleId="Accentuationintense">
    <w:name w:val="Intense Emphasis"/>
    <w:basedOn w:val="Policepardfaut"/>
    <w:uiPriority w:val="21"/>
    <w:qFormat/>
    <w:rsid w:val="00BE31EB"/>
    <w:rPr>
      <w:i/>
      <w:iCs/>
      <w:color w:val="2F5496" w:themeColor="accent1" w:themeShade="BF"/>
    </w:rPr>
  </w:style>
  <w:style w:type="paragraph" w:styleId="Citationintense">
    <w:name w:val="Intense Quote"/>
    <w:basedOn w:val="Normal"/>
    <w:next w:val="Normal"/>
    <w:link w:val="CitationintenseCar"/>
    <w:uiPriority w:val="30"/>
    <w:qFormat/>
    <w:rsid w:val="00BE3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31EB"/>
    <w:rPr>
      <w:i/>
      <w:iCs/>
      <w:color w:val="2F5496" w:themeColor="accent1" w:themeShade="BF"/>
    </w:rPr>
  </w:style>
  <w:style w:type="character" w:styleId="Rfrenceintense">
    <w:name w:val="Intense Reference"/>
    <w:basedOn w:val="Policepardfaut"/>
    <w:uiPriority w:val="32"/>
    <w:qFormat/>
    <w:rsid w:val="00BE31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585</Words>
  <Characters>3221</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Thibault Roattino</dc:creator>
  <cp:keywords/>
  <dc:description/>
  <cp:lastModifiedBy>Thibault Roattino</cp:lastModifiedBy>
  <cp:revision>2</cp:revision>
  <dcterms:created xsi:type="dcterms:W3CDTF">2025-11-26T09:30:00Z</dcterms:created>
  <dcterms:modified xsi:type="dcterms:W3CDTF">2025-11-26T15:59:00Z</dcterms:modified>
</cp:coreProperties>
</file>