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</w:t>
      </w:r>
      <w:r>
        <w:t xml:space="preserve"> </w:t>
      </w:r>
      <w:r>
        <w:t xml:space="preserve">en</w:t>
      </w:r>
      <w:r>
        <w:t xml:space="preserve"> </w:t>
      </w:r>
      <w:r>
        <w:t xml:space="preserve">Composantes</w:t>
      </w:r>
      <w:r>
        <w:t xml:space="preserve"> </w:t>
      </w:r>
      <w:r>
        <w:t xml:space="preserve">Principales</w:t>
      </w:r>
    </w:p>
    <w:p>
      <w:pPr>
        <w:pStyle w:val="Author"/>
      </w:pPr>
      <w:r>
        <w:t xml:space="preserve">Jeu</w:t>
      </w:r>
      <w:r>
        <w:t xml:space="preserve"> </w:t>
      </w:r>
      <w:r>
        <w:t xml:space="preserve">de</w:t>
      </w:r>
      <w:r>
        <w:t xml:space="preserve"> </w:t>
      </w:r>
      <w:r>
        <w:t xml:space="preserve">données</w:t>
      </w:r>
      <w:r>
        <w:t xml:space="preserve"> </w:t>
      </w:r>
      <w:r>
        <w:t xml:space="preserve">dt_acp</w:t>
      </w:r>
    </w:p>
    <w:p>
      <w:pPr>
        <w:pStyle w:val="FirstParagraph"/>
      </w:pPr>
      <w:r>
        <w:t xml:space="preserve">Ce jeu de données contient 18 individus et 83 variables, 1 variable quantitative est illustrative.</w:t>
      </w:r>
    </w:p>
    <w:p>
      <w:r>
        <w:pict>
          <v:rect style="width:0;height:1.5pt" o:hralign="center" o:hrstd="t" o:hr="t"/>
        </w:pict>
      </w:r>
    </w:p>
    <w:bookmarkStart w:id="20" w:name="observation-dindividus-extrêmes"/>
    <w:p>
      <w:pPr>
        <w:pStyle w:val="Heading3"/>
      </w:pPr>
      <w:r>
        <w:t xml:space="preserve">1. Observation d’individus extrêmes</w:t>
      </w:r>
    </w:p>
    <w:p>
      <w:pPr>
        <w:pStyle w:val="FirstParagraph"/>
      </w:pPr>
      <w:r>
        <w:t xml:space="preserve">L’analyse des graphes ne révèle aucun individu singulier.</w:t>
      </w:r>
    </w:p>
    <w:p>
      <w:r>
        <w:pict>
          <v:rect style="width:0;height:1.5pt" o:hralign="center" o:hrstd="t" o:hr="t"/>
        </w:pict>
      </w:r>
    </w:p>
    <w:bookmarkEnd w:id="20"/>
    <w:bookmarkStart w:id="24" w:name="distribution-de-linertie"/>
    <w:p>
      <w:pPr>
        <w:pStyle w:val="Heading3"/>
      </w:pPr>
      <w:r>
        <w:t xml:space="preserve">2. Distribution de l’inertie</w:t>
      </w:r>
    </w:p>
    <w:p>
      <w:pPr>
        <w:pStyle w:val="FirstParagraph"/>
      </w:pPr>
      <w:r>
        <w:t xml:space="preserve">L’inertie des axes factoriels indique d’une part si les variables sont structurées et suggère d’autre part le nombre judicieux de composantes principales à étudier.</w:t>
      </w:r>
    </w:p>
    <w:p>
      <w:pPr>
        <w:pStyle w:val="BodyText"/>
      </w:pPr>
      <w:r>
        <w:t xml:space="preserve">Les 2 premiers axes de l’ analyse expriment</w:t>
      </w:r>
      <w:r>
        <w:t xml:space="preserve"> </w:t>
      </w:r>
      <w:r>
        <w:rPr>
          <w:b/>
          <w:bCs/>
        </w:rPr>
        <w:t xml:space="preserve">41.63%</w:t>
      </w:r>
      <w:r>
        <w:t xml:space="preserve"> </w:t>
      </w:r>
      <w:r>
        <w:t xml:space="preserve">de l’inertie totale du jeu de données ; cela signifie que 41.63% de la variabilité totale du nuage des individus (ou des variables) est représentée dans ce plan.</w:t>
      </w:r>
      <w:r>
        <w:t xml:space="preserve"> </w:t>
      </w:r>
      <w:r>
        <w:t xml:space="preserve">C’est un pourcentage relativement moyen, et le premier plan représente donc seulement une part de la variabilité contenue dans l’ensemble du jeu de données actif.</w:t>
      </w:r>
      <w:r>
        <w:t xml:space="preserve"> </w:t>
      </w:r>
      <w:r>
        <w:t xml:space="preserve">Cette valeur est supérieure à la valeur référence de</w:t>
      </w:r>
      <w:r>
        <w:t xml:space="preserve"> </w:t>
      </w:r>
      <w:r>
        <w:rPr>
          <w:b/>
          <w:bCs/>
        </w:rPr>
        <w:t xml:space="preserve">22.59%</w:t>
      </w:r>
      <w:r>
        <w:t xml:space="preserve">, la variabilité expliquée par ce plan est donc significative</w:t>
      </w:r>
      <w:r>
        <w:t xml:space="preserve"> </w:t>
      </w:r>
      <w:r>
        <w:t xml:space="preserve">(cette intertie de référence est le quantile 0.95-quantile de la distribution des pourcentages d’inertie obtenue en simulant 2518 jeux de données aléatoires de dimensions comparables sur la base d’une distribution normale).</w:t>
      </w:r>
    </w:p>
    <w:p>
      <w:pPr>
        <w:pStyle w:val="BodyText"/>
      </w:pPr>
      <w:r>
        <w:t xml:space="preserve">Du fait de ces observations, il serait alors probablement nécessaire de considérer également les dimensions supérieures ou égales à la troisième dans l’analyse.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apport_2026-01-19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2 - Décomposition de l’inertie totale</w:t>
      </w:r>
    </w:p>
    <w:p>
      <w:pPr>
        <w:pStyle w:val="BodyText"/>
      </w:pPr>
      <w:r>
        <w:t xml:space="preserve">Une estimation du nombre pertinent d’axes à interpréter suggère de restreindre l’analyse à la description des 4 premiers axes.</w:t>
      </w:r>
      <w:r>
        <w:t xml:space="preserve"> </w:t>
      </w:r>
      <w:r>
        <w:t xml:space="preserve">Ces composantes révèlent un taux d’inertie supérieur à celle du quantile 0.95-quantile de distributions aléatoires (63.2% contre 40.25%).</w:t>
      </w:r>
      <w:r>
        <w:t xml:space="preserve"> </w:t>
      </w:r>
      <w:r>
        <w:t xml:space="preserve">Cette observation suggère que seuls ces axes sont porteurs d’une véritable information.</w:t>
      </w:r>
      <w:r>
        <w:t xml:space="preserve"> </w:t>
      </w:r>
      <w:r>
        <w:t xml:space="preserve">En conséquence, la description de l’analyse sera restreinte à ces seuls axes.</w:t>
      </w:r>
    </w:p>
    <w:p>
      <w:r>
        <w:pict>
          <v:rect style="width:0;height:1.5pt" o:hralign="center" o:hrstd="t" o:hr="t"/>
        </w:pict>
      </w:r>
    </w:p>
    <w:bookmarkEnd w:id="24"/>
    <w:bookmarkStart w:id="31" w:name="description-du-plan-12"/>
    <w:p>
      <w:pPr>
        <w:pStyle w:val="Heading3"/>
      </w:pPr>
      <w:r>
        <w:t xml:space="preserve">3. Description du plan 1:2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Rapport_2026-01-19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3.1 - Graphe des individus (ACP)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SourceCode"/>
      </w:pPr>
      <w:r>
        <w:rPr>
          <w:rStyle w:val="VerbatimChar"/>
        </w:rPr>
        <w:t xml:space="preserve">## Warning: ggrepel: 1 unlabeled data points (too many overlaps). Consider increasing</w:t>
      </w:r>
      <w:r>
        <w:br/>
      </w:r>
      <w:r>
        <w:rPr>
          <w:rStyle w:val="VerbatimChar"/>
        </w:rPr>
        <w:t xml:space="preserve">## max.overlaps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apport_2026-01-19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3.2 - Graphe des variables (ACP)</w:t>
      </w:r>
      <w:r>
        <w:t xml:space="preserve"> </w:t>
      </w:r>
      <w:r>
        <w:rPr>
          <w:i/>
          <w:iCs/>
        </w:rPr>
        <w:t xml:space="preserve">Les variables en noir sont les variables actives, celles en bleu sont les variables quantitatives supplémentaires (illustratives).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1</w:t>
      </w:r>
      <w:r>
        <w:t xml:space="preserve"> </w:t>
      </w:r>
      <w:r>
        <w:t xml:space="preserve">oppose des individus tels que</w:t>
      </w:r>
      <w:r>
        <w:t xml:space="preserve"> </w:t>
      </w:r>
      <w:r>
        <w:rPr>
          <w:i/>
          <w:iCs/>
        </w:rPr>
        <w:t xml:space="preserve">LIM15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TI15</w:t>
      </w:r>
      <w:r>
        <w:t xml:space="preserve"> </w:t>
      </w:r>
      <w:r>
        <w:t xml:space="preserve">(à droite du graphe, caractérisés par une coordonnée fortement positive sur l’axe)</w:t>
      </w:r>
      <w:r>
        <w:t xml:space="preserve"> </w:t>
      </w:r>
      <w:r>
        <w:t xml:space="preserve">à des individus comme</w:t>
      </w:r>
      <w:r>
        <w:t xml:space="preserve"> </w:t>
      </w:r>
      <w:r>
        <w:rPr>
          <w:i/>
          <w:iCs/>
        </w:rPr>
        <w:t xml:space="preserve">INRA16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INRA13</w:t>
      </w:r>
      <w:r>
        <w:t xml:space="preserve"> </w:t>
      </w:r>
      <w:r>
        <w:t xml:space="preserve">(à gauche du graphe, caractérisés par une coordonnée fortement négative sur l’axe).</w:t>
      </w:r>
    </w:p>
    <w:p>
      <w:pPr>
        <w:pStyle w:val="BodyText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LIM15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TI15</w:t>
      </w:r>
      <w:r>
        <w:t xml:space="preserve"> </w:t>
      </w:r>
      <w:r>
        <w:t xml:space="preserve">appartiennent (caractérisés par une coordonnée positive sur l’axe) partage :</w:t>
      </w:r>
    </w:p>
    <w:p>
      <w:pPr>
        <w:pStyle w:val="Compact"/>
        <w:numPr>
          <w:ilvl w:val="0"/>
          <w:numId w:val="1001"/>
        </w:numPr>
      </w:pPr>
      <w:r>
        <w:t xml:space="preserve">de fortes valeurs pour des variables telles que</w:t>
      </w:r>
      <w:r>
        <w:t xml:space="preserve"> </w:t>
      </w:r>
      <w:r>
        <w:rPr>
          <w:i/>
          <w:iCs/>
        </w:rPr>
        <w:t xml:space="preserve">TMAX_P600</w:t>
      </w:r>
      <w:r>
        <w:t xml:space="preserve">,</w:t>
      </w:r>
      <w:r>
        <w:t xml:space="preserve"> </w:t>
      </w:r>
      <w:r>
        <w:rPr>
          <w:i/>
          <w:iCs/>
        </w:rPr>
        <w:t xml:space="preserve">HT_P1000</w:t>
      </w:r>
      <w:r>
        <w:t xml:space="preserve">,</w:t>
      </w:r>
      <w:r>
        <w:t xml:space="preserve"> </w:t>
      </w:r>
      <w:r>
        <w:rPr>
          <w:i/>
          <w:iCs/>
        </w:rPr>
        <w:t xml:space="preserve">TMAX_P1000</w:t>
      </w:r>
      <w:r>
        <w:t xml:space="preserve">,</w:t>
      </w:r>
      <w:r>
        <w:t xml:space="preserve"> </w:t>
      </w:r>
      <w:r>
        <w:rPr>
          <w:i/>
          <w:iCs/>
        </w:rPr>
        <w:t xml:space="preserve">WD_P1000</w:t>
      </w:r>
      <w:r>
        <w:t xml:space="preserve">,</w:t>
      </w:r>
      <w:r>
        <w:t xml:space="preserve"> </w:t>
      </w:r>
      <w:r>
        <w:rPr>
          <w:i/>
          <w:iCs/>
        </w:rPr>
        <w:t xml:space="preserve">TMN_P300</w:t>
      </w:r>
      <w:r>
        <w:t xml:space="preserve">,</w:t>
      </w:r>
      <w:r>
        <w:t xml:space="preserve"> </w:t>
      </w:r>
      <w:r>
        <w:rPr>
          <w:i/>
          <w:iCs/>
        </w:rPr>
        <w:t xml:space="preserve">LT_CW</w:t>
      </w:r>
      <w:r>
        <w:t xml:space="preserve">,</w:t>
      </w:r>
      <w:r>
        <w:t xml:space="preserve"> </w:t>
      </w:r>
      <w:r>
        <w:rPr>
          <w:i/>
          <w:iCs/>
        </w:rPr>
        <w:t xml:space="preserve">FR_CW</w:t>
      </w:r>
      <w:r>
        <w:t xml:space="preserve">,</w:t>
      </w:r>
      <w:r>
        <w:t xml:space="preserve"> </w:t>
      </w:r>
      <w:r>
        <w:rPr>
          <w:i/>
          <w:iCs/>
        </w:rPr>
        <w:t xml:space="preserve">SSR_FLO</w:t>
      </w:r>
      <w:r>
        <w:t xml:space="preserve">,</w:t>
      </w:r>
      <w:r>
        <w:t xml:space="preserve"> </w:t>
      </w:r>
      <w:r>
        <w:rPr>
          <w:i/>
          <w:iCs/>
        </w:rPr>
        <w:t xml:space="preserve">TMN_P100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HT_F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1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WSC_B</w:t>
      </w:r>
      <w:r>
        <w:t xml:space="preserve">,</w:t>
      </w:r>
      <w:r>
        <w:t xml:space="preserve"> </w:t>
      </w:r>
      <w:r>
        <w:rPr>
          <w:i/>
          <w:iCs/>
        </w:rPr>
        <w:t xml:space="preserve">WSC_P1000</w:t>
      </w:r>
      <w:r>
        <w:t xml:space="preserve">,</w:t>
      </w:r>
      <w:r>
        <w:t xml:space="preserve"> </w:t>
      </w:r>
      <w:r>
        <w:rPr>
          <w:i/>
          <w:iCs/>
        </w:rPr>
        <w:t xml:space="preserve">LSR_P300</w:t>
      </w:r>
      <w:r>
        <w:t xml:space="preserve">,</w:t>
      </w:r>
      <w:r>
        <w:t xml:space="preserve"> </w:t>
      </w:r>
      <w:r>
        <w:rPr>
          <w:i/>
          <w:iCs/>
        </w:rPr>
        <w:t xml:space="preserve">LSR_P600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WSC_P600</w:t>
      </w:r>
      <w:r>
        <w:t xml:space="preserve"> </w:t>
      </w:r>
      <w:r>
        <w:t xml:space="preserve">(de la plus extrême à la moins extrême).</w:t>
      </w:r>
    </w:p>
    <w:p>
      <w:pPr>
        <w:pStyle w:val="FirstParagraph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INRA16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INRA13</w:t>
      </w:r>
      <w:r>
        <w:t xml:space="preserve"> </w:t>
      </w:r>
      <w:r>
        <w:t xml:space="preserve">appartiennent (caractérisés par une coordonnées négative sur l’axe) partage :</w:t>
      </w:r>
    </w:p>
    <w:p>
      <w:pPr>
        <w:pStyle w:val="Compact"/>
        <w:numPr>
          <w:ilvl w:val="0"/>
          <w:numId w:val="1002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LSR_F</w:t>
      </w:r>
      <w:r>
        <w:t xml:space="preserve">,</w:t>
      </w:r>
      <w:r>
        <w:t xml:space="preserve"> </w:t>
      </w:r>
      <w:r>
        <w:rPr>
          <w:i/>
          <w:iCs/>
        </w:rPr>
        <w:t xml:space="preserve">LGDD_F</w:t>
      </w:r>
      <w:r>
        <w:t xml:space="preserve">,</w:t>
      </w:r>
      <w:r>
        <w:t xml:space="preserve"> </w:t>
      </w:r>
      <w:r>
        <w:rPr>
          <w:i/>
          <w:iCs/>
        </w:rPr>
        <w:t xml:space="preserve">LT_P300</w:t>
      </w:r>
      <w:r>
        <w:t xml:space="preserve">,</w:t>
      </w:r>
      <w:r>
        <w:t xml:space="preserve"> </w:t>
      </w:r>
      <w:r>
        <w:rPr>
          <w:i/>
          <w:iCs/>
        </w:rPr>
        <w:t xml:space="preserve">LSR_P1000</w:t>
      </w:r>
      <w:r>
        <w:t xml:space="preserve">,</w:t>
      </w:r>
      <w:r>
        <w:t xml:space="preserve"> </w:t>
      </w:r>
      <w:r>
        <w:rPr>
          <w:i/>
          <w:iCs/>
        </w:rPr>
        <w:t xml:space="preserve">LT_FLO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LT_F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2"/>
        </w:numPr>
      </w:pPr>
      <w:r>
        <w:t xml:space="preserve">de faibles valeurs pour des variables telles que</w:t>
      </w:r>
      <w:r>
        <w:t xml:space="preserve"> </w:t>
      </w:r>
      <w:r>
        <w:rPr>
          <w:i/>
          <w:iCs/>
        </w:rPr>
        <w:t xml:space="preserve">TMIN_P300</w:t>
      </w:r>
      <w:r>
        <w:t xml:space="preserve">,</w:t>
      </w:r>
      <w:r>
        <w:t xml:space="preserve"> </w:t>
      </w:r>
      <w:r>
        <w:rPr>
          <w:i/>
          <w:iCs/>
        </w:rPr>
        <w:t xml:space="preserve">TMN_FLO</w:t>
      </w:r>
      <w:r>
        <w:t xml:space="preserve">,</w:t>
      </w:r>
      <w:r>
        <w:t xml:space="preserve"> </w:t>
      </w:r>
      <w:r>
        <w:rPr>
          <w:i/>
          <w:iCs/>
        </w:rPr>
        <w:t xml:space="preserve">LGDD_FLO</w:t>
      </w:r>
      <w:r>
        <w:t xml:space="preserve">,</w:t>
      </w:r>
      <w:r>
        <w:t xml:space="preserve"> </w:t>
      </w:r>
      <w:r>
        <w:rPr>
          <w:i/>
          <w:iCs/>
        </w:rPr>
        <w:t xml:space="preserve">TMIN_FLO</w:t>
      </w:r>
      <w:r>
        <w:t xml:space="preserve">,</w:t>
      </w:r>
      <w:r>
        <w:t xml:space="preserve"> </w:t>
      </w:r>
      <w:r>
        <w:rPr>
          <w:i/>
          <w:iCs/>
        </w:rPr>
        <w:t xml:space="preserve">SSR_P1000</w:t>
      </w:r>
      <w:r>
        <w:t xml:space="preserve">,</w:t>
      </w:r>
      <w:r>
        <w:t xml:space="preserve"> </w:t>
      </w:r>
      <w:r>
        <w:rPr>
          <w:i/>
          <w:iCs/>
        </w:rPr>
        <w:t xml:space="preserve">TMN_F</w:t>
      </w:r>
      <w:r>
        <w:t xml:space="preserve">,</w:t>
      </w:r>
      <w:r>
        <w:t xml:space="preserve"> </w:t>
      </w:r>
      <w:r>
        <w:rPr>
          <w:i/>
          <w:iCs/>
        </w:rPr>
        <w:t xml:space="preserve">TMN_P600</w:t>
      </w:r>
      <w:r>
        <w:t xml:space="preserve">,</w:t>
      </w:r>
      <w:r>
        <w:t xml:space="preserve"> </w:t>
      </w:r>
      <w:r>
        <w:rPr>
          <w:i/>
          <w:iCs/>
        </w:rPr>
        <w:t xml:space="preserve">TMN_P300</w:t>
      </w:r>
      <w:r>
        <w:t xml:space="preserve">,</w:t>
      </w:r>
      <w:r>
        <w:t xml:space="preserve"> </w:t>
      </w:r>
      <w:r>
        <w:rPr>
          <w:i/>
          <w:iCs/>
        </w:rPr>
        <w:t xml:space="preserve">TMIN_P600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SSR_FLO</w:t>
      </w:r>
      <w:r>
        <w:t xml:space="preserve"> </w:t>
      </w:r>
      <w:r>
        <w:t xml:space="preserve">(de la plus extrême à la moins extrême).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2</w:t>
      </w:r>
      <w:r>
        <w:t xml:space="preserve"> </w:t>
      </w:r>
      <w:r>
        <w:t xml:space="preserve">oppose des individus tels que</w:t>
      </w:r>
      <w:r>
        <w:t xml:space="preserve"> </w:t>
      </w:r>
      <w:r>
        <w:rPr>
          <w:i/>
          <w:iCs/>
        </w:rPr>
        <w:t xml:space="preserve">EUR18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INRA18</w:t>
      </w:r>
      <w:r>
        <w:t xml:space="preserve"> </w:t>
      </w:r>
      <w:r>
        <w:t xml:space="preserve">(en haut du graphe, caractérisés par une coordonnées fortement positive sur l’axe)</w:t>
      </w:r>
      <w:r>
        <w:t xml:space="preserve"> </w:t>
      </w:r>
      <w:r>
        <w:t xml:space="preserve">à des individus comme</w:t>
      </w:r>
      <w:r>
        <w:t xml:space="preserve"> </w:t>
      </w:r>
      <w:r>
        <w:rPr>
          <w:i/>
          <w:iCs/>
        </w:rPr>
        <w:t xml:space="preserve">RAGT14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MAD14</w:t>
      </w:r>
      <w:r>
        <w:t xml:space="preserve"> </w:t>
      </w:r>
      <w:r>
        <w:t xml:space="preserve">(en bas du graphe, caractérisés par une coordonnées fortement négative sur l’axe).</w:t>
      </w:r>
    </w:p>
    <w:p>
      <w:pPr>
        <w:pStyle w:val="BodyText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EUR18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INRA18</w:t>
      </w:r>
      <w:r>
        <w:t xml:space="preserve"> </w:t>
      </w:r>
      <w:r>
        <w:t xml:space="preserve">appartiennent (caractérisés par une coordonnée positive sur l’axe) partage :</w:t>
      </w:r>
    </w:p>
    <w:p>
      <w:pPr>
        <w:pStyle w:val="Compact"/>
        <w:numPr>
          <w:ilvl w:val="0"/>
          <w:numId w:val="1003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Year</w:t>
      </w:r>
      <w:r>
        <w:t xml:space="preserve">,</w:t>
      </w:r>
      <w:r>
        <w:t xml:space="preserve"> </w:t>
      </w:r>
      <w:r>
        <w:rPr>
          <w:i/>
          <w:iCs/>
        </w:rPr>
        <w:t xml:space="preserve">HT_FLO</w:t>
      </w:r>
      <w:r>
        <w:t xml:space="preserve">,</w:t>
      </w:r>
      <w:r>
        <w:t xml:space="preserve"> </w:t>
      </w:r>
      <w:r>
        <w:rPr>
          <w:i/>
          <w:iCs/>
        </w:rPr>
        <w:t xml:space="preserve">TMN_CW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LGDD_CW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3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QPT</w:t>
      </w:r>
      <w:r>
        <w:t xml:space="preserve">,</w:t>
      </w:r>
      <w:r>
        <w:t xml:space="preserve"> </w:t>
      </w:r>
      <w:r>
        <w:rPr>
          <w:i/>
          <w:iCs/>
        </w:rPr>
        <w:t xml:space="preserve">TMIN_CW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TMAX_F</w:t>
      </w:r>
      <w:r>
        <w:t xml:space="preserve"> </w:t>
      </w:r>
      <w:r>
        <w:t xml:space="preserve">(de la plus extrême à la moins extrême).</w:t>
      </w:r>
    </w:p>
    <w:p>
      <w:pPr>
        <w:pStyle w:val="FirstParagraph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RAGT14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MAD14</w:t>
      </w:r>
      <w:r>
        <w:t xml:space="preserve"> </w:t>
      </w:r>
      <w:r>
        <w:t xml:space="preserve">appartiennent (caractérisés par une coordonnées négative sur l’axe) partage :</w:t>
      </w:r>
    </w:p>
    <w:p>
      <w:pPr>
        <w:pStyle w:val="Compact"/>
        <w:numPr>
          <w:ilvl w:val="0"/>
          <w:numId w:val="1004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LGDD_B</w:t>
      </w:r>
      <w:r>
        <w:t xml:space="preserve">,</w:t>
      </w:r>
      <w:r>
        <w:t xml:space="preserve"> </w:t>
      </w:r>
      <w:r>
        <w:rPr>
          <w:i/>
          <w:iCs/>
        </w:rPr>
        <w:t xml:space="preserve">LT_B</w:t>
      </w:r>
      <w:r>
        <w:t xml:space="preserve">,</w:t>
      </w:r>
      <w:r>
        <w:t xml:space="preserve"> </w:t>
      </w:r>
      <w:r>
        <w:rPr>
          <w:i/>
          <w:iCs/>
        </w:rPr>
        <w:t xml:space="preserve">LSR_B</w:t>
      </w:r>
      <w:r>
        <w:t xml:space="preserve">,</w:t>
      </w:r>
      <w:r>
        <w:t xml:space="preserve"> </w:t>
      </w:r>
      <w:r>
        <w:rPr>
          <w:i/>
          <w:iCs/>
        </w:rPr>
        <w:t xml:space="preserve">SSR_B</w:t>
      </w:r>
      <w:r>
        <w:t xml:space="preserve">,</w:t>
      </w:r>
      <w:r>
        <w:t xml:space="preserve"> </w:t>
      </w:r>
      <w:r>
        <w:rPr>
          <w:i/>
          <w:iCs/>
        </w:rPr>
        <w:t xml:space="preserve">TMAX_F</w:t>
      </w:r>
      <w:r>
        <w:t xml:space="preserve">,</w:t>
      </w:r>
      <w:r>
        <w:t xml:space="preserve"> </w:t>
      </w:r>
      <w:r>
        <w:rPr>
          <w:i/>
          <w:iCs/>
        </w:rPr>
        <w:t xml:space="preserve">WS_P300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TMIN_B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4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TMAX_CW</w:t>
      </w:r>
      <w:r>
        <w:t xml:space="preserve">,</w:t>
      </w:r>
      <w:r>
        <w:t xml:space="preserve"> </w:t>
      </w:r>
      <w:r>
        <w:rPr>
          <w:i/>
          <w:iCs/>
        </w:rPr>
        <w:t xml:space="preserve">WSC_P300</w:t>
      </w:r>
      <w:r>
        <w:t xml:space="preserve">,</w:t>
      </w:r>
      <w:r>
        <w:t xml:space="preserve"> </w:t>
      </w:r>
      <w:r>
        <w:rPr>
          <w:i/>
          <w:iCs/>
        </w:rPr>
        <w:t xml:space="preserve">SSR_F</w:t>
      </w:r>
      <w:r>
        <w:t xml:space="preserve">,</w:t>
      </w:r>
      <w:r>
        <w:t xml:space="preserve"> </w:t>
      </w:r>
      <w:r>
        <w:rPr>
          <w:i/>
          <w:iCs/>
        </w:rPr>
        <w:t xml:space="preserve">WSC_I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SSR_CW</w:t>
      </w:r>
      <w:r>
        <w:t xml:space="preserve"> </w:t>
      </w:r>
      <w:r>
        <w:t xml:space="preserve">(de la plus extrême à la moins extrême).</w:t>
      </w:r>
    </w:p>
    <w:p>
      <w:r>
        <w:pict>
          <v:rect style="width:0;height:1.5pt" o:hralign="center" o:hrstd="t" o:hr="t"/>
        </w:pict>
      </w:r>
    </w:p>
    <w:bookmarkEnd w:id="31"/>
    <w:bookmarkStart w:id="38" w:name="description-du-plan-34"/>
    <w:p>
      <w:pPr>
        <w:pStyle w:val="Heading3"/>
      </w:pPr>
      <w:r>
        <w:t xml:space="preserve">4. Description du plan 3:4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apport_2026-01-19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4.1 - Graphe des individus (ACP)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apport_2026-01-19_files/figure-docx/unnamed-chunk-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4.2 - Graphe des variables (ACP)</w:t>
      </w:r>
      <w:r>
        <w:t xml:space="preserve"> </w:t>
      </w:r>
      <w:r>
        <w:rPr>
          <w:i/>
          <w:iCs/>
        </w:rPr>
        <w:t xml:space="preserve">Les variables en noir sont les variables actives, celles en bleu sont les variables quantitatives supplémentaires (illustratives).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3</w:t>
      </w:r>
      <w:r>
        <w:t xml:space="preserve"> </w:t>
      </w:r>
      <w:r>
        <w:t xml:space="preserve">oppose des individus tels que</w:t>
      </w:r>
      <w:r>
        <w:t xml:space="preserve"> </w:t>
      </w:r>
      <w:r>
        <w:rPr>
          <w:i/>
          <w:iCs/>
        </w:rPr>
        <w:t xml:space="preserve">INRA12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BGA15</w:t>
      </w:r>
      <w:r>
        <w:t xml:space="preserve"> </w:t>
      </w:r>
      <w:r>
        <w:t xml:space="preserve">(à droite du graphe, caractérisés par une coordonnée fortement positive sur l’axe)</w:t>
      </w:r>
      <w:r>
        <w:t xml:space="preserve"> </w:t>
      </w:r>
      <w:r>
        <w:t xml:space="preserve">à des individus comme</w:t>
      </w:r>
      <w:r>
        <w:t xml:space="preserve"> </w:t>
      </w:r>
      <w:r>
        <w:rPr>
          <w:i/>
          <w:iCs/>
        </w:rPr>
        <w:t xml:space="preserve">SYN15</w:t>
      </w:r>
      <w:r>
        <w:t xml:space="preserve">,</w:t>
      </w:r>
      <w:r>
        <w:t xml:space="preserve"> </w:t>
      </w:r>
      <w:r>
        <w:rPr>
          <w:i/>
          <w:iCs/>
        </w:rPr>
        <w:t xml:space="preserve">RAGT15</w:t>
      </w:r>
      <w:r>
        <w:t xml:space="preserve">,</w:t>
      </w:r>
      <w:r>
        <w:t xml:space="preserve"> </w:t>
      </w:r>
      <w:r>
        <w:rPr>
          <w:i/>
          <w:iCs/>
        </w:rPr>
        <w:t xml:space="preserve">RAGT14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INRA11</w:t>
      </w:r>
      <w:r>
        <w:t xml:space="preserve"> </w:t>
      </w:r>
      <w:r>
        <w:t xml:space="preserve">(à gauche du graphe, caractérisés par une coordonnée fortement négative sur l’axe).</w:t>
      </w:r>
    </w:p>
    <w:p>
      <w:pPr>
        <w:pStyle w:val="BodyText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INRA12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BGA15</w:t>
      </w:r>
      <w:r>
        <w:t xml:space="preserve"> </w:t>
      </w:r>
      <w:r>
        <w:t xml:space="preserve">appartiennent (caractérisés par une coordonnée positive sur l’axe) partage :</w:t>
      </w:r>
    </w:p>
    <w:p>
      <w:pPr>
        <w:pStyle w:val="Compact"/>
        <w:numPr>
          <w:ilvl w:val="0"/>
          <w:numId w:val="1005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QPT</w:t>
      </w:r>
      <w:r>
        <w:t xml:space="preserve">,</w:t>
      </w:r>
      <w:r>
        <w:t xml:space="preserve"> </w:t>
      </w:r>
      <w:r>
        <w:rPr>
          <w:i/>
          <w:iCs/>
        </w:rPr>
        <w:t xml:space="preserve">LGDD_F</w:t>
      </w:r>
      <w:r>
        <w:t xml:space="preserve">,</w:t>
      </w:r>
      <w:r>
        <w:t xml:space="preserve"> </w:t>
      </w:r>
      <w:r>
        <w:rPr>
          <w:i/>
          <w:iCs/>
        </w:rPr>
        <w:t xml:space="preserve">LT_F</w:t>
      </w:r>
      <w:r>
        <w:t xml:space="preserve">,</w:t>
      </w:r>
      <w:r>
        <w:t xml:space="preserve"> </w:t>
      </w:r>
      <w:r>
        <w:rPr>
          <w:i/>
          <w:iCs/>
        </w:rPr>
        <w:t xml:space="preserve">LSR_F</w:t>
      </w:r>
      <w:r>
        <w:t xml:space="preserve">,</w:t>
      </w:r>
      <w:r>
        <w:t xml:space="preserve"> </w:t>
      </w:r>
      <w:r>
        <w:rPr>
          <w:i/>
          <w:iCs/>
        </w:rPr>
        <w:t xml:space="preserve">TMIN_B</w:t>
      </w:r>
      <w:r>
        <w:t xml:space="preserve">,</w:t>
      </w:r>
      <w:r>
        <w:t xml:space="preserve"> </w:t>
      </w:r>
      <w:r>
        <w:rPr>
          <w:i/>
          <w:iCs/>
        </w:rPr>
        <w:t xml:space="preserve">FR_F</w:t>
      </w:r>
      <w:r>
        <w:t xml:space="preserve">,</w:t>
      </w:r>
      <w:r>
        <w:t xml:space="preserve"> </w:t>
      </w:r>
      <w:r>
        <w:rPr>
          <w:i/>
          <w:iCs/>
        </w:rPr>
        <w:t xml:space="preserve">SSR_F</w:t>
      </w:r>
      <w:r>
        <w:t xml:space="preserve">,</w:t>
      </w:r>
      <w:r>
        <w:t xml:space="preserve"> </w:t>
      </w:r>
      <w:r>
        <w:rPr>
          <w:i/>
          <w:iCs/>
        </w:rPr>
        <w:t xml:space="preserve">HT_F</w:t>
      </w:r>
      <w:r>
        <w:t xml:space="preserve">,</w:t>
      </w:r>
      <w:r>
        <w:t xml:space="preserve"> </w:t>
      </w:r>
      <w:r>
        <w:rPr>
          <w:i/>
          <w:iCs/>
        </w:rPr>
        <w:t xml:space="preserve">WS_F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LSR_P300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5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SSR_P300</w:t>
      </w:r>
      <w:r>
        <w:t xml:space="preserve">,</w:t>
      </w:r>
      <w:r>
        <w:t xml:space="preserve"> </w:t>
      </w:r>
      <w:r>
        <w:rPr>
          <w:i/>
          <w:iCs/>
        </w:rPr>
        <w:t xml:space="preserve">Ntotal</w:t>
      </w:r>
      <w:r>
        <w:t xml:space="preserve">,</w:t>
      </w:r>
      <w:r>
        <w:t xml:space="preserve"> </w:t>
      </w:r>
      <w:r>
        <w:rPr>
          <w:i/>
          <w:iCs/>
        </w:rPr>
        <w:t xml:space="preserve">TMIN_F</w:t>
      </w:r>
      <w:r>
        <w:t xml:space="preserve">,</w:t>
      </w:r>
      <w:r>
        <w:t xml:space="preserve"> </w:t>
      </w:r>
      <w:r>
        <w:rPr>
          <w:i/>
          <w:iCs/>
        </w:rPr>
        <w:t xml:space="preserve">TMIN_FLO</w:t>
      </w:r>
      <w:r>
        <w:t xml:space="preserve">,</w:t>
      </w:r>
      <w:r>
        <w:t xml:space="preserve"> </w:t>
      </w:r>
      <w:r>
        <w:rPr>
          <w:i/>
          <w:iCs/>
        </w:rPr>
        <w:t xml:space="preserve">Longitude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VERN</w:t>
      </w:r>
      <w:r>
        <w:t xml:space="preserve"> </w:t>
      </w:r>
      <w:r>
        <w:t xml:space="preserve">(de la plus extrême à la moins extrême).</w:t>
      </w:r>
    </w:p>
    <w:p>
      <w:pPr>
        <w:pStyle w:val="FirstParagraph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SYN15</w:t>
      </w:r>
      <w:r>
        <w:t xml:space="preserve">,</w:t>
      </w:r>
      <w:r>
        <w:t xml:space="preserve"> </w:t>
      </w:r>
      <w:r>
        <w:rPr>
          <w:i/>
          <w:iCs/>
        </w:rPr>
        <w:t xml:space="preserve">RAGT15</w:t>
      </w:r>
      <w:r>
        <w:t xml:space="preserve">,</w:t>
      </w:r>
      <w:r>
        <w:t xml:space="preserve"> </w:t>
      </w:r>
      <w:r>
        <w:rPr>
          <w:i/>
          <w:iCs/>
        </w:rPr>
        <w:t xml:space="preserve">RAGT14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INRA11</w:t>
      </w:r>
      <w:r>
        <w:t xml:space="preserve"> </w:t>
      </w:r>
      <w:r>
        <w:t xml:space="preserve">appartiennent (caractérisés par une coordonnées négative sur l’axe) partage :</w:t>
      </w:r>
    </w:p>
    <w:p>
      <w:pPr>
        <w:pStyle w:val="Compact"/>
        <w:numPr>
          <w:ilvl w:val="0"/>
          <w:numId w:val="1006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VERN</w:t>
      </w:r>
      <w:r>
        <w:t xml:space="preserve">,</w:t>
      </w:r>
      <w:r>
        <w:t xml:space="preserve"> </w:t>
      </w:r>
      <w:r>
        <w:rPr>
          <w:i/>
          <w:iCs/>
        </w:rPr>
        <w:t xml:space="preserve">TMAX_B</w:t>
      </w:r>
      <w:r>
        <w:t xml:space="preserve">,</w:t>
      </w:r>
      <w:r>
        <w:t xml:space="preserve"> </w:t>
      </w:r>
      <w:r>
        <w:rPr>
          <w:i/>
          <w:iCs/>
        </w:rPr>
        <w:t xml:space="preserve">Ntotal</w:t>
      </w:r>
      <w:r>
        <w:t xml:space="preserve">,</w:t>
      </w:r>
      <w:r>
        <w:t xml:space="preserve"> </w:t>
      </w:r>
      <w:r>
        <w:rPr>
          <w:i/>
          <w:iCs/>
        </w:rPr>
        <w:t xml:space="preserve">WS_P1000</w:t>
      </w:r>
      <w:r>
        <w:t xml:space="preserve">,</w:t>
      </w:r>
      <w:r>
        <w:t xml:space="preserve"> </w:t>
      </w:r>
      <w:r>
        <w:rPr>
          <w:i/>
          <w:iCs/>
        </w:rPr>
        <w:t xml:space="preserve">Longitude</w:t>
      </w:r>
      <w:r>
        <w:t xml:space="preserve">,</w:t>
      </w:r>
      <w:r>
        <w:t xml:space="preserve"> </w:t>
      </w:r>
      <w:r>
        <w:rPr>
          <w:i/>
          <w:iCs/>
        </w:rPr>
        <w:t xml:space="preserve">SSR_B</w:t>
      </w:r>
      <w:r>
        <w:t xml:space="preserve">,</w:t>
      </w:r>
      <w:r>
        <w:t xml:space="preserve"> </w:t>
      </w:r>
      <w:r>
        <w:rPr>
          <w:i/>
          <w:iCs/>
        </w:rPr>
        <w:t xml:space="preserve">WS_P600</w:t>
      </w:r>
      <w:r>
        <w:t xml:space="preserve">,</w:t>
      </w:r>
      <w:r>
        <w:t xml:space="preserve"> </w:t>
      </w:r>
      <w:r>
        <w:rPr>
          <w:i/>
          <w:iCs/>
        </w:rPr>
        <w:t xml:space="preserve">LT_B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TMIN_F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6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LT_F</w:t>
      </w:r>
      <w:r>
        <w:t xml:space="preserve">,</w:t>
      </w:r>
      <w:r>
        <w:t xml:space="preserve"> </w:t>
      </w:r>
      <w:r>
        <w:rPr>
          <w:i/>
          <w:iCs/>
        </w:rPr>
        <w:t xml:space="preserve">LGDD_F</w:t>
      </w:r>
      <w:r>
        <w:t xml:space="preserve">,</w:t>
      </w:r>
      <w:r>
        <w:t xml:space="preserve"> </w:t>
      </w:r>
      <w:r>
        <w:rPr>
          <w:i/>
          <w:iCs/>
        </w:rPr>
        <w:t xml:space="preserve">LSR_F</w:t>
      </w:r>
      <w:r>
        <w:t xml:space="preserve">,</w:t>
      </w:r>
      <w:r>
        <w:t xml:space="preserve"> </w:t>
      </w:r>
      <w:r>
        <w:rPr>
          <w:i/>
          <w:iCs/>
        </w:rPr>
        <w:t xml:space="preserve">TMAX_CW</w:t>
      </w:r>
      <w:r>
        <w:t xml:space="preserve">,</w:t>
      </w:r>
      <w:r>
        <w:t xml:space="preserve"> </w:t>
      </w:r>
      <w:r>
        <w:rPr>
          <w:i/>
          <w:iCs/>
        </w:rPr>
        <w:t xml:space="preserve">WSC_P1000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HT_FLO</w:t>
      </w:r>
      <w:r>
        <w:t xml:space="preserve"> </w:t>
      </w:r>
      <w:r>
        <w:t xml:space="preserve">(de la plus extrême à la moins extrême).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4</w:t>
      </w:r>
      <w:r>
        <w:t xml:space="preserve"> </w:t>
      </w:r>
      <w:r>
        <w:t xml:space="preserve">oppose des individus tels que</w:t>
      </w:r>
      <w:r>
        <w:t xml:space="preserve"> </w:t>
      </w:r>
      <w:r>
        <w:rPr>
          <w:i/>
          <w:iCs/>
        </w:rPr>
        <w:t xml:space="preserve">SYN15</w:t>
      </w:r>
      <w:r>
        <w:t xml:space="preserve">,</w:t>
      </w:r>
      <w:r>
        <w:t xml:space="preserve"> </w:t>
      </w:r>
      <w:r>
        <w:rPr>
          <w:i/>
          <w:iCs/>
        </w:rPr>
        <w:t xml:space="preserve">RAGT15</w:t>
      </w:r>
      <w:r>
        <w:t xml:space="preserve">,</w:t>
      </w:r>
      <w:r>
        <w:t xml:space="preserve"> </w:t>
      </w:r>
      <w:r>
        <w:rPr>
          <w:i/>
          <w:iCs/>
        </w:rPr>
        <w:t xml:space="preserve">RAGT14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INRA11</w:t>
      </w:r>
      <w:r>
        <w:t xml:space="preserve"> </w:t>
      </w:r>
      <w:r>
        <w:t xml:space="preserve">(en haut du graphe, caractérisés par une coordonnées fortement positive sur l’axe)</w:t>
      </w:r>
      <w:r>
        <w:t xml:space="preserve"> </w:t>
      </w:r>
      <w:r>
        <w:t xml:space="preserve">à des individus comme</w:t>
      </w:r>
      <w:r>
        <w:t xml:space="preserve"> </w:t>
      </w:r>
      <w:r>
        <w:rPr>
          <w:i/>
          <w:iCs/>
        </w:rPr>
        <w:t xml:space="preserve">BGA11</w:t>
      </w:r>
      <w:r>
        <w:t xml:space="preserve">,</w:t>
      </w:r>
      <w:r>
        <w:t xml:space="preserve"> </w:t>
      </w:r>
      <w:r>
        <w:rPr>
          <w:i/>
          <w:iCs/>
        </w:rPr>
        <w:t xml:space="preserve">INRA18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INRA16</w:t>
      </w:r>
      <w:r>
        <w:t xml:space="preserve"> </w:t>
      </w:r>
      <w:r>
        <w:t xml:space="preserve">(en bas du graphe, caractérisés par une coordonnées fortement négative sur l’axe).</w:t>
      </w:r>
    </w:p>
    <w:p>
      <w:pPr>
        <w:pStyle w:val="BodyText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SYN15</w:t>
      </w:r>
      <w:r>
        <w:t xml:space="preserve">,</w:t>
      </w:r>
      <w:r>
        <w:t xml:space="preserve"> </w:t>
      </w:r>
      <w:r>
        <w:rPr>
          <w:i/>
          <w:iCs/>
        </w:rPr>
        <w:t xml:space="preserve">RAGT15</w:t>
      </w:r>
      <w:r>
        <w:t xml:space="preserve">,</w:t>
      </w:r>
      <w:r>
        <w:t xml:space="preserve"> </w:t>
      </w:r>
      <w:r>
        <w:rPr>
          <w:i/>
          <w:iCs/>
        </w:rPr>
        <w:t xml:space="preserve">RAGT14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INRA11</w:t>
      </w:r>
      <w:r>
        <w:t xml:space="preserve"> </w:t>
      </w:r>
      <w:r>
        <w:t xml:space="preserve">appartiennent (caractérisés par une coordonnée positive sur l’axe) partage :</w:t>
      </w:r>
    </w:p>
    <w:p>
      <w:pPr>
        <w:pStyle w:val="Compact"/>
        <w:numPr>
          <w:ilvl w:val="0"/>
          <w:numId w:val="1007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VERN</w:t>
      </w:r>
      <w:r>
        <w:t xml:space="preserve">,</w:t>
      </w:r>
      <w:r>
        <w:t xml:space="preserve"> </w:t>
      </w:r>
      <w:r>
        <w:rPr>
          <w:i/>
          <w:iCs/>
        </w:rPr>
        <w:t xml:space="preserve">TMAX_B</w:t>
      </w:r>
      <w:r>
        <w:t xml:space="preserve">,</w:t>
      </w:r>
      <w:r>
        <w:t xml:space="preserve"> </w:t>
      </w:r>
      <w:r>
        <w:rPr>
          <w:i/>
          <w:iCs/>
        </w:rPr>
        <w:t xml:space="preserve">Ntotal</w:t>
      </w:r>
      <w:r>
        <w:t xml:space="preserve">,</w:t>
      </w:r>
      <w:r>
        <w:t xml:space="preserve"> </w:t>
      </w:r>
      <w:r>
        <w:rPr>
          <w:i/>
          <w:iCs/>
        </w:rPr>
        <w:t xml:space="preserve">WS_P1000</w:t>
      </w:r>
      <w:r>
        <w:t xml:space="preserve">,</w:t>
      </w:r>
      <w:r>
        <w:t xml:space="preserve"> </w:t>
      </w:r>
      <w:r>
        <w:rPr>
          <w:i/>
          <w:iCs/>
        </w:rPr>
        <w:t xml:space="preserve">Longitude</w:t>
      </w:r>
      <w:r>
        <w:t xml:space="preserve">,</w:t>
      </w:r>
      <w:r>
        <w:t xml:space="preserve"> </w:t>
      </w:r>
      <w:r>
        <w:rPr>
          <w:i/>
          <w:iCs/>
        </w:rPr>
        <w:t xml:space="preserve">SSR_B</w:t>
      </w:r>
      <w:r>
        <w:t xml:space="preserve">,</w:t>
      </w:r>
      <w:r>
        <w:t xml:space="preserve"> </w:t>
      </w:r>
      <w:r>
        <w:rPr>
          <w:i/>
          <w:iCs/>
        </w:rPr>
        <w:t xml:space="preserve">WS_P600</w:t>
      </w:r>
      <w:r>
        <w:t xml:space="preserve">,</w:t>
      </w:r>
      <w:r>
        <w:t xml:space="preserve"> </w:t>
      </w:r>
      <w:r>
        <w:rPr>
          <w:i/>
          <w:iCs/>
        </w:rPr>
        <w:t xml:space="preserve">LT_B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TMIN_F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7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LT_F</w:t>
      </w:r>
      <w:r>
        <w:t xml:space="preserve">,</w:t>
      </w:r>
      <w:r>
        <w:t xml:space="preserve"> </w:t>
      </w:r>
      <w:r>
        <w:rPr>
          <w:i/>
          <w:iCs/>
        </w:rPr>
        <w:t xml:space="preserve">LGDD_F</w:t>
      </w:r>
      <w:r>
        <w:t xml:space="preserve">,</w:t>
      </w:r>
      <w:r>
        <w:t xml:space="preserve"> </w:t>
      </w:r>
      <w:r>
        <w:rPr>
          <w:i/>
          <w:iCs/>
        </w:rPr>
        <w:t xml:space="preserve">LSR_F</w:t>
      </w:r>
      <w:r>
        <w:t xml:space="preserve">,</w:t>
      </w:r>
      <w:r>
        <w:t xml:space="preserve"> </w:t>
      </w:r>
      <w:r>
        <w:rPr>
          <w:i/>
          <w:iCs/>
        </w:rPr>
        <w:t xml:space="preserve">TMAX_CW</w:t>
      </w:r>
      <w:r>
        <w:t xml:space="preserve">,</w:t>
      </w:r>
      <w:r>
        <w:t xml:space="preserve"> </w:t>
      </w:r>
      <w:r>
        <w:rPr>
          <w:i/>
          <w:iCs/>
        </w:rPr>
        <w:t xml:space="preserve">WSC_P1000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HT_FLO</w:t>
      </w:r>
      <w:r>
        <w:t xml:space="preserve"> </w:t>
      </w:r>
      <w:r>
        <w:t xml:space="preserve">(de la plus extrême à la moins extrême).</w:t>
      </w:r>
    </w:p>
    <w:p>
      <w:pPr>
        <w:pStyle w:val="FirstParagraph"/>
      </w:pPr>
      <w:r>
        <w:t xml:space="preserve">Le groupe auquel les individus</w:t>
      </w:r>
      <w:r>
        <w:t xml:space="preserve"> </w:t>
      </w:r>
      <w:r>
        <w:rPr>
          <w:i/>
          <w:iCs/>
        </w:rPr>
        <w:t xml:space="preserve">BGA11</w:t>
      </w:r>
      <w:r>
        <w:t xml:space="preserve">,</w:t>
      </w:r>
      <w:r>
        <w:t xml:space="preserve"> </w:t>
      </w:r>
      <w:r>
        <w:rPr>
          <w:i/>
          <w:iCs/>
        </w:rPr>
        <w:t xml:space="preserve">INRA18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INRA16</w:t>
      </w:r>
      <w:r>
        <w:t xml:space="preserve"> </w:t>
      </w:r>
      <w:r>
        <w:t xml:space="preserve">appartiennent (caractérisés par une coordonnées négative sur l’axe) partage :</w:t>
      </w:r>
    </w:p>
    <w:p>
      <w:pPr>
        <w:pStyle w:val="Compact"/>
        <w:numPr>
          <w:ilvl w:val="0"/>
          <w:numId w:val="1008"/>
        </w:numPr>
      </w:pPr>
      <w:r>
        <w:t xml:space="preserve">de fortes valeurs pour les variables</w:t>
      </w:r>
      <w:r>
        <w:t xml:space="preserve"> </w:t>
      </w:r>
      <w:r>
        <w:rPr>
          <w:i/>
          <w:iCs/>
        </w:rPr>
        <w:t xml:space="preserve">RF</w:t>
      </w:r>
      <w:r>
        <w:t xml:space="preserve">,</w:t>
      </w:r>
      <w:r>
        <w:t xml:space="preserve"> </w:t>
      </w:r>
      <w:r>
        <w:rPr>
          <w:i/>
          <w:iCs/>
        </w:rPr>
        <w:t xml:space="preserve">HT_FLO</w:t>
      </w:r>
      <w:r>
        <w:t xml:space="preserve">,</w:t>
      </w:r>
      <w:r>
        <w:t xml:space="preserve"> </w:t>
      </w:r>
      <w:r>
        <w:rPr>
          <w:i/>
          <w:iCs/>
        </w:rPr>
        <w:t xml:space="preserve">RO</w:t>
      </w:r>
      <w:r>
        <w:t xml:space="preserve">,</w:t>
      </w:r>
      <w:r>
        <w:t xml:space="preserve"> </w:t>
      </w:r>
      <w:r>
        <w:rPr>
          <w:i/>
          <w:iCs/>
        </w:rPr>
        <w:t xml:space="preserve">LSR_FLO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SSR_P300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ilvl w:val="0"/>
          <w:numId w:val="1008"/>
        </w:numPr>
      </w:pPr>
      <w:r>
        <w:t xml:space="preserve">de faibles valeurs pour les variables</w:t>
      </w:r>
      <w:r>
        <w:t xml:space="preserve"> </w:t>
      </w:r>
      <w:r>
        <w:rPr>
          <w:i/>
          <w:iCs/>
        </w:rPr>
        <w:t xml:space="preserve">DAI</w:t>
      </w:r>
      <w:r>
        <w:t xml:space="preserve">,</w:t>
      </w:r>
      <w:r>
        <w:t xml:space="preserve"> </w:t>
      </w:r>
      <w:r>
        <w:rPr>
          <w:i/>
          <w:iCs/>
        </w:rPr>
        <w:t xml:space="preserve">TMAX_B</w:t>
      </w:r>
      <w:r>
        <w:t xml:space="preserve">,</w:t>
      </w:r>
      <w:r>
        <w:t xml:space="preserve"> </w:t>
      </w:r>
      <w:r>
        <w:rPr>
          <w:i/>
          <w:iCs/>
        </w:rPr>
        <w:t xml:space="preserve">SSR_P600</w:t>
      </w:r>
      <w:r>
        <w:t xml:space="preserve">,</w:t>
      </w:r>
      <w:r>
        <w:t xml:space="preserve"> </w:t>
      </w:r>
      <w:r>
        <w:rPr>
          <w:i/>
          <w:iCs/>
        </w:rPr>
        <w:t xml:space="preserve">QPT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TMAX_F</w:t>
      </w:r>
      <w:r>
        <w:t xml:space="preserve"> </w:t>
      </w:r>
      <w:r>
        <w:t xml:space="preserve">(de la plus extrême à la moins extrême).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annexes"/>
    <w:p>
      <w:pPr>
        <w:pStyle w:val="Heading2"/>
      </w:pPr>
      <w:r>
        <w:t xml:space="preserve">Annexes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en Composantes Principales</dc:title>
  <dc:creator>Jeu de données dt_acp</dc:creator>
  <cp:keywords/>
  <dcterms:created xsi:type="dcterms:W3CDTF">2026-01-19T10:20:59Z</dcterms:created>
  <dcterms:modified xsi:type="dcterms:W3CDTF">2026-01-19T10:20:59Z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