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Российский университет транспорта (РУТ (МИИТ))</w:t>
      </w:r>
    </w:p>
    <w:p>
      <w:pPr>
        <w:spacing w:after="40" w:before="0" w:line="36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Институт управления и цифровых технологий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Кафедра «Компьютерная безопасность»</w:t>
      </w:r>
    </w:p>
    <w:p>
      <w:pPr>
        <w:spacing w:after="0" w:before="160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40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ПОЯСНИТЕЛЬНАЯ ЗАПИСКА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 проекту на тему: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«Платформа агрегации и анализа индикаторов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компрометации (Threat Intelligence Platform)»</w:t>
      </w:r>
    </w:p>
    <w:p>
      <w:pPr>
        <w:spacing w:after="0" w:before="200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before="600"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Выполнил: студент 4 курса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Ремигайло Е.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Специальность «Компьютерная безопасность»</w:t>
      </w:r>
    </w:p>
    <w:p>
      <w:pPr>
        <w:spacing w:after="0" w:before="160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Москва, 2026</w:t>
      </w:r>
    </w:p>
    <w:p>
      <w:r>
        <w:br w:type="page"/>
      </w:r>
    </w:p>
    <w:p>
      <w:pPr>
        <w:spacing w:after="1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Введение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Современные корпоративные сети ежедневно подвергаются автоматизированным атакам: сканированию, подбору учётных данных, доставке вредоносного программного обеспечения и управлению заражёнными узлами через командные серверы. Эффективность обнаружения таких атак напрямую зависит от того, насколько оперативно средства защиты получают и применяют сведения об индикаторах компрометации (Indicators of Compromise, IOC) — вредоносных IP-адресах, доменах, URL, хеш-суммах файлов и адресах электронной почты.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Источники таких сведений (threat intelligence feeds) разнородны по форматам и качеству, содержат дубликаты и устаревшие записи, а также значительную долю ложных срабатываний. Поэтому на практике требуется платформа, которая приводит индикаторы к единому виду, обогащает их дополнительным контекстом, оценивает уровень риска и позволяет сопоставлять их с реальными событиями в сети.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Целью работы является проектирование и программная реализация платформы Threat Intelligence, выполняющей полный цикл обработки индикаторов компрометации: от приёма из разнородных источников до выдачи аналитических отчётов и предоставления программного интерфейса.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достижения цели решены следующие задачи: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разработана модель данных и подсистема нормализации индикаторов;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реализованы парсеры источников в форматах текстового списка, CSV, STIX 2.1 и MISP/OTX;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реализованы обогатители (геопривязка, репутация, возраст домена) с внедрением источников;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разработан прозрачный механизм оценки риска и корреляции индикаторов в кластеры угроз;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реализованы хранилище на SQLite, сопоставление событий с базой IOC и REST-интерфейс;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разработан комплект автоматических тестов и настроена непрерывная интеграция.</w:t>
      </w:r>
    </w:p>
    <w:p>
      <w:pPr>
        <w:pStyle w:val="Heading1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Анализ предметной области и постановка задачи</w:t>
      </w:r>
    </w:p>
    <w:p>
      <w:pPr>
        <w:pStyle w:val="Heading2"/>
        <w:spacing w:after="12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Актуальность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Threat Intelligence — это процесс сбора, обработки и анализа данных об угрозах с целью принятия обоснованных решений по защите. Ключевой артефакт процесса — индикатор компрометации, то есть наблюдаемый признак вредоносной активности. Разрозненное использование индикаторов без нормализации, оценки достоверности и корреляции приводит к перегрузке аналитика ложными срабатываниями и к пропуску значимых событий.</w:t>
      </w:r>
    </w:p>
    <w:p>
      <w:pPr>
        <w:pStyle w:val="Heading2"/>
        <w:spacing w:after="12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Обзор существующих решений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Среди распространённых решений — платформа MISP (Malware Information Sharing Platform), сервис AlienVault OTX, коммерческие агрегаторы. Они обладают широкими возможностями, однако требуют развёртывания тяжёлой инфраструктуры и внешних зависимостей. В учебной работе ставится задача создать компактную, самодостаточную платформу, демонстрирующую полный цикл обработки индикаторов и пригодную для расширения промышленными источниками данных.</w:t>
      </w:r>
    </w:p>
    <w:p>
      <w:pPr>
        <w:pStyle w:val="Heading2"/>
        <w:spacing w:after="12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 Постановка задачи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Требуется разработать платформу, которая: принимает индикаторы из файлов разных форматов; приводит их к каноническому виду и устраняет дубликаты; обогащает дополнительными данными; рассчитывает балл риска в диапазоне от 0 до 100 с объяснением; группирует связанные индикаторы; сохраняет результаты в базе данных; сопоставляет произвольные журналы событий с базой IOC и предоставляет результаты через командный интерфейс, REST API и отчёты.</w:t>
      </w:r>
    </w:p>
    <w:p>
      <w:pPr>
        <w:pStyle w:val="Heading1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Проектирование системы</w:t>
      </w:r>
    </w:p>
    <w:p>
      <w:pPr>
        <w:pStyle w:val="Heading2"/>
        <w:spacing w:after="12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Архитектура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построена по принципу конвейера (pipeline): данные последовательно проходят этапы приёма, нормализации, хранения, обогащения, скоринга, корреляции и выдачи. Каждый этап инкапсулирован в отдельном модуле, что обеспечивает слабую связанность и возможность независимого расширения. Обобщённая схема потока данных приведена ниже.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феды (txt/csv/stix/misp) -&gt; нормализация и дедуп -&gt; SQLite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      |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обогащение (geoip / reputation / whois)   |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|                               v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скоринг риска -&gt; корреляция в кластеры угроз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      |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журналы событий -&gt; матчинг по базе IOC -&gt; алерты   v</w:t>
      </w:r>
    </w:p>
    <w:p>
      <w:pPr>
        <w:shd w:fill="F2F2F2" w:val="clear"/>
        <w:spacing w:after="12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REST API / отчёты (Markdown)</w:t>
      </w:r>
    </w:p>
    <w:p>
      <w:pPr>
        <w:pStyle w:val="Heading2"/>
        <w:spacing w:after="12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Модель данных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Основой модели является сущность «Индикатор», дополненная сущностями обогащения, оценки, наблюдения и кластера угроз. Ключевые сущности представлены в таблице 1.</w:t>
      </w:r>
    </w:p>
    <w:p>
      <w:p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 — Основные сущности модели данных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5"/>
      </w:tblGrid>
      <w:tr>
        <w:trPr>
          <w:tblHeader/>
        </w:trPr>
        <w:tc>
          <w:tcPr>
            <w:tcW w:type="dxa" w:w="240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Сущность</w:t>
            </w:r>
          </w:p>
        </w:tc>
        <w:tc>
          <w:tcPr>
            <w:tcW w:type="dxa" w:w="6955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 и ключевые атрибуты</w:t>
            </w:r>
          </w:p>
        </w:tc>
      </w:tr>
      <w:tr>
        <w:trPr>
          <w:tblHeader w:val="off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Indicator</w:t>
            </w:r>
          </w:p>
        </w:tc>
        <w:tc>
          <w:tcPr>
            <w:tcW w:type="dxa" w:w="69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нормализованный IOC: значение, тип, источник, окно наблюдения, доверие, теги</w:t>
            </w:r>
          </w:p>
        </w:tc>
      </w:tr>
      <w:tr>
        <w:trPr>
          <w:tblHeader w:val="off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Enrichment</w:t>
            </w:r>
          </w:p>
        </w:tc>
        <w:tc>
          <w:tcPr>
            <w:tcW w:type="dxa" w:w="69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результат обогащения одним провайдером: провайдер, данные, метка времени</w:t>
            </w:r>
          </w:p>
        </w:tc>
      </w:tr>
      <w:tr>
        <w:trPr>
          <w:tblHeader w:val="off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Score</w:t>
            </w:r>
          </w:p>
        </w:tc>
        <w:tc>
          <w:tcPr>
            <w:tcW w:type="dxa" w:w="69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оценка риска: балл 0–100, уровень критичности, список причин</w:t>
            </w:r>
          </w:p>
        </w:tc>
      </w:tr>
      <w:tr>
        <w:trPr>
          <w:tblHeader w:val="off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Observation</w:t>
            </w:r>
          </w:p>
        </w:tc>
        <w:tc>
          <w:tcPr>
            <w:tcW w:type="dxa" w:w="69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факт наблюдения индикатора в телеметрии (sighting)</w:t>
            </w:r>
          </w:p>
        </w:tc>
      </w:tr>
      <w:tr>
        <w:trPr>
          <w:tblHeader w:val="off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Alert</w:t>
            </w:r>
          </w:p>
        </w:tc>
        <w:tc>
          <w:tcPr>
            <w:tcW w:type="dxa" w:w="69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срабатывание сопоставления события с базой IOC</w:t>
            </w:r>
          </w:p>
        </w:tc>
      </w:tr>
      <w:tr>
        <w:trPr>
          <w:tblHeader w:val="off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ThreatCluster</w:t>
            </w:r>
          </w:p>
        </w:tc>
        <w:tc>
          <w:tcPr>
            <w:tcW w:type="dxa" w:w="69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группа связанных индикаторов с причинами связи и общим баллом</w:t>
            </w:r>
          </w:p>
        </w:tc>
      </w:tr>
    </w:tbl>
    <w:p>
      <w:pPr>
        <w:pStyle w:val="Heading2"/>
        <w:spacing w:after="12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 Этапы обработки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этапе нормализации значение приводится к каноническому виду (приведение регистра доменов и хеш-сумм, сжатие записи IPv6, «обезвреживание наоборот» — refang), определяется тип индикатора, выполняется устранение дубликатов по ключу «тип + значение» с объединением метаданных. На этапе скоринга складывается вклад типа индикатора, доверия к источнику, тегов высокого риска и результатов обогащения; итоговый балл ограничивается диапазоном 0–100.</w:t>
      </w:r>
    </w:p>
    <w:p>
      <w:pPr>
        <w:pStyle w:val="Heading1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Программная реализация</w:t>
      </w:r>
    </w:p>
    <w:p>
      <w:pPr>
        <w:pStyle w:val="Heading2"/>
        <w:spacing w:after="12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Используемые средства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Платформа реализована на языке Python версии 3.10 и выше. Ядро системы не использует внешних зависимостей — только стандартную библиотеку, что обеспечивает переносимость и простоту развёртывания. Для контроля качества кода применяется линтер ruff, для тестирования — фреймворк pytest. Хранилище построено на встроенной СУБД SQLite.</w:t>
      </w:r>
    </w:p>
    <w:p>
      <w:pPr>
        <w:pStyle w:val="Heading2"/>
        <w:spacing w:after="12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Структура проекта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Проект разделён на модули в соответствии с этапами обработки (таблица 2).</w:t>
      </w:r>
    </w:p>
    <w:p>
      <w:p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 — Назначение модулей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5"/>
      </w:tblGrid>
      <w:tr>
        <w:trPr>
          <w:tblHeader/>
        </w:trPr>
        <w:tc>
          <w:tcPr>
            <w:tcW w:type="dxa" w:w="260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Модуль</w:t>
            </w:r>
          </w:p>
        </w:tc>
        <w:tc>
          <w:tcPr>
            <w:tcW w:type="dxa" w:w="6755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models.py</w:t>
            </w:r>
          </w:p>
        </w:tc>
        <w:tc>
          <w:tcPr>
            <w:tcW w:type="dxa" w:w="67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доменные модели данных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normalize.py</w:t>
            </w:r>
          </w:p>
        </w:tc>
        <w:tc>
          <w:tcPr>
            <w:tcW w:type="dxa" w:w="67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распознавание, валидация, нормализация и дедупликация IOC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feeds/</w:t>
            </w:r>
          </w:p>
        </w:tc>
        <w:tc>
          <w:tcPr>
            <w:tcW w:type="dxa" w:w="67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парсеры источников (txt, csv, stix, misp)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enrichment/</w:t>
            </w:r>
          </w:p>
        </w:tc>
        <w:tc>
          <w:tcPr>
            <w:tcW w:type="dxa" w:w="67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обогатители: geoip, reputation, whois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scoring.py</w:t>
            </w:r>
          </w:p>
        </w:tc>
        <w:tc>
          <w:tcPr>
            <w:tcW w:type="dxa" w:w="67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движок оценки риска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correlation.py</w:t>
            </w:r>
          </w:p>
        </w:tc>
        <w:tc>
          <w:tcPr>
            <w:tcW w:type="dxa" w:w="67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корреляция индикаторов в кластеры (union-find)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storage.py</w:t>
            </w:r>
          </w:p>
        </w:tc>
        <w:tc>
          <w:tcPr>
            <w:tcW w:type="dxa" w:w="67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хранилище на SQLite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matcher.py</w:t>
            </w:r>
          </w:p>
        </w:tc>
        <w:tc>
          <w:tcPr>
            <w:tcW w:type="dxa" w:w="67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сопоставление событий с базой IOC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api.py</w:t>
            </w:r>
          </w:p>
        </w:tc>
        <w:tc>
          <w:tcPr>
            <w:tcW w:type="dxa" w:w="67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REST API на стандартной библиотеке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report.py</w:t>
            </w:r>
          </w:p>
        </w:tc>
        <w:tc>
          <w:tcPr>
            <w:tcW w:type="dxa" w:w="67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генерация аналитических отчётов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cli.py</w:t>
            </w:r>
          </w:p>
        </w:tc>
        <w:tc>
          <w:tcPr>
            <w:tcW w:type="dxa" w:w="67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интерфейс командной строки</w:t>
            </w:r>
          </w:p>
        </w:tc>
      </w:tr>
    </w:tbl>
    <w:p>
      <w:pPr>
        <w:pStyle w:val="Heading2"/>
        <w:spacing w:after="12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 Нормализация индикаторов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Модуль нормализации определяет тип индикатора по его структуре: хеш-сумма распознаётся по длине шестнадцатеричной строки (32, 40 и 64 символа — MD5, SHA1, SHA256 соответственно), IP-адрес — средствами стандартного модуля ipaddress, домен, URL и адрес электронной почты — по регулярным выражениям. Поддерживается разбор «обезвреженных» индикаторов вида hxxp://1[.]2[.]3[.]4.</w:t>
      </w:r>
    </w:p>
    <w:p>
      <w:pPr>
        <w:pStyle w:val="Heading2"/>
        <w:spacing w:after="12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 Источники индикаторов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Реализованы четыре парсера, объединённые общим базовым классом Feed. Нераспознанные строки пропускаются без прерывания загрузки. Поддержаны форматы: построчный текстовый список, CSV с настраиваемыми колонками, STIX 2.1 bundle и MISP/OTX-подобный JSON.</w:t>
      </w:r>
    </w:p>
    <w:p>
      <w:pPr>
        <w:pStyle w:val="Heading2"/>
        <w:spacing w:after="12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3.5 Обогащение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Обогатители получают источники данных извне (внедрение зависимостей), что делает их детерминированно тестируемыми без обращения к сети. Реализованы: геопривязка и классификация IP; агрегированная репутация по вердиктам нескольких провайдеров; определение возраста домена (недавно зарегистрированные домены считаются более подозрительными).</w:t>
      </w:r>
    </w:p>
    <w:p>
      <w:pPr>
        <w:pStyle w:val="Heading2"/>
        <w:spacing w:after="12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3.6 Оценка риска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Движок скоринга формирует балл как сумму вкладов: базовый вес типа, доля от доверия источника, бонусы за теги высокого риска (c2, apt, ransomware и др.), вклад агрегированной репутации, надбавка за молодой домен, штраф за приватный/bogon-адрес и за устаревшие индикаторы. Каждая оценка сопровождается списком причин, поясняющих её значение, что обеспечивает прозрачность.</w:t>
      </w:r>
    </w:p>
    <w:p>
      <w:pPr>
        <w:pStyle w:val="Heading2"/>
        <w:spacing w:after="12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3.7 Корреляция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Корреляция связывает индикаторы, разделяющие общие признаки (теги, разрешение домена в один IP-адрес), и выделяет компоненты связности с помощью системы непересекающихся множеств (union-find). Это обеспечивает транзитивную группировку за практически линейное время и позволяет выявлять инфраструктуру единой атакующей кампании.</w:t>
      </w:r>
    </w:p>
    <w:p>
      <w:pPr>
        <w:pStyle w:val="Heading2"/>
        <w:spacing w:after="12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3.8 Сопоставление событий и REST API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Модуль сопоставления извлекает индикаторы из произвольного текста журнала и сверяет их с базой, формируя алерты с учётом порога критичности. REST API, построенный на стандартной библиотеке, предоставляет методы проверки живости, статистики, поиска и получения карточки индикатора, а также сопоставления переданного текста с базой IOC (таблица 3).</w:t>
      </w:r>
    </w:p>
    <w:p>
      <w:p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 — Методы REST API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955"/>
      </w:tblGrid>
      <w:tr>
        <w:trPr>
          <w:tblHeader/>
        </w:trPr>
        <w:tc>
          <w:tcPr>
            <w:tcW w:type="dxa" w:w="140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Метод</w:t>
            </w:r>
          </w:p>
        </w:tc>
        <w:tc>
          <w:tcPr>
            <w:tcW w:type="dxa" w:w="400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Путь</w:t>
            </w:r>
          </w:p>
        </w:tc>
        <w:tc>
          <w:tcPr>
            <w:tcW w:type="dxa" w:w="3955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rPr>
          <w:tblHeader w:val="off"/>
        </w:trP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/health</w:t>
            </w:r>
          </w:p>
        </w:tc>
        <w:tc>
          <w:tcPr>
            <w:tcW w:type="dxa" w:w="39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проверка живости</w:t>
            </w:r>
          </w:p>
        </w:tc>
      </w:tr>
      <w:tr>
        <w:trPr>
          <w:tblHeader w:val="off"/>
        </w:trP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/stats</w:t>
            </w:r>
          </w:p>
        </w:tc>
        <w:tc>
          <w:tcPr>
            <w:tcW w:type="dxa" w:w="39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сводная статистика</w:t>
            </w:r>
          </w:p>
        </w:tc>
      </w:tr>
      <w:tr>
        <w:trPr>
          <w:tblHeader w:val="off"/>
        </w:trP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/indicators</w:t>
            </w:r>
          </w:p>
        </w:tc>
        <w:tc>
          <w:tcPr>
            <w:tcW w:type="dxa" w:w="39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поиск по типу, тегу, минимальному баллу</w:t>
            </w:r>
          </w:p>
        </w:tc>
      </w:tr>
      <w:tr>
        <w:trPr>
          <w:tblHeader w:val="off"/>
        </w:trP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/indicators/{value}</w:t>
            </w:r>
          </w:p>
        </w:tc>
        <w:tc>
          <w:tcPr>
            <w:tcW w:type="dxa" w:w="39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карточка индикатора с обогащением и оценкой</w:t>
            </w:r>
          </w:p>
        </w:tc>
      </w:tr>
      <w:tr>
        <w:trPr>
          <w:tblHeader w:val="off"/>
        </w:trP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POST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/match</w:t>
            </w:r>
          </w:p>
        </w:tc>
        <w:tc>
          <w:tcPr>
            <w:tcW w:type="dxa" w:w="39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поиск индикаторов в переданном тексте</w:t>
            </w:r>
          </w:p>
        </w:tc>
      </w:tr>
    </w:tbl>
    <w:p>
      <w:pPr>
        <w:pStyle w:val="Heading1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Тестирование</w:t>
      </w:r>
    </w:p>
    <w:p>
      <w:pPr>
        <w:pStyle w:val="Heading2"/>
        <w:spacing w:after="12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Методика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проверки корректности разработан комплект автоматических тестов на базе pytest. Тесты покрывают как штатные сценарии, так и обработку ошибочных входных данных. Качество кода дополнительно контролируется линтером ruff. Непрерывная интеграция настроена средствами GitHub Actions с запуском на версиях Python 3.10 и 3.12.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Количественные показатели проекта приведены в таблице 4.</w:t>
      </w:r>
    </w:p>
    <w:p>
      <w:p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4 — Показатели проекта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55"/>
      </w:tblGrid>
      <w:tr>
        <w:trPr>
          <w:tblHeader/>
        </w:trPr>
        <w:tc>
          <w:tcPr>
            <w:tcW w:type="dxa" w:w="600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Показатель</w:t>
            </w:r>
          </w:p>
        </w:tc>
        <w:tc>
          <w:tcPr>
            <w:tcW w:type="dxa" w:w="3355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tblHeader w:val="off"/>
        </w:trPr>
        <w:tc>
          <w:tcPr>
            <w:tcW w:type="dxa" w:w="6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Строк кода ядра (без тестов)</w:t>
            </w:r>
          </w:p>
        </w:tc>
        <w:tc>
          <w:tcPr>
            <w:tcW w:type="dxa" w:w="33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около 1350</w:t>
            </w:r>
          </w:p>
        </w:tc>
      </w:tr>
      <w:tr>
        <w:trPr>
          <w:tblHeader w:val="off"/>
        </w:trPr>
        <w:tc>
          <w:tcPr>
            <w:tcW w:type="dxa" w:w="6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Строк тестового кода</w:t>
            </w:r>
          </w:p>
        </w:tc>
        <w:tc>
          <w:tcPr>
            <w:tcW w:type="dxa" w:w="33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около 490</w:t>
            </w:r>
          </w:p>
        </w:tc>
      </w:tr>
      <w:tr>
        <w:trPr>
          <w:tblHeader w:val="off"/>
        </w:trPr>
        <w:tc>
          <w:tcPr>
            <w:tcW w:type="dxa" w:w="6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Количество модулей (.py)</w:t>
            </w:r>
          </w:p>
        </w:tc>
        <w:tc>
          <w:tcPr>
            <w:tcW w:type="dxa" w:w="33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30</w:t>
            </w:r>
          </w:p>
        </w:tc>
      </w:tr>
      <w:tr>
        <w:trPr>
          <w:tblHeader w:val="off"/>
        </w:trPr>
        <w:tc>
          <w:tcPr>
            <w:tcW w:type="dxa" w:w="6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Количество автоматических тестов</w:t>
            </w:r>
          </w:p>
        </w:tc>
        <w:tc>
          <w:tcPr>
            <w:tcW w:type="dxa" w:w="33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90</w:t>
            </w:r>
          </w:p>
        </w:tc>
      </w:tr>
      <w:tr>
        <w:trPr>
          <w:tblHeader w:val="off"/>
        </w:trPr>
        <w:tc>
          <w:tcPr>
            <w:tcW w:type="dxa" w:w="6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Результат прогона</w:t>
            </w:r>
          </w:p>
        </w:tc>
        <w:tc>
          <w:tcPr>
            <w:tcW w:type="dxa" w:w="33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90 из 90 успешно</w:t>
            </w:r>
          </w:p>
        </w:tc>
      </w:tr>
      <w:tr>
        <w:trPr>
          <w:tblHeader w:val="off"/>
        </w:trPr>
        <w:tc>
          <w:tcPr>
            <w:tcW w:type="dxa" w:w="6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Проверка ruff</w:t>
            </w:r>
          </w:p>
        </w:tc>
        <w:tc>
          <w:tcPr>
            <w:tcW w:type="dxa" w:w="33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без замечаний</w:t>
            </w:r>
          </w:p>
        </w:tc>
      </w:tr>
    </w:tbl>
    <w:p>
      <w:pPr>
        <w:pStyle w:val="Heading2"/>
        <w:spacing w:after="12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 Результаты демонстрационного прогона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сквозной проверки реализован режим демонстрации, который генерирует синтетические источники и журнал событий, после чего выполняет полный цикл обработки. Результаты прогона: загружено 13 индикаторов, выполнено 20 обогащений и 13 оценок риска, при сопоставлении журнала обнаружено 4 совпадения с базой IOC, выявлен 1 кластер угроз из 8 связанных индикаторов. Распределение индикаторов по уровню критичности приведено в таблице 5.</w:t>
      </w:r>
    </w:p>
    <w:p>
      <w:p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5 — Распределение индикаторов по критичности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55"/>
      </w:tblGrid>
      <w:tr>
        <w:trPr>
          <w:tblHeader/>
        </w:trPr>
        <w:tc>
          <w:tcPr>
            <w:tcW w:type="dxa" w:w="600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Уровень критичности</w:t>
            </w:r>
          </w:p>
        </w:tc>
        <w:tc>
          <w:tcPr>
            <w:tcW w:type="dxa" w:w="3355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Количество</w:t>
            </w:r>
          </w:p>
        </w:tc>
      </w:tr>
      <w:tr>
        <w:trPr>
          <w:tblHeader w:val="off"/>
        </w:trPr>
        <w:tc>
          <w:tcPr>
            <w:tcW w:type="dxa" w:w="6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critical (критический)</w:t>
            </w:r>
          </w:p>
        </w:tc>
        <w:tc>
          <w:tcPr>
            <w:tcW w:type="dxa" w:w="33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</w:tr>
      <w:tr>
        <w:trPr>
          <w:tblHeader w:val="off"/>
        </w:trPr>
        <w:tc>
          <w:tcPr>
            <w:tcW w:type="dxa" w:w="6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high (высокий)</w:t>
            </w:r>
          </w:p>
        </w:tc>
        <w:tc>
          <w:tcPr>
            <w:tcW w:type="dxa" w:w="33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</w:tr>
      <w:tr>
        <w:trPr>
          <w:tblHeader w:val="off"/>
        </w:trPr>
        <w:tc>
          <w:tcPr>
            <w:tcW w:type="dxa" w:w="6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medium (средний)</w:t>
            </w:r>
          </w:p>
        </w:tc>
        <w:tc>
          <w:tcPr>
            <w:tcW w:type="dxa" w:w="33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</w:tr>
      <w:tr>
        <w:trPr>
          <w:tblHeader w:val="off"/>
        </w:trPr>
        <w:tc>
          <w:tcPr>
            <w:tcW w:type="dxa" w:w="6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low (низкий)</w:t>
            </w:r>
          </w:p>
        </w:tc>
        <w:tc>
          <w:tcPr>
            <w:tcW w:type="dxa" w:w="33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</w:tr>
    </w:tbl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Выявленный кластер объединил домены, хеш-суммы и URL единой кампании по общим тегам «c2», «malware» и «phishing», что подтверждает работоспособность механизма корреляции.</w:t>
      </w:r>
    </w:p>
    <w:p>
      <w:pPr>
        <w:pStyle w:val="Heading1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 Руководство по применению</w:t>
      </w:r>
    </w:p>
    <w:p>
      <w:pPr>
        <w:pStyle w:val="Heading2"/>
        <w:spacing w:after="12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 Установка и запуск</w:t>
      </w:r>
    </w:p>
    <w:p>
      <w:pPr>
        <w:spacing w:after="6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Установка выполняется в виртуальном окружении Python: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python -m venv .venv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.venv\Scripts\Activate.ps1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pip install -e ".[dev]"</w:t>
      </w:r>
    </w:p>
    <w:p>
      <w:pPr>
        <w:shd w:fill="F2F2F2" w:val="clear"/>
        <w:spacing w:after="120" w:line="240"/>
      </w:pPr>
      <w:r>
        <w:rPr>
          <w:rFonts w:ascii="Consolas" w:cs="Consolas" w:eastAsia="Consolas" w:hAnsi="Consolas"/>
          <w:sz w:val="20"/>
          <w:szCs w:val="20"/>
        </w:rPr>
        <w:t xml:space="preserve">tip --db tip.db demo -o report.md</w:t>
      </w:r>
    </w:p>
    <w:p>
      <w:pPr>
        <w:pStyle w:val="Heading2"/>
        <w:spacing w:after="12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 Команды интерфейса командной строки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Назначение команд приведено в таблице 6.</w:t>
      </w:r>
    </w:p>
    <w:p>
      <w:p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6 — Команды CLI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5"/>
      </w:tblGrid>
      <w:tr>
        <w:trPr>
          <w:tblHeader/>
        </w:trPr>
        <w:tc>
          <w:tcPr>
            <w:tcW w:type="dxa" w:w="260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Команда</w:t>
            </w:r>
          </w:p>
        </w:tc>
        <w:tc>
          <w:tcPr>
            <w:tcW w:type="dxa" w:w="6755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ingest</w:t>
            </w:r>
          </w:p>
        </w:tc>
        <w:tc>
          <w:tcPr>
            <w:tcW w:type="dxa" w:w="67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загрузка индикаторов из фида заданного формата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enrich</w:t>
            </w:r>
          </w:p>
        </w:tc>
        <w:tc>
          <w:tcPr>
            <w:tcW w:type="dxa" w:w="67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обогащение и расчёт оценок риска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correlate</w:t>
            </w:r>
          </w:p>
        </w:tc>
        <w:tc>
          <w:tcPr>
            <w:tcW w:type="dxa" w:w="67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группировка индикаторов в кластеры угроз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match</w:t>
            </w:r>
          </w:p>
        </w:tc>
        <w:tc>
          <w:tcPr>
            <w:tcW w:type="dxa" w:w="67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сопоставление журнала событий с базой IOC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report</w:t>
            </w:r>
          </w:p>
        </w:tc>
        <w:tc>
          <w:tcPr>
            <w:tcW w:type="dxa" w:w="67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формирование аналитического отчёта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serve</w:t>
            </w:r>
          </w:p>
        </w:tc>
        <w:tc>
          <w:tcPr>
            <w:tcW w:type="dxa" w:w="67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запуск REST API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demo</w:t>
            </w:r>
          </w:p>
        </w:tc>
        <w:tc>
          <w:tcPr>
            <w:tcW w:type="dxa" w:w="67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сквозной прогон на синтетических данных</w:t>
            </w:r>
          </w:p>
        </w:tc>
      </w:tr>
    </w:tbl>
    <w:p>
      <w:pPr>
        <w:pStyle w:val="Heading2"/>
        <w:spacing w:after="12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5.3 Пример работы</w:t>
      </w:r>
    </w:p>
    <w:p>
      <w:pPr>
        <w:spacing w:after="6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Типовой сценарий включает последовательную загрузку фида, обогащение и сопоставление журнала: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tip --db tip.db ingest feed_ips.txt -f txt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tip --db tip.db enrich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tip --db tip.db match events.log</w:t>
      </w:r>
    </w:p>
    <w:p>
      <w:pPr>
        <w:shd w:fill="F2F2F2" w:val="clear"/>
        <w:spacing w:after="120" w:line="240"/>
      </w:pPr>
      <w:r>
        <w:rPr>
          <w:rFonts w:ascii="Consolas" w:cs="Consolas" w:eastAsia="Consolas" w:hAnsi="Consolas"/>
          <w:sz w:val="20"/>
          <w:szCs w:val="20"/>
        </w:rPr>
        <w:t xml:space="preserve">tip --db tip.db report -o report.md</w:t>
      </w:r>
    </w:p>
    <w:p>
      <w:pPr>
        <w:pStyle w:val="Heading1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Заключение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работы спроектирована и реализована платформа Threat Intelligence, выполняющая полный цикл обработки индикаторов компрометации. Поставленные задачи решены в полном объёме: реализованы нормализация и дедупликация индикаторов, четыре парсера источников, подсистема обогащения с внедрением зависимостей, прозрачный механизм оценки риска, корреляция в кластеры угроз, хранилище, сопоставление событий, REST API и генерация отчётов.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Ядро системы реализовано без внешних зависимостей и покрыто 90 автоматическими тестами, которые успешно проходят вместе с проверкой линтером; настроена непрерывная интеграция. Демонстрационный прогон подтвердил работоспособность всех этапов обработки. Дальнейшее развитие предполагает подключение промышленных источников (VirusTotal, AbuseIPDB, OTX) поверх существующих интерфейсов, экспорт индикаторов в форматы STIX и Sigma, а также разработку веб-интерфейса.</w:t>
      </w:r>
    </w:p>
    <w:p>
      <w:pPr>
        <w:pStyle w:val="Heading1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использованных источников</w:t>
      </w:r>
    </w:p>
    <w:p>
      <w:pPr>
        <w:pStyle w:val="ListParagraph"/>
        <w:numPr>
          <w:ilvl w:val="0"/>
          <w:numId w:val="3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OASIS. STIX Version 2.1. OASIS Standard, 2021.</w:t>
      </w:r>
    </w:p>
    <w:p>
      <w:pPr>
        <w:pStyle w:val="ListParagraph"/>
        <w:numPr>
          <w:ilvl w:val="0"/>
          <w:numId w:val="3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MITRE ATT&amp;CK. [Электронный ресурс]. URL: https://attack.mitre.org.</w:t>
      </w:r>
    </w:p>
    <w:p>
      <w:pPr>
        <w:pStyle w:val="ListParagraph"/>
        <w:numPr>
          <w:ilvl w:val="0"/>
          <w:numId w:val="3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MISP Project. MISP — Open Source Threat Intelligence Platform. URL: https://www.misp-project.org.</w:t>
      </w:r>
    </w:p>
    <w:p>
      <w:pPr>
        <w:pStyle w:val="ListParagraph"/>
        <w:numPr>
          <w:ilvl w:val="0"/>
          <w:numId w:val="3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Python Software Foundation. The Python Standard Library. URL: https://docs.python.org/3/library.</w:t>
      </w:r>
    </w:p>
    <w:p>
      <w:pPr>
        <w:pStyle w:val="ListParagraph"/>
        <w:numPr>
          <w:ilvl w:val="0"/>
          <w:numId w:val="3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SQLite. SQLite Documentation. URL: https://www.sqlite.org/docs.html.</w:t>
      </w:r>
    </w:p>
    <w:sectPr>
      <w:footerReference w:type="default" r:id="rId6"/>
      <w:footerReference w:type="first" r:id="rId7"/>
      <w:pgSz w:w="11906" w:h="16838" w:orient="portrait"/>
      <w:pgMar w:top="1134" w:right="850" w:bottom="1134" w:left="1701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709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240" w:line="36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20" w:before="160" w:line="36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Пояснительная записка — Threat Intelligence Platform</dc:title>
  <dc:creator>Remigaylo Yegor</dc:creator>
  <cp:lastModifiedBy>Un-named</cp:lastModifiedBy>
  <cp:revision>1</cp:revision>
  <dcterms:created xsi:type="dcterms:W3CDTF">2026-10-06T00:16:40.963Z</dcterms:created>
  <dcterms:modified xsi:type="dcterms:W3CDTF">2026-10-06T00:16:40.964Z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