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40"/>
          <w:szCs w:val="40"/>
        </w:rPr>
        <w:t xml:space="preserve">RÈGLEMENT INTÉRIEUR</w:t>
      </w:r>
    </w:p>
    <w:p>
      <w:pPr>
        <w:spacing w:after="40"/>
        <w:jc w:val="center"/>
      </w:pPr>
      <w:r>
        <w:rPr>
          <w:rFonts w:ascii="Arial" w:cs="Arial" w:eastAsia="Arial" w:hAnsi="Arial"/>
          <w:color w:val="2C3E50"/>
          <w:sz w:val="26"/>
          <w:szCs w:val="26"/>
        </w:rPr>
        <w:t xml:space="preserve">Le Geai Éditions</w:t>
      </w:r>
    </w:p>
    <w:p>
      <w:pPr>
        <w:spacing w:after="300"/>
        <w:jc w:val="center"/>
      </w:pPr>
      <w:r>
        <w:rPr>
          <w:i/>
          <w:iCs/>
        </w:rPr>
        <w:t xml:space="preserve">Établi conformément aux articles L.1311-1 et suivants du Code du travail</w:t>
      </w:r>
    </w:p>
    <w:p>
      <w:pPr>
        <w:pBdr>
          <w:bottom w:val="single" w:color="BDC3C7" w:sz="1"/>
        </w:pBdr>
        <w:spacing w:before="200" w:after="200"/>
      </w:pPr>
    </w:p>
    <w:p>
      <w:pPr>
        <w:pStyle w:val="Heading1"/>
      </w:pPr>
      <w:r>
        <w:t xml:space="preserve">Préambule</w:t>
      </w:r>
    </w:p>
    <w:p>
      <w:r>
        <w:t xml:space="preserve">Le présent règlement intérieur est établi par la direction de </w:t>
      </w:r>
      <w:r>
        <w:rPr>
          <w:b/>
          <w:bCs/>
        </w:rPr>
        <w:t xml:space="preserve">Le Geai Éditions</w:t>
      </w:r>
      <w:r>
        <w:t xml:space="preserve">, conformément aux dispositions des articles L.1311-1 à L.1321-6 et R.1321-1 à R.1321-4 du Code du travail. Bien que l’entreprise emploie moins de 50 salariés et ne soit donc pas soumise à l’obligation légale d’établir un règlement intérieur, la direction a choisi de mettre en place le présent document afin de garantir un cadre de travail clair, sûr et équitable.</w:t>
      </w:r>
    </w:p>
    <w:p>
      <w:r>
        <w:t xml:space="preserve">Il a été élaboré dans le respect de la procédure légale applicable, et notamment transmis à l’inspection du travail et déposé au greffe du conseil de prud’hommes compétent.</w:t>
      </w:r>
    </w:p>
    <w:p>
      <w:r>
        <w:rPr>
          <w:b/>
          <w:bCs/>
        </w:rPr>
        <w:t xml:space="preserve">Champ d’application : </w:t>
      </w:r>
      <w:r>
        <w:t xml:space="preserve">le présent règlement s’applique à l’ensemble des salariés de l’entreprise, quel que soit leur contrat de travail (CDI, CDD, contrat d’apprentissage, contrat de professionnalisation). Les stagiaires et travailleurs intérimaires sont soumis aux dispositions relatives à l’hygiène, à la sécurité et à la discipline générale.</w:t>
      </w:r>
    </w:p>
    <w:p>
      <w:pPr>
        <w:pBdr>
          <w:bottom w:val="single" w:color="BDC3C7" w:sz="1"/>
        </w:pBdr>
        <w:spacing w:before="200" w:after="200"/>
      </w:pPr>
    </w:p>
    <w:p>
      <w:pPr>
        <w:pStyle w:val="Heading1"/>
      </w:pPr>
      <w:r>
        <w:t xml:space="preserve">Titre I – Hygiène et sécurité</w:t>
      </w:r>
    </w:p>
    <w:p>
      <w:pPr>
        <w:pStyle w:val="Heading2"/>
      </w:pPr>
      <w:r>
        <w:t xml:space="preserve">Article 1 : Règles générales d’hygiène et de sécurité</w:t>
      </w:r>
    </w:p>
    <w:p>
      <w:r>
        <w:t xml:space="preserve">Chaque collaborateur est tenu de prendre soin de sa santé et de sa sécurité ainsi que de celles des autres personnes concernées par ses actes ou omissions au travail, conformément à l’article L.4122-1 du Code du travail.</w:t>
      </w:r>
    </w:p>
    <w:p>
      <w:r>
        <w:t xml:space="preserve">Les collaborateurs doivent se conformer aux consignes de sécurité qui leur sont communiquées par la direction, et notamment :</w:t>
      </w:r>
    </w:p>
    <w:p>
      <w:pPr>
        <w:pStyle w:val="ListParagraph"/>
        <w:numPr>
          <w:ilvl w:val="0"/>
          <w:numId w:val="2"/>
        </w:numPr>
        <w:spacing w:after="60"/>
      </w:pPr>
      <w:r>
        <w:t xml:space="preserve">Respecter les règles d’utilisation des équipements de travail et des locaux.</w:t>
      </w:r>
    </w:p>
    <w:p>
      <w:pPr>
        <w:pStyle w:val="ListParagraph"/>
        <w:numPr>
          <w:ilvl w:val="0"/>
          <w:numId w:val="2"/>
        </w:numPr>
        <w:spacing w:after="60"/>
      </w:pPr>
      <w:r>
        <w:t xml:space="preserve">Signaler immédiatement à la direction toute situation de travail présentant un danger grave et imminent, ainsi que toute défectuosité dans les systèmes de protection.</w:t>
      </w:r>
    </w:p>
    <w:p>
      <w:pPr>
        <w:pStyle w:val="ListParagraph"/>
        <w:numPr>
          <w:ilvl w:val="0"/>
          <w:numId w:val="2"/>
        </w:numPr>
        <w:spacing w:after="60"/>
      </w:pPr>
      <w:r>
        <w:t xml:space="preserve">Ne pas désactiver, modifier ou retirer les dispositifs de sécurité installés sur les équipements ou dans les locaux.</w:t>
      </w:r>
    </w:p>
    <w:p>
      <w:pPr>
        <w:pStyle w:val="Heading2"/>
      </w:pPr>
      <w:r>
        <w:t xml:space="preserve">Article 2 : Conditions de travail à distance</w:t>
      </w:r>
    </w:p>
    <w:p>
      <w:r>
        <w:t xml:space="preserve">Lorsqu’un collaborateur exerce en télétravail, il reste soumis aux règles de sécurité applicables. Il s’engage à disposer d’un espace de travail conforme aux exigences minimales d’ergonomie et de sécurité électrique.</w:t>
      </w:r>
    </w:p>
    <w:p>
      <w:r>
        <w:t xml:space="preserve">Tout accident survenu pendant les heures de travail et sur le lieu de télétravail déclaré est présumé être un accident du travail et doit être signalé dans les 24 heures à la direction.</w:t>
      </w:r>
    </w:p>
    <w:p>
      <w:pPr>
        <w:pStyle w:val="Heading2"/>
      </w:pPr>
      <w:r>
        <w:t xml:space="preserve">Article 3 : Participation au rétablissement des conditions de sécurité</w:t>
      </w:r>
    </w:p>
    <w:p>
      <w:r>
        <w:t xml:space="preserve">Conformément à l’article L.1321-1 du Code du travail, lorsque les conditions de travail protectrices de la santé et de la sécurité apparaissent compromises, les collaborateurs sont tenus de participer, à la demande de la direction, au rétablissement de ces conditions. Cette participation peut inclure la mise en œuvre de mesures correctives, la participation à des formations spécifiques ou le respect de procédures temporaires renforcées.</w:t>
      </w:r>
    </w:p>
    <w:p>
      <w:pPr>
        <w:pBdr>
          <w:bottom w:val="single" w:color="BDC3C7" w:sz="1"/>
        </w:pBdr>
        <w:spacing w:before="200" w:after="200"/>
      </w:pPr>
    </w:p>
    <w:p>
      <w:pPr>
        <w:pStyle w:val="Heading1"/>
      </w:pPr>
      <w:r>
        <w:t xml:space="preserve">Titre II – Discipline</w:t>
      </w:r>
    </w:p>
    <w:p>
      <w:pPr>
        <w:pStyle w:val="Heading2"/>
      </w:pPr>
      <w:r>
        <w:t xml:space="preserve">Article 4 : Règles générales de discipline</w:t>
      </w:r>
    </w:p>
    <w:p>
      <w:r>
        <w:t xml:space="preserve">Tout collaborateur est tenu de respecter les règles de discipline ci-après, dont la méconnaissance constitue une faute susceptible d’entraîner une sanction disciplinaire :</w:t>
      </w:r>
    </w:p>
    <w:p>
      <w:pPr>
        <w:pStyle w:val="ListParagraph"/>
        <w:numPr>
          <w:ilvl w:val="0"/>
          <w:numId w:val="2"/>
        </w:numPr>
        <w:spacing w:after="60"/>
      </w:pPr>
      <w:r>
        <w:t xml:space="preserve">Respecter les horaires de travail convenus ou, en cas de flexibilité horaire, les délais et livrables fixés par la direction.</w:t>
      </w:r>
    </w:p>
    <w:p>
      <w:pPr>
        <w:pStyle w:val="ListParagraph"/>
        <w:numPr>
          <w:ilvl w:val="0"/>
          <w:numId w:val="2"/>
        </w:numPr>
        <w:spacing w:after="60"/>
      </w:pPr>
      <w:r>
        <w:t xml:space="preserve">Adopter en toutes circonstances un comportement professionnel, courtois et respectueux envers l’ensemble des collaborateurs, partenaires et clients.</w:t>
      </w:r>
    </w:p>
    <w:p>
      <w:pPr>
        <w:pStyle w:val="ListParagraph"/>
        <w:numPr>
          <w:ilvl w:val="0"/>
          <w:numId w:val="2"/>
        </w:numPr>
        <w:spacing w:after="60"/>
      </w:pPr>
      <w:r>
        <w:t xml:space="preserve">Se conformer aux directives et instructions de la direction dans le cadre de l’exécution du travail.</w:t>
      </w:r>
    </w:p>
    <w:p>
      <w:pPr>
        <w:pStyle w:val="ListParagraph"/>
        <w:numPr>
          <w:ilvl w:val="0"/>
          <w:numId w:val="2"/>
        </w:numPr>
        <w:spacing w:after="60"/>
      </w:pPr>
      <w:r>
        <w:t xml:space="preserve">Justifier toute absence dans les 48 heures suivant sa survenance, sauf cas de force majeure.</w:t>
      </w:r>
    </w:p>
    <w:p>
      <w:pPr>
        <w:pStyle w:val="ListParagraph"/>
        <w:numPr>
          <w:ilvl w:val="0"/>
          <w:numId w:val="2"/>
        </w:numPr>
        <w:spacing w:after="60"/>
      </w:pPr>
      <w:r>
        <w:t xml:space="preserve">Ne pas exercer d’activité concurrente ou susceptible de porter atteinte aux intérêts de l’entreprise pendant la durée du contrat de travail.</w:t>
      </w:r>
    </w:p>
    <w:p>
      <w:pPr>
        <w:pStyle w:val="Heading2"/>
      </w:pPr>
      <w:r>
        <w:t xml:space="preserve">Article 5 : Utilisation des outils et ressources de l’entreprise</w:t>
      </w:r>
    </w:p>
    <w:p>
      <w:r>
        <w:t xml:space="preserve">Les outils, logiciels, équipements et ressources numériques mis à disposition par l’entreprise sont destinés à un usage exclusivement professionnel, sauf tolérance expressément accordée par la direction.</w:t>
      </w:r>
    </w:p>
    <w:p>
      <w:r>
        <w:t xml:space="preserve">Toute utilisation abusive, détournement, négligence dans l’utilisation ou dégradation volontaire des ressources de l’entreprise constitue une faute disciplinaire.</w:t>
      </w:r>
    </w:p>
    <w:p>
      <w:pPr>
        <w:pStyle w:val="Heading2"/>
      </w:pPr>
      <w:r>
        <w:t xml:space="preserve">Article 6 : Accès aux systèmes d’information</w:t>
      </w:r>
    </w:p>
    <w:p>
      <w:r>
        <w:t xml:space="preserve">L’accès aux systèmes d’information de l’entreprise (intranet, messagerie, espaces de stockage, outils collaboratifs) est strictement nominatif. Chaque collaborateur se voit attribuer des identifiants personnels et non cessibles.</w:t>
      </w:r>
    </w:p>
    <w:p>
      <w:r>
        <w:t xml:space="preserve">Il est interdit de :</w:t>
      </w:r>
    </w:p>
    <w:p>
      <w:pPr>
        <w:pStyle w:val="ListParagraph"/>
        <w:numPr>
          <w:ilvl w:val="0"/>
          <w:numId w:val="3"/>
        </w:numPr>
        <w:spacing w:after="60"/>
      </w:pPr>
      <w:r>
        <w:t xml:space="preserve">Communiquer ses identifiants à un tiers, qu’il soit interne ou externe à l’entreprise.</w:t>
      </w:r>
    </w:p>
    <w:p>
      <w:pPr>
        <w:pStyle w:val="ListParagraph"/>
        <w:numPr>
          <w:ilvl w:val="0"/>
          <w:numId w:val="3"/>
        </w:numPr>
        <w:spacing w:after="60"/>
      </w:pPr>
      <w:r>
        <w:t xml:space="preserve">Accéder aux systèmes d’information au moyen d’identifiants appartenant à un autre collaborateur.</w:t>
      </w:r>
    </w:p>
    <w:p>
      <w:pPr>
        <w:pStyle w:val="ListParagraph"/>
        <w:numPr>
          <w:ilvl w:val="0"/>
          <w:numId w:val="3"/>
        </w:numPr>
        <w:spacing w:after="60"/>
      </w:pPr>
      <w:r>
        <w:t xml:space="preserve">Tenter de contourner les mesures de sécurité mises en place.</w:t>
      </w:r>
    </w:p>
    <w:p>
      <w:r>
        <w:t xml:space="preserve">L’accès aux systèmes d’information est limité à la durée du contrat de travail ou de la convention de stage. </w:t>
      </w:r>
      <w:r>
        <w:rPr>
          <w:b/>
          <w:bCs/>
        </w:rPr>
        <w:t xml:space="preserve">Les accès sont désactivés au plus tard le jour de la fin effective de la collaboration.</w:t>
      </w:r>
    </w:p>
    <w:p>
      <w:pPr>
        <w:pStyle w:val="Heading2"/>
      </w:pPr>
      <w:r>
        <w:t xml:space="preserve">Article 7 : Comportements nuisibles</w:t>
      </w:r>
    </w:p>
    <w:p>
      <w:r>
        <w:t xml:space="preserve">Tout comportement susceptible de nuire à la pérennité, à l’intégrité ou à la réputation de l’entreprise est interdit. Sont notamment visés, sans que cette liste soit exhaustive :</w:t>
      </w:r>
    </w:p>
    <w:p>
      <w:pPr>
        <w:pStyle w:val="ListParagraph"/>
        <w:numPr>
          <w:ilvl w:val="0"/>
          <w:numId w:val="2"/>
        </w:numPr>
        <w:spacing w:after="60"/>
      </w:pPr>
      <w:r>
        <w:t xml:space="preserve">La diffusion de fausses informations concernant l’entreprise, ses activités ou ses collaborateurs.</w:t>
      </w:r>
    </w:p>
    <w:p>
      <w:pPr>
        <w:pStyle w:val="ListParagraph"/>
        <w:numPr>
          <w:ilvl w:val="0"/>
          <w:numId w:val="2"/>
        </w:numPr>
        <w:spacing w:after="60"/>
      </w:pPr>
      <w:r>
        <w:t xml:space="preserve">La mise en danger de la sécurité des données de l’entreprise, de ses clients ou de ses partenaires.</w:t>
      </w:r>
    </w:p>
    <w:p>
      <w:pPr>
        <w:pStyle w:val="ListParagraph"/>
        <w:numPr>
          <w:ilvl w:val="0"/>
          <w:numId w:val="2"/>
        </w:numPr>
        <w:spacing w:after="60"/>
      </w:pPr>
      <w:r>
        <w:t xml:space="preserve">L’introduction, la consultation ou la diffusion de contenus illicites ou contraires aux bonnes mœurs sur les outils de l’entreprise, à l’exception des œuvres artistiques créées, étudiées ou publiées dans le cadre des activités éditoriales de l’entreprise.</w:t>
      </w:r>
    </w:p>
    <w:p>
      <w:pPr>
        <w:pStyle w:val="Heading2"/>
      </w:pPr>
      <w:r>
        <w:t xml:space="preserve">Article 8 : Communication des incidents</w:t>
      </w:r>
    </w:p>
    <w:p>
      <w:r>
        <w:t xml:space="preserve">Tout incident survenant dans le cadre professionnel, qu’il soit d’ordre technique, humain ou sécuritaire, doit être signalé sans délai à la direction. Ce signalement ne peut en aucun cas donner lieu à des représailles à l’encontre du collaborateur de bonne foi.</w:t>
      </w:r>
    </w:p>
    <w:p>
      <w:pPr>
        <w:pBdr>
          <w:bottom w:val="single" w:color="BDC3C7" w:sz="1"/>
        </w:pBdr>
        <w:spacing w:before="200" w:after="200"/>
      </w:pPr>
    </w:p>
    <w:p>
      <w:pPr>
        <w:pStyle w:val="Heading1"/>
      </w:pPr>
      <w:r>
        <w:t xml:space="preserve">Titre III – Harcèlement, discrimination et protection des lanceurs d’alerte</w:t>
      </w:r>
    </w:p>
    <w:p>
      <w:pPr>
        <w:pStyle w:val="Heading2"/>
      </w:pPr>
      <w:r>
        <w:t xml:space="preserve">Article 9 : Interdiction du harcèlement moral</w:t>
      </w:r>
    </w:p>
    <w:p>
      <w:r>
        <w:t xml:space="preserve">Conformément aux articles L.1152-1 à L.1152-6 du Code du travail, </w:t>
      </w:r>
      <w:r>
        <w:rPr>
          <w:b/>
          <w:bCs/>
        </w:rPr>
        <w:t xml:space="preserve">aucun collaborateur ne doit subir des agissements répétés de harcèlement moral</w:t>
      </w:r>
      <w:r>
        <w:t xml:space="preserve"> qui ont pour objet ou pour effet une dégradation de ses conditions de travail susceptible de porter atteinte à ses droits et à sa dignité, d’altérer sa santé physique ou mentale ou de compromettre son avenir professionnel.</w:t>
      </w:r>
    </w:p>
    <w:p>
      <w:r>
        <w:t xml:space="preserve">Toute personne qui estime être victime de harcèlement moral peut saisir la direction, les représentants du personnel le cas échéant, le médecin du travail ou l’inspection du travail.</w:t>
      </w:r>
    </w:p>
    <w:p>
      <w:pPr>
        <w:pStyle w:val="Heading2"/>
      </w:pPr>
      <w:r>
        <w:t xml:space="preserve">Article 10 : Interdiction du harcèlement sexuel et des agissements sexistes</w:t>
      </w:r>
    </w:p>
    <w:p>
      <w:r>
        <w:t xml:space="preserve">Conformément aux articles L.1153-1 à L.1153-6 du Code du travail, </w:t>
      </w:r>
      <w:r>
        <w:rPr>
          <w:b/>
          <w:bCs/>
        </w:rPr>
        <w:t xml:space="preserve">aucun collaborateur ne doit subir des faits de harcèlement sexuel</w:t>
      </w:r>
      <w:r>
        <w:t xml:space="preserve">, constitués par des propos ou comportements à connotation sexuelle ou sexiste répétés qui soit portent atteinte à sa dignité en raison de leur caractère dégradant ou humiliant, soit créent à son encontre une situation intimidante, hostile ou offensante.</w:t>
      </w:r>
    </w:p>
    <w:p>
      <w:r>
        <w:t xml:space="preserve">Est assimilé au harcèlement sexuel toute forme de pression grave, même non répétée, exercée dans le but réel ou apparent d’obtenir un acte de nature sexuelle.</w:t>
      </w:r>
    </w:p>
    <w:p>
      <w:r>
        <w:t xml:space="preserve">Conformément à l’article L.1142-2-1 du Code du travail, </w:t>
      </w:r>
      <w:r>
        <w:rPr>
          <w:b/>
          <w:bCs/>
        </w:rPr>
        <w:t xml:space="preserve">nul ne doit subir d’agissement sexiste</w:t>
      </w:r>
      <w:r>
        <w:t xml:space="preserve">, défini comme tout agissement lié au sexe d’une personne, ayant pour objet ou pour effet de porter atteinte à sa dignité ou de créer un environnement intimidant, hostile, dégradant, humiliant ou offensant.</w:t>
      </w:r>
    </w:p>
    <w:p>
      <w:pPr>
        <w:pStyle w:val="Heading2"/>
      </w:pPr>
      <w:r>
        <w:t xml:space="preserve">Article 11 : Interdiction des discriminations</w:t>
      </w:r>
    </w:p>
    <w:p>
      <w:r>
        <w:t xml:space="preserve">Conformément aux articles L.1132-1 et suivants du Code du travail, aucune personne ne peut être écartée d’une procédure de recrutement, de l’accès à un stage ou à une période de formation, ni sanctionnée, licenciée ou faire l’objet d’une mesure discriminatoire en raison de son origine, son sexe, ses mœurs, son orientation sexuelle, son identité de genre, son âge, sa situation de famille, sa grossesse, ses caractéristiques génétiques, sa vulnérabilité résultant de sa situation économique, son appartenance ou sa non-appartenance, vraie ou supposée, à une ethnie, une nation ou une prétendue race, ses opinions politiques, ses activités syndicales ou mutualistes, son exercice d’un mandat électif, ses convictions religieuses, son apparence physique, son nom de famille, son lieu de résidence, sa domiciliation bancaire, son état de santé, sa perte d’autonomie, son handicap, sa capacité à s’exprimer dans une langue autre que le français, ou sa qualité de lanceur d’alerte.</w:t>
      </w:r>
    </w:p>
    <w:p>
      <w:pPr>
        <w:pStyle w:val="Heading2"/>
      </w:pPr>
      <w:r>
        <w:t xml:space="preserve">Article 12 : Protection des lanceurs d’alerte</w:t>
      </w:r>
    </w:p>
    <w:p>
      <w:r>
        <w:t xml:space="preserve">Conformément à la loi n° 2022-401 du 21 mars 2022 et aux articles L.1121-2 et suivants du Code du travail, l’entreprise met en place un dispositif de recueil et de traitement des signalements. Aucun collaborateur ne peut être sanctionné, licencié ou faire l’objet d’une mesure discriminatoire pour avoir signalé ou divulgué des informations dans les conditions prévues par la loi.</w:t>
      </w:r>
    </w:p>
    <w:p>
      <w:pPr>
        <w:pBdr>
          <w:bottom w:val="single" w:color="BDC3C7" w:sz="1"/>
        </w:pBdr>
        <w:spacing w:before="200" w:after="200"/>
      </w:pPr>
    </w:p>
    <w:p>
      <w:pPr>
        <w:pStyle w:val="Heading1"/>
      </w:pPr>
      <w:r>
        <w:t xml:space="preserve">Titre IV – Nature et échelle des sanctions disciplinaires</w:t>
      </w:r>
    </w:p>
    <w:p>
      <w:pPr>
        <w:pStyle w:val="Heading2"/>
      </w:pPr>
      <w:r>
        <w:t xml:space="preserve">Article 13 : Échelle des sanctions</w:t>
      </w:r>
    </w:p>
    <w:p>
      <w:r>
        <w:t xml:space="preserve">Tout manquement aux règles énoncées dans le présent règlement intérieur est susceptible d’entraîner l’une des sanctions suivantes, en fonction de la gravité de la faute, de sa répétition et des circonstances :</w:t>
      </w:r>
    </w:p>
    <w:p>
      <w:pPr>
        <w:pStyle w:val="ListParagraph"/>
        <w:numPr>
          <w:ilvl w:val="0"/>
          <w:numId w:val="4"/>
        </w:numPr>
      </w:pPr>
      <w:r>
        <w:rPr>
          <w:b/>
          <w:bCs/>
        </w:rPr>
        <w:t xml:space="preserve">Avertissement écrit</w:t>
      </w:r>
      <w:r>
        <w:t xml:space="preserve"> : observation écrite adressée au collaborateur, rappelant les faits reprochés et l’invitant à modifier son comportement.</w:t>
      </w:r>
    </w:p>
    <w:p>
      <w:pPr>
        <w:pStyle w:val="ListParagraph"/>
        <w:numPr>
          <w:ilvl w:val="0"/>
          <w:numId w:val="4"/>
        </w:numPr>
      </w:pPr>
      <w:r>
        <w:rPr>
          <w:b/>
          <w:bCs/>
        </w:rPr>
        <w:t xml:space="preserve">Blâme</w:t>
      </w:r>
      <w:r>
        <w:t xml:space="preserve"> : réprimande écrite versée au dossier du collaborateur.</w:t>
      </w:r>
    </w:p>
    <w:p>
      <w:pPr>
        <w:pStyle w:val="ListParagraph"/>
        <w:numPr>
          <w:ilvl w:val="0"/>
          <w:numId w:val="4"/>
        </w:numPr>
      </w:pPr>
      <w:r>
        <w:rPr>
          <w:b/>
          <w:bCs/>
        </w:rPr>
        <w:t xml:space="preserve">Mise à pied disciplinaire</w:t>
      </w:r>
      <w:r>
        <w:t xml:space="preserve"> : suspension temporaire du contrat de travail sans rémunération, d’une durée maximale de 5 jours ouvrés.</w:t>
      </w:r>
    </w:p>
    <w:p>
      <w:pPr>
        <w:pStyle w:val="ListParagraph"/>
        <w:numPr>
          <w:ilvl w:val="0"/>
          <w:numId w:val="4"/>
        </w:numPr>
      </w:pPr>
      <w:r>
        <w:rPr>
          <w:b/>
          <w:bCs/>
        </w:rPr>
        <w:t xml:space="preserve">Rétrogradation</w:t>
      </w:r>
      <w:r>
        <w:t xml:space="preserve"> : affectation à un poste de qualification inférieure, avec ajustement de la rémunération correspondant, sous réserve de l’accord du collaborateur.</w:t>
      </w:r>
    </w:p>
    <w:p>
      <w:pPr>
        <w:pStyle w:val="ListParagraph"/>
        <w:numPr>
          <w:ilvl w:val="0"/>
          <w:numId w:val="4"/>
        </w:numPr>
      </w:pPr>
      <w:r>
        <w:rPr>
          <w:b/>
          <w:bCs/>
        </w:rPr>
        <w:t xml:space="preserve">Licenciement pour faute</w:t>
      </w:r>
      <w:r>
        <w:t xml:space="preserve"> : rupture du contrat de travail pour cause réelle et sérieuse.</w:t>
      </w:r>
    </w:p>
    <w:p>
      <w:pPr>
        <w:pStyle w:val="ListParagraph"/>
        <w:numPr>
          <w:ilvl w:val="0"/>
          <w:numId w:val="4"/>
        </w:numPr>
      </w:pPr>
      <w:r>
        <w:rPr>
          <w:b/>
          <w:bCs/>
        </w:rPr>
        <w:t xml:space="preserve">Licenciement pour faute grave ou lourde</w:t>
      </w:r>
      <w:r>
        <w:t xml:space="preserve"> : rupture immédiate du contrat de travail, sans préavis ni indemnité de licenciement.</w:t>
      </w:r>
    </w:p>
    <w:p>
      <w:pPr>
        <w:spacing w:after="80"/>
      </w:pPr>
    </w:p>
    <w:p>
      <w:r>
        <w:rPr>
          <w:i/>
          <w:iCs/>
        </w:rPr>
        <w:t xml:space="preserve">Cette échelle n’implique pas une progressivité obligatoire. La direction apprécie la sanction au regard de la nature et de la gravité des faits.</w:t>
      </w:r>
    </w:p>
    <w:p>
      <w:pPr>
        <w:pStyle w:val="Heading2"/>
      </w:pPr>
      <w:r>
        <w:t xml:space="preserve">Article 14 : Droits de la défense</w:t>
      </w:r>
    </w:p>
    <w:p>
      <w:r>
        <w:rPr>
          <w:b/>
          <w:bCs/>
        </w:rPr>
        <w:t xml:space="preserve">Conformément aux articles L.1332-1 à L.1332-3 du Code du travail</w:t>
      </w:r>
      <w:r>
        <w:t xml:space="preserve">, aucune sanction ne peut être prononcée sans que le collaborateur ait été informé, par écrit, des griefs retenus contre lui.</w:t>
      </w:r>
    </w:p>
    <w:p>
      <w:r>
        <w:t xml:space="preserve">Pour toute sanction autre que l’avertissement ou le blâme, la procédure suivante est appliquée :</w:t>
      </w:r>
    </w:p>
    <w:p>
      <w:pPr>
        <w:pStyle w:val="ListParagraph"/>
        <w:numPr>
          <w:ilvl w:val="0"/>
          <w:numId w:val="5"/>
        </w:numPr>
        <w:spacing w:after="60"/>
      </w:pPr>
      <w:r>
        <w:t xml:space="preserve">Convocation à un entretien préalable par lettre recommandée avec accusé de réception ou remise en main propre contre décharge, précisant l’objet de l’entretien, la date, l’heure et le lieu.</w:t>
      </w:r>
    </w:p>
    <w:p>
      <w:pPr>
        <w:pStyle w:val="ListParagraph"/>
        <w:numPr>
          <w:ilvl w:val="0"/>
          <w:numId w:val="5"/>
        </w:numPr>
        <w:spacing w:after="60"/>
      </w:pPr>
      <w:r>
        <w:t xml:space="preserve">Lors de l’entretien, le collaborateur peut se faire assister par une personne de son choix appartenant au personnel de l’entreprise ou, en l’absence de représentants du personnel, par un </w:t>
      </w:r>
      <w:r>
        <w:rPr>
          <w:b/>
          <w:bCs/>
        </w:rPr>
        <w:t xml:space="preserve">conseiller extérieur inscrit sur la liste préfectorale</w:t>
      </w:r>
      <w:r>
        <w:t xml:space="preserve">.</w:t>
      </w:r>
    </w:p>
    <w:p>
      <w:pPr>
        <w:pStyle w:val="ListParagraph"/>
        <w:numPr>
          <w:ilvl w:val="0"/>
          <w:numId w:val="5"/>
        </w:numPr>
        <w:spacing w:after="60"/>
      </w:pPr>
      <w:r>
        <w:t xml:space="preserve">La sanction est notifiée par écrit au collaborateur, au plus tôt deux jours ouvrables et au plus tard un mois après l’entretien, en précisant les motifs de la décision.</w:t>
      </w:r>
    </w:p>
    <w:p>
      <w:pPr>
        <w:spacing w:after="80"/>
      </w:pPr>
    </w:p>
    <w:p>
      <w:r>
        <w:rPr>
          <w:i/>
          <w:iCs/>
        </w:rPr>
        <w:t xml:space="preserve">Aucun fait fautif ne peut donner lieu à lui seul à l’engagement de poursuites disciplinaires au-delà d’un délai de deux mois à compter du jour où l’employeur en a eu connaissance (article L.1332-4 du Code du travail).</w:t>
      </w:r>
    </w:p>
    <w:p>
      <w:pPr>
        <w:pBdr>
          <w:bottom w:val="single" w:color="BDC3C7" w:sz="1"/>
        </w:pBdr>
        <w:spacing w:before="200" w:after="200"/>
      </w:pPr>
    </w:p>
    <w:p>
      <w:pPr>
        <w:pStyle w:val="Heading1"/>
      </w:pPr>
      <w:r>
        <w:t xml:space="preserve">Titre V – Dispositions générales</w:t>
      </w:r>
    </w:p>
    <w:p>
      <w:pPr>
        <w:pStyle w:val="Heading2"/>
      </w:pPr>
      <w:r>
        <w:t xml:space="preserve">Article 15 : Entrée en vigueur</w:t>
      </w:r>
    </w:p>
    <w:p>
      <w:r>
        <w:t xml:space="preserve">Le présent règlement intérieur entre en vigueur le __________, soit au moins un mois après l’accomplissement des formalités de dépôt et de publicité.</w:t>
      </w:r>
    </w:p>
    <w:p>
      <w:r>
        <w:t xml:space="preserve">Il a été :</w:t>
      </w:r>
    </w:p>
    <w:p>
      <w:pPr>
        <w:pStyle w:val="ListParagraph"/>
        <w:numPr>
          <w:ilvl w:val="0"/>
          <w:numId w:val="5"/>
        </w:numPr>
        <w:spacing w:after="60"/>
      </w:pPr>
      <w:r>
        <w:t xml:space="preserve">Transmis à l’inspection du travail compétente en deux exemplaires, le __________.</w:t>
      </w:r>
    </w:p>
    <w:p>
      <w:pPr>
        <w:pStyle w:val="ListParagraph"/>
        <w:numPr>
          <w:ilvl w:val="0"/>
          <w:numId w:val="5"/>
        </w:numPr>
        <w:spacing w:after="60"/>
      </w:pPr>
      <w:r>
        <w:t xml:space="preserve">Déposé au greffe du conseil de prud’hommes de Lyon, le __________.</w:t>
      </w:r>
    </w:p>
    <w:p>
      <w:pPr>
        <w:pStyle w:val="ListParagraph"/>
        <w:numPr>
          <w:ilvl w:val="0"/>
          <w:numId w:val="5"/>
        </w:numPr>
        <w:spacing w:after="60"/>
      </w:pPr>
      <w:r>
        <w:t xml:space="preserve">Porté à la connaissance des collaborateurs par voie d’affichage et mise à disposition sur l’intranet de l’entreprise, le __________.</w:t>
      </w:r>
    </w:p>
    <w:p>
      <w:pPr>
        <w:pStyle w:val="Heading2"/>
      </w:pPr>
      <w:r>
        <w:t xml:space="preserve">Article 16 : Modification</w:t>
      </w:r>
    </w:p>
    <w:p>
      <w:r>
        <w:t xml:space="preserve">Toute modification du présent règlement intérieur sera soumise aux mêmes formalités que celles applicables à son élaboration.</w:t>
      </w:r>
    </w:p>
    <w:p>
      <w:pPr>
        <w:pStyle w:val="Heading2"/>
      </w:pPr>
      <w:r>
        <w:t xml:space="preserve">Article 17 : Consultation</w:t>
      </w:r>
    </w:p>
    <w:p>
      <w:r>
        <w:t xml:space="preserve">Le présent règlement intérieur est consultable à tout moment par les collaborateurs sur l’intranet de l’entreprise et auprès de la direction.</w:t>
      </w:r>
    </w:p>
    <w:p>
      <w:pPr>
        <w:spacing w:after="80"/>
      </w:pPr>
    </w:p>
    <w:p>
      <w:pPr>
        <w:spacing w:after="80"/>
      </w:pPr>
    </w:p>
    <w:p>
      <w:pPr>
        <w:spacing w:before="400"/>
      </w:pPr>
      <w:r>
        <w:rPr>
          <w:b/>
          <w:bCs/>
        </w:rPr>
        <w:t xml:space="preserve">Fait à Lyon, le __________</w:t>
      </w:r>
    </w:p>
    <w:p>
      <w:pPr>
        <w:spacing w:after="80"/>
      </w:pPr>
    </w:p>
    <w:p>
      <w:r>
        <w:rPr>
          <w:b/>
          <w:bCs/>
        </w:rPr>
        <w:t xml:space="preserve">La direction,</w:t>
      </w:r>
    </w:p>
    <w:p>
      <w:r>
        <w:t xml:space="preserve">Lucas Gaio dos Santos</w:t>
      </w:r>
    </w:p>
    <w:p>
      <w:r>
        <w:rPr>
          <w:i/>
          <w:iCs/>
        </w:rPr>
        <w:t xml:space="preserve">Gérant de Le Geai Éditions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Arial" w:cs="Arial" w:eastAsia="Arial" w:hAnsi="Arial"/>
        <w:i/>
        <w:iCs/>
        <w:color w:val="999999"/>
        <w:sz w:val="16"/>
        <w:szCs w:val="16"/>
      </w:rPr>
      <w:t xml:space="preserve">Le Geai Éditions – Règlement intérieur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Article %1."/>
      <w:lvlJc w:val="left"/>
      <w:pPr>
        <w:ind w:left="0" w:hanging="0"/>
      </w:pPr>
      <w:rPr>
        <w:rFonts w:ascii="Arial" w:cs="Arial" w:eastAsia="Arial" w:hAnsi="Arial"/>
        <w:b/>
        <w:bCs/>
        <w:sz w:val="24"/>
        <w:szCs w:val="24"/>
      </w:r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7"/>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2026-02-26T14:30:08.556Z</dcterms:created>
  <dcterms:modified xsi:type="dcterms:W3CDTF">2026-02-26T14:30:08.558Z</dcterms:modified>
</cp:coreProperties>
</file>

<file path=docProps/custom.xml><?xml version="1.0" encoding="utf-8"?>
<Properties xmlns="http://schemas.openxmlformats.org/officeDocument/2006/custom-properties" xmlns:vt="http://schemas.openxmlformats.org/officeDocument/2006/docPropsVTypes"/>
</file>