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Normativa de Seguridad TI — Recursos Humanos</w:t>
      </w:r>
    </w:p>
    <w:p>
      <w:r>
        <w:t>Documento normativo aplicable a todos los colaboradores, practicantes y personal tercerizado con acceso a sistemas de la empresa.</w:t>
      </w:r>
    </w:p>
    <w:p>
      <w:pPr>
        <w:pStyle w:val="Heading2"/>
      </w:pPr>
      <w:r>
        <w:t>1. Política de contraseñas</w:t>
      </w:r>
    </w:p>
    <w:p>
      <w:pPr>
        <w:pStyle w:val="ListBullet"/>
      </w:pPr>
      <w:r>
        <w:t>Longitud mínima: 12 caracteres, incluyendo mayúsculas, minúsculas, números y un símbolo.</w:t>
      </w:r>
    </w:p>
    <w:p>
      <w:pPr>
        <w:pStyle w:val="ListBullet"/>
      </w:pPr>
      <w:r>
        <w:t>Rotación obligatoria cada 90 días. El sistema bloquea las últimas 5 contraseñas usadas.</w:t>
      </w:r>
    </w:p>
    <w:p>
      <w:pPr>
        <w:pStyle w:val="ListBullet"/>
      </w:pPr>
      <w:r>
        <w:t>Está prohibido compartir contraseñas, incluso con el Jefe de TI o soporte técnico. Nadie del área de TI te pedirá jamás tu contraseña.</w:t>
      </w:r>
    </w:p>
    <w:p>
      <w:pPr>
        <w:pStyle w:val="ListBullet"/>
      </w:pPr>
      <w:r>
        <w:t>Tras 5 intentos fallidos de inicio de sesión, la cuenta se bloquea por 30 minutos.</w:t>
      </w:r>
    </w:p>
    <w:p>
      <w:pPr>
        <w:pStyle w:val="Heading2"/>
      </w:pPr>
      <w:r>
        <w:t>2. Credenciales de primer ingreso</w:t>
      </w:r>
    </w:p>
    <w:p>
      <w:r>
        <w:t>El primer día, el practicante recibe sus credenciales temporales en sobre cerrado entregado por RRHH. Debe cambiar la contraseña temporal en el primer inicio de sesión. Las credenciales de Active Directory habilitan correo, VPN y portal de RRHH.</w:t>
      </w:r>
    </w:p>
    <w:p>
      <w:pPr>
        <w:pStyle w:val="Heading2"/>
      </w:pPr>
      <w:r>
        <w:t>3. Uso aceptable de equipos</w:t>
      </w:r>
    </w:p>
    <w:p>
      <w:r>
        <w:t>Los equipos corporativos son herramientas de trabajo. No está permitido instalar software sin autorización del área de Sistemas ni conectar dispositivos USB personales. Todo equipo se entrega con cifrado de disco activado (BitLocker).</w:t>
      </w:r>
    </w:p>
    <w:p>
      <w:pPr>
        <w:pStyle w:val="Heading2"/>
      </w:pPr>
      <w:r>
        <w:t>4. Reporte de incidentes</w:t>
      </w:r>
    </w:p>
    <w:p>
      <w:r>
        <w:t>Ante cualquier sospecha de phishing, pérdida de equipo o acceso no autorizado, el colaborador debe reportar dentro de las primeras 2 horas al correo seguridad@empresa.com o a la extensión 4357.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