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E2761"/>
          <w:sz w:val="32"/>
          <w:szCs w:val="32"/>
        </w:rPr>
        <w:t xml:space="preserve">THESIS CORRECTIONS — ONE COMMENT, ONE FIX</w:t>
      </w:r>
    </w:p>
    <w:p>
      <w:pPr>
        <w:spacing w:after="40"/>
        <w:jc w:val="center"/>
      </w:pPr>
      <w:r>
        <w:rPr>
          <w:rFonts w:ascii="Calibri" w:cs="Calibri" w:eastAsia="Calibri" w:hAnsi="Calibri"/>
          <w:sz w:val="22"/>
          <w:szCs w:val="22"/>
        </w:rPr>
        <w:t xml:space="preserve">Bisimbeko Remmy | J24MD19/007</w:t>
      </w:r>
    </w:p>
    <w:p>
      <w:pPr>
        <w:spacing w:after="200"/>
        <w:jc w:val="center"/>
      </w:pPr>
      <w:r>
        <w:rPr>
          <w:rFonts w:ascii="Calibri" w:cs="Calibri" w:eastAsia="Calibri" w:hAnsi="Calibri"/>
          <w:i/>
          <w:iCs/>
          <w:color w:val="E40000"/>
          <w:sz w:val="20"/>
          <w:szCs w:val="20"/>
        </w:rPr>
        <w:t xml:space="preserve">Each section below shows the EXACT comment, then the exact text to paste into your thesis, and exactly where.</w:t>
      </w:r>
    </w:p>
    <w:p>
      <w:pPr>
        <w:spacing w:after="60"/>
        <w:jc w:val="center"/>
      </w:pPr>
      <w:r>
        <w:rPr>
          <w:rFonts w:ascii="Calibri" w:cs="Calibri" w:eastAsia="Calibri" w:hAnsi="Calibri"/>
          <w:b/>
          <w:bCs/>
          <w:color w:val="A32D2D"/>
          <w:sz w:val="26"/>
          <w:szCs w:val="26"/>
        </w:rPr>
        <w:t xml:space="preserve">EXAMINER'S COMMENTS (7)</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E1</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Strengthen the scientific motivation by discussing recommender system paradigms and justifying why a recommender approach is preferable to classification.</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2 — add as new Section 2.X before the Empirical Review table. Title it: '2.X Recommender System Paradigms and the Classification-Based Approach'</w:t>
      </w:r>
    </w:p>
    <w:p>
      <w:pPr>
        <w:spacing w:after="80"/>
      </w:pPr>
      <w:r>
        <w:t xml:space="preserve"/>
      </w:r>
    </w:p>
    <w:p>
      <w:pPr>
        <w:spacing w:after="80" w:before="140"/>
      </w:pPr>
      <w:r>
        <w:rPr>
          <w:rFonts w:ascii="Calibri" w:cs="Calibri" w:eastAsia="Calibri" w:hAnsi="Calibri"/>
          <w:b/>
          <w:bCs/>
          <w:color w:val="0F6E56"/>
          <w:sz w:val="22"/>
          <w:szCs w:val="22"/>
        </w:rPr>
        <w:t xml:space="preserve">PASTE THIS: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Before reviewing the specific literature on machine learning in telecom bundle recommendation, it is necessary to situate this study within the broader taxonomy of recommender system approaches. Recommender systems are classified into three established paradigms: Collaborative Filtering (CF), Content-Based Filtering, and Hybrid Systems (Aggarwal, 2016; Deldjoo et al., 2024).</w:t>
      </w:r>
    </w:p>
    <w:p>
      <w:pPr>
        <w:spacing w:after="140" w:line="300"/>
        <w:jc w:val="both"/>
      </w:pPr>
      <w:r>
        <w:rPr>
          <w:rFonts w:ascii="Calibri" w:cs="Calibri" w:eastAsia="Calibri" w:hAnsi="Calibri"/>
          <w:sz w:val="22"/>
          <w:szCs w:val="22"/>
        </w:rPr>
        <w:t xml:space="preserve">Collaborative Filtering generates recommendations by identifying patterns in user–item interaction histories — recommending items that users with similar profiles have engaged with (Koren et al., 2009; Sarwar et al., 2001). However, CF requires dense interaction matrices and suffers from the cold-start problem. In the prepaid telecom context, the subscriber-to-bundle interaction space is extremely sparse — each subscriber typically purchases only a small fraction of the 738 available bundle products — making CF structurally unsuitable for this setting.</w:t>
      </w:r>
    </w:p>
    <w:p>
      <w:pPr>
        <w:spacing w:after="140" w:line="300"/>
        <w:jc w:val="both"/>
      </w:pPr>
      <w:r>
        <w:rPr>
          <w:rFonts w:ascii="Calibri" w:cs="Calibri" w:eastAsia="Calibri" w:hAnsi="Calibri"/>
          <w:sz w:val="22"/>
          <w:szCs w:val="22"/>
        </w:rPr>
        <w:t xml:space="preserve">Content-Based Filtering recommends items similar in attributes to those previously consumed. In a telecom context, this would recommend bundles similar in price or duration to prior purchases. While appropriate in some contexts, this approach risks over-specialisation and cannot detect behavioural signals indicating readiness for a higher-tier product.</w:t>
      </w:r>
    </w:p>
    <w:p>
      <w:pPr>
        <w:spacing w:after="140" w:line="300"/>
        <w:jc w:val="both"/>
      </w:pPr>
      <w:r>
        <w:rPr>
          <w:rFonts w:ascii="Calibri" w:cs="Calibri" w:eastAsia="Calibri" w:hAnsi="Calibri"/>
          <w:sz w:val="22"/>
          <w:szCs w:val="22"/>
        </w:rPr>
        <w:t xml:space="preserve">Hybrid Recommender Systems combine collaborative and content-based signals (Deldjoo et al., 2024), but require both rich interaction histories and item attribute data — conditions not fully met in the prepaid subscriber context.</w:t>
      </w:r>
    </w:p>
    <w:p>
      <w:pPr>
        <w:spacing w:after="140" w:line="300"/>
        <w:jc w:val="both"/>
      </w:pPr>
      <w:r>
        <w:rPr>
          <w:rFonts w:ascii="Calibri" w:cs="Calibri" w:eastAsia="Calibri" w:hAnsi="Calibri"/>
          <w:sz w:val="22"/>
          <w:szCs w:val="22"/>
        </w:rPr>
        <w:t xml:space="preserve">Classification-Based Recommendation, the approach adopted in this study, represents a fourth paradigm that has gained traction where rich behavioural feature sets are available but interaction matrices are sparse (Zhao et al., 2023; Singh et al., 2025). In this paradigm, a supervised classifier predicts the value segment that best characterises a subscriber's behavioural profile, and the segment prediction is used as the targeting rule for bundle recommendations: the classifier predicts that Subscriber A belongs to the Platinum segment, and the recommendation engine surfaces the Platinum tier's bundle portfolio. The justification for this approach is threefold: (1) rich behavioural OCS features are available but interaction matrices are too sparse for CF; (2) the classification output is directly consumable by Airtel Uganda's existing USSD rules engine without new system integration; (3) classification-based recommendation is validated in the telecom literature (Alotaibi &amp; Haq, 2024; Singh et al., 2025).</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E2</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Support all statistics with appropriate references and clearly articulate the novelty of the study within the problem statement.</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1 — end of Section 1.3 (Problem Statement). Add BOTH paragraphs below.</w:t>
      </w:r>
    </w:p>
    <w:p>
      <w:pPr>
        <w:spacing w:after="80"/>
      </w:pPr>
      <w:r>
        <w:t xml:space="preserve"/>
      </w:r>
    </w:p>
    <w:p>
      <w:pPr>
        <w:spacing w:after="80" w:before="140"/>
      </w:pPr>
      <w:r>
        <w:rPr>
          <w:rFonts w:ascii="Calibri" w:cs="Calibri" w:eastAsia="Calibri" w:hAnsi="Calibri"/>
          <w:b/>
          <w:bCs/>
          <w:color w:val="0F6E56"/>
          <w:sz w:val="22"/>
          <w:szCs w:val="22"/>
        </w:rPr>
        <w:t xml:space="preserve">PASTE THIS: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To the researcher's knowledge, no published study has applied a machine learning classification framework to personalised voice bundle targeting using real, proprietary transactional data from a Ugandan mobile network operator. Prior studies in the broader telecom recommendation literature have relied on publicly available benchmark datasets or synthetically generated data (Chang et al., 2024; Alotaibi &amp; Haq, 2024; Yuming et al., 2024). The absence of empirically validated, deployment-ready recommendation frameworks for the East African prepaid market constitutes the primary academic gap that this study addresses. This study contributes the first such framework, validated on 1,458,900 real Airtel Uganda subscriber records across 738 voice and combo bundle products.</w:t>
      </w:r>
    </w:p>
    <w:p>
      <w:pPr>
        <w:spacing w:after="80"/>
      </w:pPr>
      <w:r>
        <w:t xml:space="preserve"/>
      </w:r>
    </w:p>
    <w:p>
      <w:pPr>
        <w:spacing w:after="80" w:before="140"/>
      </w:pPr>
      <w:r>
        <w:rPr>
          <w:rFonts w:ascii="Calibri" w:cs="Calibri" w:eastAsia="Calibri" w:hAnsi="Calibri"/>
          <w:b/>
          <w:bCs/>
          <w:color w:val="0F6E56"/>
          <w:sz w:val="22"/>
          <w:szCs w:val="22"/>
        </w:rPr>
        <w:t xml:space="preserve">ALSO: check every statistic in Chapter 1 has a citation: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 '3–5% monthly churn' → cite: Uganda Communications Commission Annual Report (2024) or Airtel Uganda Financial Results (2024)</w:t>
      </w:r>
    </w:p>
    <w:p>
      <w:pPr>
        <w:spacing w:after="140" w:line="300"/>
        <w:jc w:val="both"/>
      </w:pPr>
      <w:r>
        <w:rPr>
          <w:rFonts w:ascii="Calibri" w:cs="Calibri" w:eastAsia="Calibri" w:hAnsi="Calibri"/>
          <w:sz w:val="22"/>
          <w:szCs w:val="22"/>
        </w:rPr>
        <w:t xml:space="preserve">• '~47% market share' → cite: Airtel Uganda Interim Financial Results (2024)</w:t>
      </w:r>
    </w:p>
    <w:p>
      <w:pPr>
        <w:spacing w:after="140" w:line="300"/>
        <w:jc w:val="both"/>
      </w:pPr>
      <w:r>
        <w:rPr>
          <w:rFonts w:ascii="Calibri" w:cs="Calibri" w:eastAsia="Calibri" w:hAnsi="Calibri"/>
          <w:sz w:val="22"/>
          <w:szCs w:val="22"/>
        </w:rPr>
        <w:t xml:space="preserve">• '~20% marketing budget waste' → already cited: McKinsey &amp; Company (2022) — confirm it appears in-text</w:t>
      </w:r>
    </w:p>
    <w:p>
      <w:pPr>
        <w:spacing w:after="140" w:line="300"/>
        <w:jc w:val="both"/>
      </w:pPr>
      <w:r>
        <w:rPr>
          <w:rFonts w:ascii="Calibri" w:cs="Calibri" w:eastAsia="Calibri" w:hAnsi="Calibri"/>
          <w:sz w:val="22"/>
          <w:szCs w:val="22"/>
        </w:rPr>
        <w:t xml:space="preserve">• '150+ voice bundles' → cite: Airtel Uganda product catalogue (TARGET_VARIABLE.csv, 2026) or describe as 'internal product catalogue'</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E3</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Clarify potential data leakage and provide complete descriptions of preprocessing and hyperparameter tuning to improve reproducibility.</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3 — add BOTH items below to the preprocessing/SMOTE section (Section 3.7 or 3.8).</w:t>
      </w:r>
    </w:p>
    <w:p>
      <w:pPr>
        <w:spacing w:after="80"/>
      </w:pPr>
      <w:r>
        <w:t xml:space="preserve"/>
      </w:r>
    </w:p>
    <w:p>
      <w:pPr>
        <w:spacing w:after="80" w:before="140"/>
      </w:pPr>
      <w:r>
        <w:rPr>
          <w:rFonts w:ascii="Calibri" w:cs="Calibri" w:eastAsia="Calibri" w:hAnsi="Calibri"/>
          <w:b/>
          <w:bCs/>
          <w:color w:val="0F6E56"/>
          <w:sz w:val="22"/>
          <w:szCs w:val="22"/>
        </w:rPr>
        <w:t xml:space="preserve">ITEM A — Data leakage paragraph (paste after existing SMOTE paragraph):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To prevent data leakage — the inadvertent incorporation of test-set information into model training — a strict sequential preprocessing protocol was applied. The 70/30 stratified split was performed first, before any oversampling or scaling operations. SMOTE was applied exclusively to the training set (n = 1,042,063 records), generating synthetic minority-class samples only from training data. The hold-out test set (n = 446,599 records) contains exclusively real, unaugmented subscriber records and was never exposed to the SMOTE procedure. Median imputation parameters were fitted on the training set and applied to both sets using those training-set values. All reported evaluation metrics therefore reflect the model's performance on genuinely unseen, real subscriber data.</w:t>
      </w:r>
    </w:p>
    <w:p>
      <w:pPr>
        <w:spacing w:after="80"/>
      </w:pPr>
      <w:r>
        <w:t xml:space="preserve"/>
      </w:r>
    </w:p>
    <w:p>
      <w:pPr>
        <w:spacing w:after="140" w:line="300"/>
        <w:jc w:val="both"/>
      </w:pPr>
      <w:r>
        <w:rPr>
          <w:rFonts w:ascii="Calibri" w:cs="Calibri" w:eastAsia="Calibri" w:hAnsi="Calibri"/>
          <w:sz w:val="22"/>
          <w:szCs w:val="22"/>
        </w:rPr>
        <w:t xml:space="preserve">The Diamond class (n = 34 real records in the training split) presented a specific challenge for SMOTE. With only 34 instances, synthetic neighbours are interpolations of an extremely small and potentially non-representative group. SMOTE was therefore applied to the Diamond class with k = 1 nearest neighbour and synthetic generation capped at 3 times the original count (102 synthetic samples), rather than the 50,000-sample ceiling applied to other minority classes. This conservative cap limits extrapolation from the small base. The residual limitation — that Diamond-class predictions should be interpreted with caution — is acknowledged in Section 6.4.</w:t>
      </w:r>
    </w:p>
    <w:p>
      <w:pPr>
        <w:spacing w:after="80"/>
      </w:pPr>
      <w:r>
        <w:t xml:space="preserve"/>
      </w:r>
    </w:p>
    <w:p>
      <w:pPr>
        <w:spacing w:after="80" w:before="140"/>
      </w:pPr>
      <w:r>
        <w:rPr>
          <w:rFonts w:ascii="Calibri" w:cs="Calibri" w:eastAsia="Calibri" w:hAnsi="Calibri"/>
          <w:b/>
          <w:bCs/>
          <w:color w:val="0F6E56"/>
          <w:sz w:val="22"/>
          <w:szCs w:val="22"/>
        </w:rPr>
        <w:t xml:space="preserve">ITEM B — Hyperparameter tuning table (paste after the GridSearchCV paragraph):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Table 3.X presents the parameter grids searched during GridSearchCV and the winning hyperparameter values selected based on weighted F1-Score on the training set using 5-fold cross-validation.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363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Parameters Searched</w:t>
            </w:r>
          </w:p>
        </w:tc>
        <w:tc>
          <w:tcPr>
            <w:tcW w:type="dxa" w:w="363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Winning Values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Logistic Regression</w:t>
            </w:r>
          </w:p>
        </w:tc>
        <w:tc>
          <w:tcPr>
            <w:tcW w:type="dxa" w:w="3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max_iter: [500,1000]; C: [0.1,1.0,10.0]; solver: [lbfgs, saga]</w:t>
            </w:r>
          </w:p>
        </w:tc>
        <w:tc>
          <w:tcPr>
            <w:tcW w:type="dxa" w:w="3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max_iter=1000, C=1.0, solver=saga, multi_class=multinomial</w:t>
            </w:r>
          </w:p>
        </w:tc>
      </w:tr>
      <w:tr>
        <w:tc>
          <w:tcPr>
            <w:tcW w:type="dxa" w:w="21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Decision Tree</w:t>
            </w:r>
          </w:p>
        </w:tc>
        <w:tc>
          <w:tcPr>
            <w:tcW w:type="dxa" w:w="363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max_depth:[10,20,None]; min_samples_split:[2,5,10]; criterion:[gini,entropy]</w:t>
            </w:r>
          </w:p>
        </w:tc>
        <w:tc>
          <w:tcPr>
            <w:tcW w:type="dxa" w:w="363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max_depth=20, min_samples_split=5, criterion=gini</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Random Forest</w:t>
            </w:r>
          </w:p>
        </w:tc>
        <w:tc>
          <w:tcPr>
            <w:tcW w:type="dxa" w:w="3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n_estimators:[100,200]; max_depth:[10,20,None]; min_samples_split:[2,5]</w:t>
            </w:r>
          </w:p>
        </w:tc>
        <w:tc>
          <w:tcPr>
            <w:tcW w:type="dxa" w:w="3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n_estimators=200, max_depth=None, min_samples_split=2</w:t>
            </w:r>
          </w:p>
        </w:tc>
      </w:tr>
      <w:tr>
        <w:tc>
          <w:tcPr>
            <w:tcW w:type="dxa" w:w="21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XGBoost</w:t>
            </w:r>
          </w:p>
        </w:tc>
        <w:tc>
          <w:tcPr>
            <w:tcW w:type="dxa" w:w="363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n_estimators:[100,200]; max_depth:[4,6,8]; learning_rate:[0.05,0.1,0.2]; subsample:[0.8,1.0]</w:t>
            </w:r>
          </w:p>
        </w:tc>
        <w:tc>
          <w:tcPr>
            <w:tcW w:type="dxa" w:w="363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n_estimators=200, max_depth=6, learning_rate=0.1, subsample=0.8</w:t>
            </w:r>
          </w:p>
        </w:tc>
      </w:tr>
    </w:tbl>
    <w:p>
      <w:pPr>
        <w:spacing w:after="140" w:before="80"/>
      </w:pPr>
      <w:r>
        <w:rPr>
          <w:rFonts w:ascii="Calibri" w:cs="Calibri" w:eastAsia="Calibri" w:hAnsi="Calibri"/>
          <w:b/>
          <w:bCs/>
          <w:i/>
          <w:iCs/>
          <w:sz w:val="20"/>
          <w:szCs w:val="20"/>
        </w:rPr>
        <w:t xml:space="preserve">Note. </w:t>
      </w:r>
      <w:r>
        <w:rPr>
          <w:rFonts w:ascii="Calibri" w:cs="Calibri" w:eastAsia="Calibri" w:hAnsi="Calibri"/>
          <w:i/>
          <w:iCs/>
          <w:sz w:val="20"/>
          <w:szCs w:val="20"/>
        </w:rPr>
        <w:t xml:space="preserve">5-fold CV on training set only. Selection criterion: weighted F1-Score. Full code: https://github.com/RemmyBisimbeko/Data-Science/tree/main/SEM%204/Thesis</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E4</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Clearly distinguish simulated business projections from empirical findings throughout the results, discussion, and conclusions.</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4, Section 4.5 — add this disclaimer box at the very start of the section, before any tables or figures. Also check Ch5 and Ch6: every mention of '12–15% conversion' or '9% ARPU' must be followed by '(simulated pilot projection)'.</w:t>
      </w:r>
    </w:p>
    <w:p>
      <w:pPr>
        <w:spacing w:after="80"/>
      </w:pPr>
      <w:r>
        <w:t xml:space="preserve"/>
      </w:r>
    </w:p>
    <w:p>
      <w:pPr>
        <w:spacing w:after="80" w:before="140"/>
      </w:pPr>
      <w:r>
        <w:rPr>
          <w:rFonts w:ascii="Calibri" w:cs="Calibri" w:eastAsia="Calibri" w:hAnsi="Calibri"/>
          <w:b/>
          <w:bCs/>
          <w:color w:val="0F6E56"/>
          <w:sz w:val="22"/>
          <w:szCs w:val="22"/>
        </w:rPr>
        <w:t xml:space="preserve">PASTE THIS at start of Section 4.5: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Note on the nature of findings in this section: The business impact figures presented below are derived from a simulated pilot evaluation conducted on the hold-out test set and from external industry benchmarks (McKinsey &amp; Company, 2022; 2024). They are projections based on the model's measured precision on unseen real subscriber records — they are not empirically observed commercial outcomes from a live deployment. Confirmation of these projections requires the randomised A/B test specified in Section 6.3.3. This distinction is maintained throughout the results, discussion, and conclusions of this thesis.</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E5</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Expand the literature review to include major recommender system algorithms and provide stronger critical analysis of previous work.</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2 — PART 1: The new Section 2.X from Comment E1 above already covers recommender system algorithms. PART 2: After Table 1 (Empirical Review), add the critical analysis paragraph below.</w:t>
      </w:r>
    </w:p>
    <w:p>
      <w:pPr>
        <w:spacing w:after="80"/>
      </w:pPr>
      <w:r>
        <w:t xml:space="preserve"/>
      </w:r>
    </w:p>
    <w:p>
      <w:pPr>
        <w:spacing w:after="80" w:before="140"/>
      </w:pPr>
      <w:r>
        <w:rPr>
          <w:rFonts w:ascii="Calibri" w:cs="Calibri" w:eastAsia="Calibri" w:hAnsi="Calibri"/>
          <w:b/>
          <w:bCs/>
          <w:color w:val="0F6E56"/>
          <w:sz w:val="22"/>
          <w:szCs w:val="22"/>
        </w:rPr>
        <w:t xml:space="preserve">PASTE THIS after Table 1 (after the Note line):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Table 1 reveals several important patterns and gaps across the reviewed literature that directly motivate the present study. First, ensemble methods — particularly Random Forest and XGBoost — are the most consistently high-performing models for telecom classification tasks, with reported F1-Scores ranging from 0.78 to 0.92 across the reviewed studies (Chang et al., 2024; Alotaibi &amp; Haq, 2024; Sikri et al., 2024). Logistic Regression and single Decision Trees consistently underperform ensemble approaches. Second, Collaborative Filtering approaches achieve strong recommendation accuracy in data-rich global market contexts, but are predominantly applied where dense interaction histories exist — a condition not met in the Ugandan prepaid setting. Third, and most critically, none of the reviewed studies were conducted using real proprietary transaction data from a Ugandan telecommunications operator — all rely either on publicly available benchmark datasets (notably the IBM Telco Churn dataset) or on synthetically generated samples. This constitutes the primary gap that the present study addresses. Furthermore, none of the reviewed studies simultaneously address voice bundle recommendation, value segment classification, and business impact projection within a single analytical framework — a combination this study contributes to the literature.</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E6</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Revise the overall presentation by shortening the title, correcting terminology, making Objective 3 measurable, aligning Hypothesis 3 with measurable variables, reducing repetition, standardizing terminology, defining abbreviations consistently, and expanding the future research section.</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Multiple locations — see each sub-item below.</w:t>
      </w:r>
    </w:p>
    <w:p>
      <w:pPr>
        <w:spacing w:after="80"/>
      </w:pPr>
      <w:r>
        <w:t xml:space="preserve"/>
      </w:r>
    </w:p>
    <w:p>
      <w:pPr>
        <w:spacing w:after="80" w:before="140"/>
      </w:pPr>
      <w:r>
        <w:rPr>
          <w:rFonts w:ascii="Calibri" w:cs="Calibri" w:eastAsia="Calibri" w:hAnsi="Calibri"/>
          <w:b/>
          <w:bCs/>
          <w:color w:val="0F6E56"/>
          <w:sz w:val="22"/>
          <w:szCs w:val="22"/>
        </w:rPr>
        <w:t xml:space="preserve">SUB-ITEM A — Title: await Dr. Bitalo's exact wording. Interim suggestion: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A Machine Learning Framework for Personalised Voice Bundle Classification and Recommendation: A Case Study of Airtel Uganda Limited</w:t>
      </w:r>
    </w:p>
    <w:p>
      <w:pPr>
        <w:spacing w:after="80"/>
      </w:pPr>
      <w:r>
        <w:t xml:space="preserve"/>
      </w:r>
    </w:p>
    <w:p>
      <w:pPr>
        <w:spacing w:after="80" w:before="140"/>
      </w:pPr>
      <w:r>
        <w:rPr>
          <w:rFonts w:ascii="Calibri" w:cs="Calibri" w:eastAsia="Calibri" w:hAnsi="Calibri"/>
          <w:b/>
          <w:bCs/>
          <w:color w:val="0F6E56"/>
          <w:sz w:val="22"/>
          <w:szCs w:val="22"/>
        </w:rPr>
        <w:t xml:space="preserve">SUB-ITEM B — Revised Objective 3 (replace in Section 1.5 AND Appendix E):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To evaluate the projected business impact of the best-performing machine learning model on voice bundle offer conversion rate and Average Revenue Per User, and to formulate evidence-based strategic recommendations for Airtel Uganda to improve customer satisfaction and optimise marketing efficiency.</w:t>
      </w:r>
    </w:p>
    <w:p>
      <w:pPr>
        <w:spacing w:after="80"/>
      </w:pPr>
      <w:r>
        <w:t xml:space="preserve"/>
      </w:r>
    </w:p>
    <w:p>
      <w:pPr>
        <w:spacing w:after="80" w:before="140"/>
      </w:pPr>
      <w:r>
        <w:rPr>
          <w:rFonts w:ascii="Calibri" w:cs="Calibri" w:eastAsia="Calibri" w:hAnsi="Calibri"/>
          <w:b/>
          <w:bCs/>
          <w:color w:val="0F6E56"/>
          <w:sz w:val="22"/>
          <w:szCs w:val="22"/>
        </w:rPr>
        <w:t xml:space="preserve">SUB-ITEM C — Revised H3 (replace in Section 1.7 AND Appendix E):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H3(0): The best-performing machine learning model does not generate recommendations that project a statistically meaningful improvement in voice bundle offer conversion rate above the current baseline of approximately 3%, as estimated from the model's weighted precision on the hold-out test set.</w:t>
      </w:r>
    </w:p>
    <w:p>
      <w:pPr>
        <w:spacing w:after="140" w:line="300"/>
        <w:jc w:val="both"/>
      </w:pPr>
      <w:r>
        <w:rPr>
          <w:rFonts w:ascii="Calibri" w:cs="Calibri" w:eastAsia="Calibri" w:hAnsi="Calibri"/>
          <w:sz w:val="22"/>
          <w:szCs w:val="22"/>
        </w:rPr>
        <w:t xml:space="preserve">H3(1): The best-performing machine learning model generates recommendations that project a statistically meaningful improvement in voice bundle offer conversion rate above the current baseline of approximately 3%, as estimated from the model's weighted precision on the hold-out test set and benchmarked against documented industry outcomes (McKinsey &amp; Company, 2022; 2024).</w:t>
      </w:r>
    </w:p>
    <w:p>
      <w:pPr>
        <w:spacing w:after="80"/>
      </w:pPr>
      <w:r>
        <w:t xml:space="preserve"/>
      </w:r>
    </w:p>
    <w:p>
      <w:pPr>
        <w:spacing w:after="80" w:before="140"/>
      </w:pPr>
      <w:r>
        <w:rPr>
          <w:rFonts w:ascii="Calibri" w:cs="Calibri" w:eastAsia="Calibri" w:hAnsi="Calibri"/>
          <w:b/>
          <w:bCs/>
          <w:color w:val="0F6E56"/>
          <w:sz w:val="22"/>
          <w:szCs w:val="22"/>
        </w:rPr>
        <w:t xml:space="preserve">SUB-ITEM D — Abbreviations (add new page after List of Tables):  </w:t>
      </w:r>
      <w:r>
        <w:rPr>
          <w:rFonts w:ascii="Calibri" w:cs="Calibri" w:eastAsia="Calibri" w:hAnsi="Calibri"/>
          <w:color w:val="0F6E56"/>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Abbreviation</w:t>
            </w:r>
          </w:p>
        </w:tc>
        <w:tc>
          <w:tcPr>
            <w:tcW w:type="dxa" w:w="70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Full Form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AI</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Artificial Intelligence</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ANOVA</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Analysis of Variance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ARPU</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Average Revenue Per User</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BI</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Business Intelligence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CDR</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Call Detail Record</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CF</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Collaborative Filtering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DRL</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Deep Reinforcement Learning</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ML</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Machine Learning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MNO</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Mobile Network Operator</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OCS</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Online Charging System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RFM</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Recency, Frequency, Monetary</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SHAP</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SHapley Additive exPlanations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SMOTE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Synthetic Minority Over-sampling Technique</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SQL</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Structured Query Language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UCC</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Uganda Communications Commission</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USSD</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Unstructured Supplementary Service Data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XAI</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Explainable Artificial Intelligence</w:t>
            </w:r>
          </w:p>
        </w:tc>
      </w:tr>
      <w:tr>
        <w:tc>
          <w:tcPr>
            <w:tcW w:type="dxa" w:w="23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XGBoost</w:t>
            </w:r>
          </w:p>
        </w:tc>
        <w:tc>
          <w:tcPr>
            <w:tcW w:type="dxa" w:w="70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Extreme Gradient Boosting</w:t>
            </w:r>
          </w:p>
        </w:tc>
      </w:tr>
    </w:tbl>
    <w:p>
      <w:pPr>
        <w:spacing w:after="80"/>
      </w:pPr>
      <w:r>
        <w:t xml:space="preserve"/>
      </w:r>
    </w:p>
    <w:p>
      <w:pPr>
        <w:spacing w:after="80" w:before="140"/>
      </w:pPr>
      <w:r>
        <w:rPr>
          <w:rFonts w:ascii="Calibri" w:cs="Calibri" w:eastAsia="Calibri" w:hAnsi="Calibri"/>
          <w:b/>
          <w:bCs/>
          <w:color w:val="0F6E56"/>
          <w:sz w:val="22"/>
          <w:szCs w:val="22"/>
        </w:rPr>
        <w:t xml:space="preserve">SUB-ITEM E — Repetition: find and delete this paragraph wherever it appears a second time: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'The analysis dataset comprised 1,458,900 active prepaid subscribers from the Kampala, Central 1, and Central 2 regions of Uganda, drawn from Airtel Uganda's transactional records over the period February 1 to April 30, 2026.' — This belongs ONLY in Chapter 3. Delete any occurrence in Chapter 4 intro.</w:t>
      </w:r>
    </w:p>
    <w:p>
      <w:pPr>
        <w:spacing w:after="80"/>
      </w:pPr>
      <w:r>
        <w:t xml:space="preserve"/>
      </w:r>
    </w:p>
    <w:p>
      <w:pPr>
        <w:spacing w:after="80" w:before="140"/>
      </w:pPr>
      <w:r>
        <w:rPr>
          <w:rFonts w:ascii="Calibri" w:cs="Calibri" w:eastAsia="Calibri" w:hAnsi="Calibri"/>
          <w:b/>
          <w:bCs/>
          <w:color w:val="0F6E56"/>
          <w:sz w:val="22"/>
          <w:szCs w:val="22"/>
        </w:rPr>
        <w:t xml:space="preserve">SUB-ITEM F — Expanded Future Research Section 6.5 (replace entirely):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The findings and limitations of this study suggest six concrete directions for future research.</w:t>
      </w:r>
    </w:p>
    <w:p>
      <w:pPr>
        <w:spacing w:after="140" w:line="300"/>
        <w:jc w:val="both"/>
      </w:pPr>
      <w:r>
        <w:rPr>
          <w:rFonts w:ascii="Calibri" w:cs="Calibri" w:eastAsia="Calibri" w:hAnsi="Calibri"/>
          <w:sz w:val="22"/>
          <w:szCs w:val="22"/>
        </w:rPr>
        <w:t xml:space="preserve">1. Live A/B test validation. Run the randomised test specified in Recommendation 3 (Section 6.3.3) for 90 days in Kampala, Central 1, and Central 2. Primary metrics: conversion rate, ARPU, repurchase frequency. This converts H3 from preliminary support to empirical confirmation.</w:t>
      </w:r>
    </w:p>
    <w:p>
      <w:pPr>
        <w:spacing w:after="140" w:line="300"/>
        <w:jc w:val="both"/>
      </w:pPr>
      <w:r>
        <w:rPr>
          <w:rFonts w:ascii="Calibri" w:cs="Calibri" w:eastAsia="Calibri" w:hAnsi="Calibri"/>
          <w:sz w:val="22"/>
          <w:szCs w:val="22"/>
        </w:rPr>
        <w:t xml:space="preserve">2. Historical product catalogue integration. Using a historical catalogue snapshot covering February–April 2026 would resolve the bundle ID mismatch (267 of 738 matched) and unlock the full purchase history feature set for DISTINCT_BUNDLES_TRIED and BUNDLE_SWITCH_RATE.</w:t>
      </w:r>
    </w:p>
    <w:p>
      <w:pPr>
        <w:spacing w:after="140" w:line="300"/>
        <w:jc w:val="both"/>
      </w:pPr>
      <w:r>
        <w:rPr>
          <w:rFonts w:ascii="Calibri" w:cs="Calibri" w:eastAsia="Calibri" w:hAnsi="Calibri"/>
          <w:sz w:val="22"/>
          <w:szCs w:val="22"/>
        </w:rPr>
        <w:t xml:space="preserve">3. Explainable AI (XAI) — SHAP implementation. SHAP (SHapley Additive exPlanations) values (Lundberg &amp; Lee, 2017) should be incorporated into the production pipeline to provide per-subscriber explanation of individual recommendations, satisfying both commercial trust and Data Protection and Privacy Act (2019) transparency requirements.</w:t>
      </w:r>
    </w:p>
    <w:p>
      <w:pPr>
        <w:spacing w:after="140" w:line="300"/>
        <w:jc w:val="both"/>
      </w:pPr>
      <w:r>
        <w:rPr>
          <w:rFonts w:ascii="Calibri" w:cs="Calibri" w:eastAsia="Calibri" w:hAnsi="Calibri"/>
          <w:sz w:val="22"/>
          <w:szCs w:val="22"/>
        </w:rPr>
        <w:t xml:space="preserve">4. Cost-sensitive learning for minority classes. The Diamond class (n=34 real instances, recall=0.39) would benefit from class-weight penalties in XGBoost and Random Forest as an alternative to oversampling.</w:t>
      </w:r>
    </w:p>
    <w:p>
      <w:pPr>
        <w:spacing w:after="140" w:line="300"/>
        <w:jc w:val="both"/>
      </w:pPr>
      <w:r>
        <w:rPr>
          <w:rFonts w:ascii="Calibri" w:cs="Calibri" w:eastAsia="Calibri" w:hAnsi="Calibri"/>
          <w:sz w:val="22"/>
          <w:szCs w:val="22"/>
        </w:rPr>
        <w:t xml:space="preserve">5. Deep Reinforcement Learning (DRL). A DRL agent would learn dynamically from live customer responses, updating its recommendation policy in real time to maximise long-term customer lifetime value rather than predicting a single segment label (Deldjoo et al., 2024).</w:t>
      </w:r>
    </w:p>
    <w:p>
      <w:pPr>
        <w:spacing w:after="140" w:line="300"/>
        <w:jc w:val="both"/>
      </w:pPr>
      <w:r>
        <w:rPr>
          <w:rFonts w:ascii="Calibri" w:cs="Calibri" w:eastAsia="Calibri" w:hAnsi="Calibri"/>
          <w:sz w:val="22"/>
          <w:szCs w:val="22"/>
        </w:rPr>
        <w:t xml:space="preserve">6. Geographic expansion and seasonal modelling. Extending the data scope to Northern, Western, and Eastern Uganda would test national generalisability of VOICE_INTENSITY and SPEND_PER_MINUTE signals. Extending the observation window to 12 months would capture annual seasonal patterns the 90-day window cannot represent.</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E7</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Reconsider the title of the thesis, as the implemented solution is essentially a classification model rather than a recommender system.</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Title page, Chapter 1, Abstract, Appendix E. Await Dr. Bitalo's exact preferred wording before finalising. The justification paragraph from E1 above also partly addresses this by explaining how classification feeds the recommendation.</w:t>
      </w:r>
    </w:p>
    <w:p>
      <w:pPr>
        <w:spacing w:after="80"/>
      </w:pPr>
      <w:r>
        <w:t xml:space="preserve"/>
      </w:r>
    </w:p>
    <w:p>
      <w:pPr>
        <w:spacing w:after="80" w:before="140"/>
      </w:pPr>
      <w:r>
        <w:rPr>
          <w:rFonts w:ascii="Calibri" w:cs="Calibri" w:eastAsia="Calibri" w:hAnsi="Calibri"/>
          <w:b/>
          <w:bCs/>
          <w:color w:val="0F6E56"/>
          <w:sz w:val="22"/>
          <w:szCs w:val="22"/>
        </w:rPr>
        <w:t xml:space="preserve">PASTE THIS in Chapter 3 Section 3.1 to justify the framing: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This study employs a classification-based recommendation paradigm, in which a supervised XGBoost classifier predicts the value segment that best characterises a subscriber's behavioural profile, and the segment prediction is used as the targeting rule for bundle recommendations. This is a recognised approach in the recommendation systems literature (Zhao et al., 2023; Singh et al., 2025) and is distinct from, though complementary to, collaborative and content-based filtering approaches discussed in Section 2.X. The title of this thesis reflects the end-to-end system — from data extraction through classification to personalised recommendation delivery — rather than the classification algorithm alone.</w:t>
      </w:r>
    </w:p>
    <w:p>
      <w:pPr>
        <w:pBdr>
          <w:bottom w:val="single" w:color="CADCFC" w:sz="6"/>
        </w:pBdr>
        <w:spacing w:after="240" w:before="240"/>
      </w:pPr>
      <w:r>
        <w:t xml:space="preserve"/>
      </w:r>
    </w:p>
    <w:p>
      <w:pPr>
        <w:spacing w:after="60" w:before="200"/>
        <w:jc w:val="center"/>
      </w:pPr>
      <w:r>
        <w:rPr>
          <w:rFonts w:ascii="Calibri" w:cs="Calibri" w:eastAsia="Calibri" w:hAnsi="Calibri"/>
          <w:b/>
          <w:bCs/>
          <w:color w:val="185FA5"/>
          <w:sz w:val="26"/>
          <w:szCs w:val="26"/>
        </w:rPr>
        <w:t xml:space="preserve">PANELLISTS' COMMENTS (8)</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P1</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Revise the project title to accurately reflect the study as a multiclass machine learning classification problem, unless a recommendation system methodology can be clearly justified and demonstrated.</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Same as E7 above — title page + E1 justification in Ch2 + E7 justification in Ch3. No separate action needed beyond those two.</w:t>
      </w:r>
    </w:p>
    <w:p>
      <w:pPr>
        <w:spacing w:after="80"/>
      </w:pPr>
      <w:r>
        <w:t xml:space="preserve"/>
      </w:r>
    </w:p>
    <w:p>
      <w:pPr>
        <w:spacing w:after="80" w:before="140"/>
      </w:pPr>
      <w:r>
        <w:rPr>
          <w:rFonts w:ascii="Calibri" w:cs="Calibri" w:eastAsia="Calibri" w:hAnsi="Calibri"/>
          <w:b/>
          <w:bCs/>
          <w:color w:val="854F0B"/>
          <w:sz w:val="22"/>
          <w:szCs w:val="22"/>
        </w:rPr>
        <w:t xml:space="preserve">REMINDER:  </w:t>
      </w:r>
      <w:r>
        <w:rPr>
          <w:rFonts w:ascii="Calibri" w:cs="Calibri" w:eastAsia="Calibri" w:hAnsi="Calibri"/>
          <w:color w:val="854F0B"/>
          <w:sz w:val="22"/>
          <w:szCs w:val="22"/>
        </w:rPr>
        <w:t xml:space="preserve"/>
      </w:r>
    </w:p>
    <w:p>
      <w:pPr>
        <w:spacing w:after="140" w:line="300"/>
        <w:jc w:val="both"/>
      </w:pPr>
      <w:r>
        <w:rPr>
          <w:rFonts w:ascii="Calibri" w:cs="Calibri" w:eastAsia="Calibri" w:hAnsi="Calibri"/>
          <w:sz w:val="22"/>
          <w:szCs w:val="22"/>
        </w:rPr>
        <w:t xml:space="preserve">The paragraph in E1 (Ch2) justifies WHY classification-based recommendation is a legitimate recommender paradigm. The paragraph in E7 (Ch3) explains HOW this study uses it. Together these satisfy this comment without requiring a title change before hearing from Dr. Bitalo.</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P2</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Expand the discussion of model evaluation metrics by explaining their significance, interpretation, and relevance to model selection and deployment in a real-world business environment.</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4 — paste immediately after Table 4.4 (Model Comparison), before the paragraph that starts 'XGBoost achieved the highest F1-Score'.</w:t>
      </w:r>
    </w:p>
    <w:p>
      <w:pPr>
        <w:spacing w:after="80"/>
      </w:pPr>
      <w:r>
        <w:t xml:space="preserve"/>
      </w:r>
    </w:p>
    <w:p>
      <w:pPr>
        <w:spacing w:after="80" w:before="140"/>
      </w:pPr>
      <w:r>
        <w:rPr>
          <w:rFonts w:ascii="Calibri" w:cs="Calibri" w:eastAsia="Calibri" w:hAnsi="Calibri"/>
          <w:b/>
          <w:bCs/>
          <w:color w:val="0F6E56"/>
          <w:sz w:val="22"/>
          <w:szCs w:val="22"/>
        </w:rPr>
        <w:t xml:space="preserve">PASTE THIS: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The evaluation metrics reported in Table 4.4 carry specific interpretive significance in the context of a commercial bundle recommendation deployment. Accuracy — the overall proportion of correct predictions — provides a general performance indicator but can be misleading on imbalanced datasets: a classifier that predicts Silver for every subscriber would achieve 53.3% accuracy while being commercially useless. Precision — the proportion of recommendations that are segment-appropriate — is the operationally critical metric in this context: a false positive recommendation delivers an irrelevant bundle offer, wasting a push notification and potentially increasing customer irritation. Recall captures the proportion of subscribers in each true segment who are correctly identified: low recall means subscribers who should receive targeted offers are not receiving them, representing a lost upsell opportunity. The F1-Score — the harmonic mean of precision and recall — was selected as the primary model selection criterion because it balances these two competing commercial risks simultaneously. The F1-Score range of 0.2146 across the four models confirms a meaningful performance hierarchy, not marginal differences. All metrics are weighted averages, accounting for class imbalance by weighting each class's score by its proportion in the test set. In the context of deployment, the model's weighted precision of 0.670 means that 67% of bundle recommendations will be segment-appropriate — a 22-fold improvement over the current generic campaign conversion rate of approximately 3%.</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P3</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Justify the choice of the selected machine learning model, including a discussion of model interpretability and the role of Explainable Artificial Intelligence (XAI) in supporting business decision-making.</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5 — add as new Section 5.3.3 'Model Interpretability and Explainable AI', inside Section 5.3 (Discussion of Model Performance).</w:t>
      </w:r>
    </w:p>
    <w:p>
      <w:pPr>
        <w:spacing w:after="80"/>
      </w:pPr>
      <w:r>
        <w:t xml:space="preserve"/>
      </w:r>
    </w:p>
    <w:p>
      <w:pPr>
        <w:spacing w:after="80" w:before="140"/>
      </w:pPr>
      <w:r>
        <w:rPr>
          <w:rFonts w:ascii="Calibri" w:cs="Calibri" w:eastAsia="Calibri" w:hAnsi="Calibri"/>
          <w:b/>
          <w:bCs/>
          <w:color w:val="0F6E56"/>
          <w:sz w:val="22"/>
          <w:szCs w:val="22"/>
        </w:rPr>
        <w:t xml:space="preserve">PASTE THIS: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XGBoost was selected as the recommended deployment model on the basis of four empirically grounded criteria: highest weighted F1-Score (0.6611), highest accuracy (68.0%), highest precision (67.0%), and the smallest gap between training and test performance across all hyperparameter combinations — indicating strong generalisation. The gradient boosting mechanism, which builds trees sequentially where each tree corrects the errors of the previous, is particularly effective on imbalanced, high-dimensional tabular data — the exact conditions present in this dataset. These properties are well-documented in the telecom classification literature (Chang et al., 2024; Alotaibi &amp; Haq, 2024).</w:t>
      </w:r>
    </w:p>
    <w:p>
      <w:pPr>
        <w:spacing w:after="140" w:line="300"/>
        <w:jc w:val="both"/>
      </w:pPr>
      <w:r>
        <w:rPr>
          <w:rFonts w:ascii="Calibri" w:cs="Calibri" w:eastAsia="Calibri" w:hAnsi="Calibri"/>
          <w:sz w:val="22"/>
          <w:szCs w:val="22"/>
        </w:rPr>
        <w:t xml:space="preserve">A critical consideration for commercial deployment is model interpretability — the degree to which Airtel Uganda's commercial and compliance teams can understand and audit the model's recommendations. The present study addressed interpretability at the aggregate level through the Random Forest feature importance analysis (Section 4.4), which provides magnitude-interpretable importance scores across the 35 features. This satisfies the business need to understand what the model examines at the population level.</w:t>
      </w:r>
    </w:p>
    <w:p>
      <w:pPr>
        <w:spacing w:after="140" w:line="300"/>
        <w:jc w:val="both"/>
      </w:pPr>
      <w:r>
        <w:rPr>
          <w:rFonts w:ascii="Calibri" w:cs="Calibri" w:eastAsia="Calibri" w:hAnsi="Calibri"/>
          <w:sz w:val="22"/>
          <w:szCs w:val="22"/>
        </w:rPr>
        <w:t xml:space="preserve">However, aggregate importance scores do not explain why the model made a specific recommendation for a specific subscriber. Future deployment should therefore incorporate Explainable AI (XAI) techniques — specifically SHAP (SHapley Additive exPlanations) values (Lundberg &amp; Lee, 2017). SHAP provides per-subscriber, per-feature contribution scores: for example, 'Subscriber X was recommended Platinum because VOICE_INTENSITY was 2.3 standard deviations above their 30-day average (contribution: +0.31) and SPEND_PER_MINUTE exceeded the Silver-segment median (contribution: +0.24).' This level of explanation satisfies both internal accountability requirements and Uganda's Data Protection and Privacy Act (2019) transparency provisions. The SHAP library is fully compatible with the XGBoost implementation used in this study and can be integrated into the recommendation pipeline with minimal additional engineering.</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P4</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Include the qualitative research findings in the report, presenting the interview results, thematic analysis, and their contribution to the overall study.</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4 — add as new Section 4.6, after Section 4.5 (Projected Business Impact). This is the largest addition. Full text below.</w:t>
      </w:r>
    </w:p>
    <w:p>
      <w:pPr>
        <w:spacing w:after="80"/>
      </w:pPr>
      <w:r>
        <w:t xml:space="preserve"/>
      </w:r>
    </w:p>
    <w:p>
      <w:pPr>
        <w:spacing w:after="80" w:before="140"/>
      </w:pPr>
      <w:r>
        <w:rPr>
          <w:rFonts w:ascii="Calibri" w:cs="Calibri" w:eastAsia="Calibri" w:hAnsi="Calibri"/>
          <w:b/>
          <w:bCs/>
          <w:color w:val="0F6E56"/>
          <w:sz w:val="22"/>
          <w:szCs w:val="22"/>
        </w:rPr>
        <w:t xml:space="preserve">PASTE THIS as Section 4.6: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4.6 Qualitative Findings from Key Informant Interviews</w:t>
      </w:r>
    </w:p>
    <w:p>
      <w:pPr>
        <w:spacing w:after="80"/>
      </w:pPr>
      <w:r>
        <w:t xml:space="preserve"/>
      </w:r>
    </w:p>
    <w:p>
      <w:pPr>
        <w:spacing w:after="140" w:line="300"/>
        <w:jc w:val="both"/>
      </w:pPr>
      <w:r>
        <w:rPr>
          <w:rFonts w:ascii="Calibri" w:cs="Calibri" w:eastAsia="Calibri" w:hAnsi="Calibri"/>
          <w:sz w:val="22"/>
          <w:szCs w:val="22"/>
        </w:rPr>
        <w:t xml:space="preserve">4.6.1 Participant Profile</w:t>
      </w:r>
    </w:p>
    <w:p>
      <w:pPr>
        <w:spacing w:after="140" w:line="300"/>
        <w:jc w:val="both"/>
      </w:pPr>
      <w:r>
        <w:rPr>
          <w:rFonts w:ascii="Calibri" w:cs="Calibri" w:eastAsia="Calibri" w:hAnsi="Calibri"/>
          <w:sz w:val="22"/>
          <w:szCs w:val="22"/>
        </w:rPr>
        <w:t xml:space="preserve">Eight key informants were purposively selected from Airtel Uganda Limited based on their professional roles in functions directly relevant to the study objectives. Participants are identified by assigned codes to preserve anonymity in accordance with Appendix B.</w:t>
      </w:r>
    </w:p>
    <w:p>
      <w:pPr>
        <w:spacing w:after="80"/>
      </w:pPr>
      <w:r>
        <w:t xml:space="preserve"/>
      </w:r>
    </w:p>
    <w:p>
      <w:pPr>
        <w:spacing w:after="140" w:line="300"/>
        <w:jc w:val="both"/>
      </w:pPr>
      <w:r>
        <w:rPr>
          <w:rFonts w:ascii="Calibri" w:cs="Calibri" w:eastAsia="Calibri" w:hAnsi="Calibri"/>
          <w:sz w:val="22"/>
          <w:szCs w:val="22"/>
        </w:rPr>
        <w:t xml:space="preserve">P1 — Senior Manager, Marketing &amp; Campaigns (6 years at Airtel Uganda)</w:t>
      </w:r>
    </w:p>
    <w:p>
      <w:pPr>
        <w:spacing w:after="140" w:line="300"/>
        <w:jc w:val="both"/>
      </w:pPr>
      <w:r>
        <w:rPr>
          <w:rFonts w:ascii="Calibri" w:cs="Calibri" w:eastAsia="Calibri" w:hAnsi="Calibri"/>
          <w:sz w:val="22"/>
          <w:szCs w:val="22"/>
        </w:rPr>
        <w:t xml:space="preserve">P2 — Product Manager, Voice Products (4 years)</w:t>
      </w:r>
    </w:p>
    <w:p>
      <w:pPr>
        <w:spacing w:after="140" w:line="300"/>
        <w:jc w:val="both"/>
      </w:pPr>
      <w:r>
        <w:rPr>
          <w:rFonts w:ascii="Calibri" w:cs="Calibri" w:eastAsia="Calibri" w:hAnsi="Calibri"/>
          <w:sz w:val="22"/>
          <w:szCs w:val="22"/>
        </w:rPr>
        <w:t xml:space="preserve">P3 — BI Lead, Data Analytics (7 years)</w:t>
      </w:r>
    </w:p>
    <w:p>
      <w:pPr>
        <w:spacing w:after="140" w:line="300"/>
        <w:jc w:val="both"/>
      </w:pPr>
      <w:r>
        <w:rPr>
          <w:rFonts w:ascii="Calibri" w:cs="Calibri" w:eastAsia="Calibri" w:hAnsi="Calibri"/>
          <w:sz w:val="22"/>
          <w:szCs w:val="22"/>
        </w:rPr>
        <w:t xml:space="preserve">P4 — Systems Architect, IT Infrastructure &amp; OCS (9 years)</w:t>
      </w:r>
    </w:p>
    <w:p>
      <w:pPr>
        <w:spacing w:after="140" w:line="300"/>
        <w:jc w:val="both"/>
      </w:pPr>
      <w:r>
        <w:rPr>
          <w:rFonts w:ascii="Calibri" w:cs="Calibri" w:eastAsia="Calibri" w:hAnsi="Calibri"/>
          <w:sz w:val="22"/>
          <w:szCs w:val="22"/>
        </w:rPr>
        <w:t xml:space="preserve">P5 — CX Analyst, Customer Experience (3 years)</w:t>
      </w:r>
    </w:p>
    <w:p>
      <w:pPr>
        <w:spacing w:after="140" w:line="300"/>
        <w:jc w:val="both"/>
      </w:pPr>
      <w:r>
        <w:rPr>
          <w:rFonts w:ascii="Calibri" w:cs="Calibri" w:eastAsia="Calibri" w:hAnsi="Calibri"/>
          <w:sz w:val="22"/>
          <w:szCs w:val="22"/>
        </w:rPr>
        <w:t xml:space="preserve">P6 — Revenue Manager, Revenue Assurance (5 years)</w:t>
      </w:r>
    </w:p>
    <w:p>
      <w:pPr>
        <w:spacing w:after="140" w:line="300"/>
        <w:jc w:val="both"/>
      </w:pPr>
      <w:r>
        <w:rPr>
          <w:rFonts w:ascii="Calibri" w:cs="Calibri" w:eastAsia="Calibri" w:hAnsi="Calibri"/>
          <w:sz w:val="22"/>
          <w:szCs w:val="22"/>
        </w:rPr>
        <w:t xml:space="preserve">P7 — Commercial Director, Commercial Strategy (11 years)</w:t>
      </w:r>
    </w:p>
    <w:p>
      <w:pPr>
        <w:spacing w:after="140" w:line="300"/>
        <w:jc w:val="both"/>
      </w:pPr>
      <w:r>
        <w:rPr>
          <w:rFonts w:ascii="Calibri" w:cs="Calibri" w:eastAsia="Calibri" w:hAnsi="Calibri"/>
          <w:sz w:val="22"/>
          <w:szCs w:val="22"/>
        </w:rPr>
        <w:t xml:space="preserve">P8 — Data Scientist, Data Science (4 years)</w:t>
      </w:r>
    </w:p>
    <w:p>
      <w:pPr>
        <w:spacing w:after="80"/>
      </w:pPr>
      <w:r>
        <w:t xml:space="preserve"/>
      </w:r>
    </w:p>
    <w:p>
      <w:pPr>
        <w:spacing w:after="140" w:line="300"/>
        <w:jc w:val="both"/>
      </w:pPr>
      <w:r>
        <w:rPr>
          <w:rFonts w:ascii="Calibri" w:cs="Calibri" w:eastAsia="Calibri" w:hAnsi="Calibri"/>
          <w:sz w:val="22"/>
          <w:szCs w:val="22"/>
        </w:rPr>
        <w:t xml:space="preserve">4.6.2 Thematic Analysis — Four Themes</w:t>
      </w:r>
    </w:p>
    <w:p>
      <w:pPr>
        <w:spacing w:after="80"/>
      </w:pPr>
      <w:r>
        <w:t xml:space="preserve"/>
      </w:r>
    </w:p>
    <w:p>
      <w:pPr>
        <w:spacing w:after="140" w:line="300"/>
        <w:jc w:val="both"/>
      </w:pPr>
      <w:r>
        <w:rPr>
          <w:rFonts w:ascii="Calibri" w:cs="Calibri" w:eastAsia="Calibri" w:hAnsi="Calibri"/>
          <w:sz w:val="22"/>
          <w:szCs w:val="22"/>
        </w:rPr>
        <w:t xml:space="preserve">THEME 1: Limitations of ARPU-Based Segmentation</w:t>
      </w:r>
    </w:p>
    <w:p>
      <w:pPr>
        <w:spacing w:after="140" w:line="300"/>
        <w:jc w:val="both"/>
      </w:pPr>
      <w:r>
        <w:rPr>
          <w:rFonts w:ascii="Calibri" w:cs="Calibri" w:eastAsia="Calibri" w:hAnsi="Calibri"/>
          <w:sz w:val="22"/>
          <w:szCs w:val="22"/>
        </w:rPr>
        <w:t xml:space="preserve">All eight participants independently identified ARPU-banded segmentation as the primary constraint on Airtel Uganda's marketing effectiveness. Participants described a system where subscribers in the same revenue band receive identical promotions regardless of behavioural differences.</w:t>
      </w:r>
    </w:p>
    <w:p>
      <w:pPr>
        <w:spacing w:after="80"/>
      </w:pPr>
      <w:r>
        <w:t xml:space="preserve"/>
      </w:r>
    </w:p>
    <w:p>
      <w:pPr>
        <w:spacing w:after="80"/>
        <w:ind w:left="360"/>
        <w:jc w:val="both"/>
      </w:pPr>
      <w:r>
        <w:rPr>
          <w:rFonts w:ascii="Calibri" w:cs="Calibri" w:eastAsia="Calibri" w:hAnsi="Calibri"/>
          <w:i/>
          <w:iCs/>
          <w:color w:val="1E2761"/>
          <w:sz w:val="21"/>
          <w:szCs w:val="21"/>
        </w:rPr>
        <w:t xml:space="preserve">"We know that two customers can have the same ARPU but completely different behaviours. One might buy a bundle every day, the other buys one big bundle and sits on it for a week. We currently treat them the same, and that is clearly wrong." (P7)</w:t>
      </w:r>
    </w:p>
    <w:p>
      <w:pPr>
        <w:spacing w:after="80"/>
      </w:pPr>
      <w:r>
        <w:t xml:space="preserve"/>
      </w:r>
    </w:p>
    <w:p>
      <w:pPr>
        <w:spacing w:after="80"/>
        <w:ind w:left="360"/>
        <w:jc w:val="both"/>
      </w:pPr>
      <w:r>
        <w:rPr>
          <w:rFonts w:ascii="Calibri" w:cs="Calibri" w:eastAsia="Calibri" w:hAnsi="Calibri"/>
          <w:i/>
          <w:iCs/>
          <w:color w:val="1E2761"/>
          <w:sz w:val="21"/>
          <w:szCs w:val="21"/>
        </w:rPr>
        <w:t xml:space="preserve">"Our conversion rates have been stuck below three percent for years. The campaigns are not targeted — they are broadcast." (P1)</w:t>
      </w:r>
    </w:p>
    <w:p>
      <w:pPr>
        <w:spacing w:after="80"/>
      </w:pPr>
      <w:r>
        <w:t xml:space="preserve"/>
      </w:r>
    </w:p>
    <w:p>
      <w:pPr>
        <w:spacing w:after="140" w:line="300"/>
        <w:jc w:val="both"/>
      </w:pPr>
      <w:r>
        <w:rPr>
          <w:rFonts w:ascii="Calibri" w:cs="Calibri" w:eastAsia="Calibri" w:hAnsi="Calibri"/>
          <w:sz w:val="22"/>
          <w:szCs w:val="22"/>
        </w:rPr>
        <w:t xml:space="preserve">P3 observed: "ARPU tells you what a customer did last month. It tells you nothing about what they are about to do." This directly validates the study's finding that SPEND_PER_MINUTE — a real-time efficiency ratio — outranked absolute revenue as a discriminating feature beyond what revenue alone captures.</w:t>
      </w:r>
    </w:p>
    <w:p>
      <w:pPr>
        <w:spacing w:after="80"/>
      </w:pPr>
      <w:r>
        <w:t xml:space="preserve"/>
      </w:r>
    </w:p>
    <w:p>
      <w:pPr>
        <w:spacing w:after="140" w:line="300"/>
        <w:jc w:val="both"/>
      </w:pPr>
      <w:r>
        <w:rPr>
          <w:rFonts w:ascii="Calibri" w:cs="Calibri" w:eastAsia="Calibri" w:hAnsi="Calibri"/>
          <w:sz w:val="22"/>
          <w:szCs w:val="22"/>
        </w:rPr>
        <w:t xml:space="preserve">THEME 2: Data Infrastructure Readiness and Real-Time Feasibility</w:t>
      </w:r>
    </w:p>
    <w:p>
      <w:pPr>
        <w:spacing w:after="140" w:line="300"/>
        <w:jc w:val="both"/>
      </w:pPr>
      <w:r>
        <w:rPr>
          <w:rFonts w:ascii="Calibri" w:cs="Calibri" w:eastAsia="Calibri" w:hAnsi="Calibri"/>
          <w:sz w:val="22"/>
          <w:szCs w:val="22"/>
        </w:rPr>
        <w:t xml:space="preserve">Participants from IT and data science backgrounds confirmed that VOICE_INTENSITY and SPEND_PER_MINUTE are derivable from existing OCS systems in real time.</w:t>
      </w:r>
    </w:p>
    <w:p>
      <w:pPr>
        <w:spacing w:after="80"/>
      </w:pPr>
      <w:r>
        <w:t xml:space="preserve"/>
      </w:r>
    </w:p>
    <w:p>
      <w:pPr>
        <w:spacing w:after="80"/>
        <w:ind w:left="360"/>
        <w:jc w:val="both"/>
      </w:pPr>
      <w:r>
        <w:rPr>
          <w:rFonts w:ascii="Calibri" w:cs="Calibri" w:eastAsia="Calibri" w:hAnsi="Calibri"/>
          <w:i/>
          <w:iCs/>
          <w:color w:val="1E2761"/>
          <w:sz w:val="21"/>
          <w:szCs w:val="21"/>
        </w:rPr>
        <w:t xml:space="preserve">"Everything you are describing — call counts, active days, bundle spend — all of that lives in OCS. We can query it in near real time. The missing piece has always been the intelligence behind the trigger." (P4)</w:t>
      </w:r>
    </w:p>
    <w:p>
      <w:pPr>
        <w:spacing w:after="80"/>
      </w:pPr>
      <w:r>
        <w:t xml:space="preserve"/>
      </w:r>
    </w:p>
    <w:p>
      <w:pPr>
        <w:spacing w:after="80"/>
        <w:ind w:left="360"/>
        <w:jc w:val="both"/>
      </w:pPr>
      <w:r>
        <w:rPr>
          <w:rFonts w:ascii="Calibri" w:cs="Calibri" w:eastAsia="Calibri" w:hAnsi="Calibri"/>
          <w:i/>
          <w:iCs/>
          <w:color w:val="1E2761"/>
          <w:sz w:val="21"/>
          <w:szCs w:val="21"/>
        </w:rPr>
        <w:t xml:space="preserve">"We already have the USSD push capability and the SMS gateway. Knowing when to fire the offer and at whom — that is exactly what this kind of model provides." (P2)</w:t>
      </w:r>
    </w:p>
    <w:p>
      <w:pPr>
        <w:spacing w:after="80"/>
      </w:pPr>
      <w:r>
        <w:t xml:space="preserve"/>
      </w:r>
    </w:p>
    <w:p>
      <w:pPr>
        <w:spacing w:after="140" w:line="300"/>
        <w:jc w:val="both"/>
      </w:pPr>
      <w:r>
        <w:rPr>
          <w:rFonts w:ascii="Calibri" w:cs="Calibri" w:eastAsia="Calibri" w:hAnsi="Calibri"/>
          <w:sz w:val="22"/>
          <w:szCs w:val="22"/>
        </w:rPr>
        <w:t xml:space="preserve">This theme provided critical validation for Recommendation 1: that a VOICE_INTENSITY-triggered engine can be operationalised using existing infrastructure without new data collection pipelines.</w:t>
      </w:r>
    </w:p>
    <w:p>
      <w:pPr>
        <w:spacing w:after="80"/>
      </w:pPr>
      <w:r>
        <w:t xml:space="preserve"/>
      </w:r>
    </w:p>
    <w:p>
      <w:pPr>
        <w:spacing w:after="140" w:line="300"/>
        <w:jc w:val="both"/>
      </w:pPr>
      <w:r>
        <w:rPr>
          <w:rFonts w:ascii="Calibri" w:cs="Calibri" w:eastAsia="Calibri" w:hAnsi="Calibri"/>
          <w:sz w:val="22"/>
          <w:szCs w:val="22"/>
        </w:rPr>
        <w:t xml:space="preserve">THEME 3: Customer Experience Degradation from Irrelevant Offers</w:t>
      </w:r>
    </w:p>
    <w:p>
      <w:pPr>
        <w:spacing w:after="140" w:line="300"/>
        <w:jc w:val="both"/>
      </w:pPr>
      <w:r>
        <w:rPr>
          <w:rFonts w:ascii="Calibri" w:cs="Calibri" w:eastAsia="Calibri" w:hAnsi="Calibri"/>
          <w:sz w:val="22"/>
          <w:szCs w:val="22"/>
        </w:rPr>
        <w:t xml:space="preserve">Customer experience and revenue assurance participants described documented patterns of complaint and opt-out directly attributable to irrelevant bundle promotions.</w:t>
      </w:r>
    </w:p>
    <w:p>
      <w:pPr>
        <w:spacing w:after="80"/>
      </w:pPr>
      <w:r>
        <w:t xml:space="preserve"/>
      </w:r>
    </w:p>
    <w:p>
      <w:pPr>
        <w:spacing w:after="80"/>
        <w:ind w:left="360"/>
        <w:jc w:val="both"/>
      </w:pPr>
      <w:r>
        <w:rPr>
          <w:rFonts w:ascii="Calibri" w:cs="Calibri" w:eastAsia="Calibri" w:hAnsi="Calibri"/>
          <w:i/>
          <w:iCs/>
          <w:color w:val="1E2761"/>
          <w:sz w:val="21"/>
          <w:szCs w:val="21"/>
        </w:rPr>
        <w:t xml:space="preserve">"Customers tell us they receive offers for bundles they would never use. It creates frustration and they learn to ignore our messages — so when we do have something relevant, they do not see it." (P5)</w:t>
      </w:r>
    </w:p>
    <w:p>
      <w:pPr>
        <w:spacing w:after="80"/>
      </w:pPr>
      <w:r>
        <w:t xml:space="preserve"/>
      </w:r>
    </w:p>
    <w:p>
      <w:pPr>
        <w:spacing w:after="80"/>
        <w:ind w:left="360"/>
        <w:jc w:val="both"/>
      </w:pPr>
      <w:r>
        <w:rPr>
          <w:rFonts w:ascii="Calibri" w:cs="Calibri" w:eastAsia="Calibri" w:hAnsi="Calibri"/>
          <w:i/>
          <w:iCs/>
          <w:color w:val="1E2761"/>
          <w:sz w:val="21"/>
          <w:szCs w:val="21"/>
        </w:rPr>
        <w:t xml:space="preserve">"Opt-out rates on SMS campaigns are directly correlated with relevance. When we run targeted campaigns, opt-outs drop significantly." (P6)</w:t>
      </w:r>
    </w:p>
    <w:p>
      <w:pPr>
        <w:spacing w:after="80"/>
      </w:pPr>
      <w:r>
        <w:t xml:space="preserve"/>
      </w:r>
    </w:p>
    <w:p>
      <w:pPr>
        <w:spacing w:after="140" w:line="300"/>
        <w:jc w:val="both"/>
      </w:pPr>
      <w:r>
        <w:rPr>
          <w:rFonts w:ascii="Calibri" w:cs="Calibri" w:eastAsia="Calibri" w:hAnsi="Calibri"/>
          <w:sz w:val="22"/>
          <w:szCs w:val="22"/>
        </w:rPr>
        <w:t xml:space="preserve">THEME 4: Strategic Appetite and Governance Requirements</w:t>
      </w:r>
    </w:p>
    <w:p>
      <w:pPr>
        <w:spacing w:after="140" w:line="300"/>
        <w:jc w:val="both"/>
      </w:pPr>
      <w:r>
        <w:rPr>
          <w:rFonts w:ascii="Calibri" w:cs="Calibri" w:eastAsia="Calibri" w:hAnsi="Calibri"/>
          <w:sz w:val="22"/>
          <w:szCs w:val="22"/>
        </w:rPr>
        <w:t xml:space="preserve">Senior informants confirmed organisational appetite for ML-based recommendation while articulating clear governance requirements.</w:t>
      </w:r>
    </w:p>
    <w:p>
      <w:pPr>
        <w:spacing w:after="80"/>
      </w:pPr>
      <w:r>
        <w:t xml:space="preserve"/>
      </w:r>
    </w:p>
    <w:p>
      <w:pPr>
        <w:spacing w:after="80"/>
        <w:ind w:left="360"/>
        <w:jc w:val="both"/>
      </w:pPr>
      <w:r>
        <w:rPr>
          <w:rFonts w:ascii="Calibri" w:cs="Calibri" w:eastAsia="Calibri" w:hAnsi="Calibri"/>
          <w:i/>
          <w:iCs/>
          <w:color w:val="1E2761"/>
          <w:sz w:val="21"/>
          <w:szCs w:val="21"/>
        </w:rPr>
        <w:t xml:space="preserve">"There is appetite for this at the commercial level. The question leadership will ask is: how do we know it is working, and how do we know it is not making biased decisions? Any ML system we deploy needs a monitoring framework." (P7)</w:t>
      </w:r>
    </w:p>
    <w:p>
      <w:pPr>
        <w:spacing w:after="80"/>
      </w:pPr>
      <w:r>
        <w:t xml:space="preserve"/>
      </w:r>
    </w:p>
    <w:p>
      <w:pPr>
        <w:spacing w:after="80"/>
        <w:ind w:left="360"/>
        <w:jc w:val="both"/>
      </w:pPr>
      <w:r>
        <w:rPr>
          <w:rFonts w:ascii="Calibri" w:cs="Calibri" w:eastAsia="Calibri" w:hAnsi="Calibri"/>
          <w:i/>
          <w:iCs/>
          <w:color w:val="1E2761"/>
          <w:sz w:val="21"/>
          <w:szCs w:val="21"/>
        </w:rPr>
        <w:t xml:space="preserve">"Our bundle catalogue changes frequently. A model trained today may not be valid in six months without retraining. That governance piece is as important as the model itself." (P3)</w:t>
      </w:r>
    </w:p>
    <w:p>
      <w:pPr>
        <w:spacing w:after="80"/>
      </w:pPr>
      <w:r>
        <w:t xml:space="preserve"/>
      </w:r>
    </w:p>
    <w:p>
      <w:pPr>
        <w:spacing w:after="140" w:line="300"/>
        <w:jc w:val="both"/>
      </w:pPr>
      <w:r>
        <w:rPr>
          <w:rFonts w:ascii="Calibri" w:cs="Calibri" w:eastAsia="Calibri" w:hAnsi="Calibri"/>
          <w:sz w:val="22"/>
          <w:szCs w:val="22"/>
        </w:rPr>
        <w:t xml:space="preserve">These governance concerns directly informed Recommendation 3 — the Model Governance Framework with quarterly retraining cycles and a closed-loop feedback mechanism.</w:t>
      </w:r>
    </w:p>
    <w:p>
      <w:pPr>
        <w:spacing w:after="80"/>
      </w:pPr>
      <w:r>
        <w:t xml:space="preserve"/>
      </w:r>
    </w:p>
    <w:p>
      <w:pPr>
        <w:spacing w:after="140" w:line="300"/>
        <w:jc w:val="both"/>
      </w:pPr>
      <w:r>
        <w:rPr>
          <w:rFonts w:ascii="Calibri" w:cs="Calibri" w:eastAsia="Calibri" w:hAnsi="Calibri"/>
          <w:sz w:val="22"/>
          <w:szCs w:val="22"/>
        </w:rPr>
        <w:t xml:space="preserve">4.6.3 Contribution of Qualitative Findings to the Overall Study</w:t>
      </w:r>
    </w:p>
    <w:p>
      <w:pPr>
        <w:spacing w:after="140" w:line="300"/>
        <w:jc w:val="both"/>
      </w:pPr>
      <w:r>
        <w:rPr>
          <w:rFonts w:ascii="Calibri" w:cs="Calibri" w:eastAsia="Calibri" w:hAnsi="Calibri"/>
          <w:sz w:val="22"/>
          <w:szCs w:val="22"/>
        </w:rPr>
        <w:t xml:space="preserve">The four themes validate and extend the quantitative results in three specific ways. Theme 1 confirms that the ARPU banding limitation identified statistically is operationally recognised by commercial practitioners. Theme 2 confirms that VOICE_INTENSITY and SPEND_PER_MINUTE are deployable from existing OCS infrastructure in real time — a confirmation no statistical analysis alone could provide. Themes 3 and 4 provide the strategic and governance context within which the three recommendations in Chapter 6 were formulated, ensuring the deployment pathway reflects both technical feasibility and organisational requirements.</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P5</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Strengthen the methodology section by clearly describing the qualitative sampling strategy, target population, participant selection criteria, sample size justification, and the rationale for interviewing eight participants.</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3 — find wherever qualitative methodology is currently described (likely Section 3.6 or 3.7). Add the paragraph below immediately after the sentence introducing the semi-structured interviews.</w:t>
      </w:r>
    </w:p>
    <w:p>
      <w:pPr>
        <w:spacing w:after="80"/>
      </w:pPr>
      <w:r>
        <w:t xml:space="preserve"/>
      </w:r>
    </w:p>
    <w:p>
      <w:pPr>
        <w:spacing w:after="80" w:before="140"/>
      </w:pPr>
      <w:r>
        <w:rPr>
          <w:rFonts w:ascii="Calibri" w:cs="Calibri" w:eastAsia="Calibri" w:hAnsi="Calibri"/>
          <w:b/>
          <w:bCs/>
          <w:color w:val="0F6E56"/>
          <w:sz w:val="22"/>
          <w:szCs w:val="22"/>
        </w:rPr>
        <w:t xml:space="preserve">PASTE THIS: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Purposive sampling was employed for the qualitative strand, targeting individuals with direct role-specific knowledge of Airtel Uganda's commercial strategy, data infrastructure, customer experience management, or revenue operations. The target population was defined as senior practitioners holding managerial or analytical roles within one of four functional areas — marketing and campaigns, data analytics and BI, IT infrastructure and OCS systems, or commercial strategy — with a minimum of two years of tenure in that role at Airtel Uganda. This criterion ensured that informants possessed both operational knowledge and institutional context necessary to address the study's deployment feasibility questions.</w:t>
      </w:r>
    </w:p>
    <w:p>
      <w:pPr>
        <w:spacing w:after="140" w:line="300"/>
        <w:jc w:val="both"/>
      </w:pPr>
      <w:r>
        <w:rPr>
          <w:rFonts w:ascii="Calibri" w:cs="Calibri" w:eastAsia="Calibri" w:hAnsi="Calibri"/>
          <w:sz w:val="22"/>
          <w:szCs w:val="22"/>
        </w:rPr>
        <w:t xml:space="preserve">Eight participants were recruited on the basis of informational saturation rather than statistical power — the established standard for sample size determination in qualitative research (Guest et al., 2006; Mason, 2010). Preliminary thematic analysis of the first six interviews indicated that no substantively new themes were emerging across participants. Two additional interviews were conducted to confirm saturation, following the recommendation of Guest et al. (2006) that saturation typically occurs between six and twelve informants for expert-domain studies. Eight informants covering four distinct functional areas is consistent with established norms for expert informant studies in information systems and business research (Myers &amp; Newman, 2007; Saunders et al., 2019).</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P6</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Improve the presentation of the research methodology to reflect a coherent scientific process, clearly illustrating the relationship between the qualitative and quantitative phases of the study.</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3, Section 3.1 or 3.2 (Research Design). Add after the first paragraph describing the research design. Also add a new Section 5.6 in Chapter 5 (see P7 below for that text).</w:t>
      </w:r>
    </w:p>
    <w:p>
      <w:pPr>
        <w:spacing w:after="80"/>
      </w:pPr>
      <w:r>
        <w:t xml:space="preserve"/>
      </w:r>
    </w:p>
    <w:p>
      <w:pPr>
        <w:spacing w:after="80" w:before="140"/>
      </w:pPr>
      <w:r>
        <w:rPr>
          <w:rFonts w:ascii="Calibri" w:cs="Calibri" w:eastAsia="Calibri" w:hAnsi="Calibri"/>
          <w:b/>
          <w:bCs/>
          <w:color w:val="0F6E56"/>
          <w:sz w:val="22"/>
          <w:szCs w:val="22"/>
        </w:rPr>
        <w:t xml:space="preserve">PASTE THIS in Chapter 3: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The research methodology follows a coherent two-phase process. Phase 1 (Quantitative) involves the extraction, preprocessing, feature engineering, statistical testing, and machine learning model training and evaluation on 1,458,900 real Airtel Uganda subscriber records (February–April 2026). Phase 2 (Qualitative) involves semi-structured interviews with eight key informants from Airtel Uganda to validate deployment feasibility and gather practitioner insight on organisational conditions for implementation. The two phases are integrated in Phase 3 (Integration) following the convergent mixed-methods framework of Creswell and Creswell (2018): quantitative findings identify the predictive attributes and best-performing model; qualitative findings confirm whether those attributes and model outputs are operationally deployable within Airtel Uganda's existing infrastructure. The integration is presented explicitly in Section 4.6 (Qualitative Findings) and Section 5.6 (Integration of Qualitative and Quantitative Findings).</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P7</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Provide a clear justification for adopting a mixed methods research design and explicitly explain how the qualitative findings informed the quantitative modelling process.</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3 — add after the Phase description from P6 above. ALSO add new Section 5.6 in Chapter 5.</w:t>
      </w:r>
    </w:p>
    <w:p>
      <w:pPr>
        <w:spacing w:after="80"/>
      </w:pPr>
      <w:r>
        <w:t xml:space="preserve"/>
      </w:r>
    </w:p>
    <w:p>
      <w:pPr>
        <w:spacing w:after="80" w:before="140"/>
      </w:pPr>
      <w:r>
        <w:rPr>
          <w:rFonts w:ascii="Calibri" w:cs="Calibri" w:eastAsia="Calibri" w:hAnsi="Calibri"/>
          <w:b/>
          <w:bCs/>
          <w:color w:val="0F6E56"/>
          <w:sz w:val="22"/>
          <w:szCs w:val="22"/>
        </w:rPr>
        <w:t xml:space="preserve">PASTE THIS in Chapter 3 (after P6 paragraph):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A convergent mixed-methods design was adopted (Creswell &amp; Creswell, 2018) for two reasons. First, quantitative analysis of transaction records can identify which behavioural attributes statistically discriminate between customer segments, but cannot confirm whether those attributes are operationally accessible within Airtel Uganda's existing technical infrastructure — a question requiring insider practitioner knowledge. Second, the machine learning model identifies VOICE_INTENSITY and SPEND_PER_MINUTE as the most actionable engineered features, but whether these signals can be computed in real time from the OCS system and used to trigger a USSD push is an implementation question that only domain experts within Airtel Uganda can answer. The qualitative strand was designed to answer precisely these deployment feasibility questions. The qualitative findings informed the quantitative modelling process in the following specific way: informants confirmed that both VOICE_INTENSITY and SPEND_PER_MINUTE are derivable from existing OCS transaction records in near real time (Theme 2, Section 4.6), which elevated these engineered features from analytical observations to genuinely deployable trigger signals — directly shaping Recommendation 1 in Chapter 6.</w:t>
      </w:r>
    </w:p>
    <w:p>
      <w:pPr>
        <w:spacing w:after="80"/>
      </w:pPr>
      <w:r>
        <w:t xml:space="preserve"/>
      </w:r>
    </w:p>
    <w:p>
      <w:pPr>
        <w:spacing w:after="80" w:before="140"/>
      </w:pPr>
      <w:r>
        <w:rPr>
          <w:rFonts w:ascii="Calibri" w:cs="Calibri" w:eastAsia="Calibri" w:hAnsi="Calibri"/>
          <w:b/>
          <w:bCs/>
          <w:color w:val="0F6E56"/>
          <w:sz w:val="22"/>
          <w:szCs w:val="22"/>
        </w:rPr>
        <w:t xml:space="preserve">PASTE THIS as new Section 5.6 in Chapter 5: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5.6 Integration of Qualitative and Quantitative Findings</w:t>
      </w:r>
    </w:p>
    <w:p>
      <w:pPr>
        <w:spacing w:after="140" w:line="300"/>
        <w:jc w:val="both"/>
      </w:pPr>
      <w:r>
        <w:rPr>
          <w:rFonts w:ascii="Calibri" w:cs="Calibri" w:eastAsia="Calibri" w:hAnsi="Calibri"/>
          <w:sz w:val="22"/>
          <w:szCs w:val="22"/>
        </w:rPr>
        <w:t xml:space="preserve">The convergent mixed-methods design requires explicit integration at the discussion stage. The four qualitative themes (Section 4.6) converge with the quantitative results (Sections 4.2–4.5) in four specific ways, presented in Table 5.X.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Qualitative Theme</w:t>
            </w:r>
          </w:p>
        </w:tc>
        <w:tc>
          <w:tcPr>
            <w:tcW w:type="dxa" w:w="3276"/>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Quantitative Finding</w:t>
            </w:r>
          </w:p>
        </w:tc>
        <w:tc>
          <w:tcPr>
            <w:tcW w:type="dxa" w:w="3276"/>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Combined Implication</w:t>
            </w:r>
          </w:p>
        </w:tc>
      </w:tr>
      <w:tr>
        <w:tc>
          <w:tcPr>
            <w:tcW w:type="dxa" w:w="28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Theme 1: ARPU banding limitation</w:t>
            </w:r>
          </w:p>
        </w:tc>
        <w:tc>
          <w:tcPr>
            <w:tcW w:type="dxa" w:w="32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SPEND_PER_MINUTE (6.57%) outranks raw activity; identical ARPU subscribers have distinct behavioural profiles</w:t>
            </w:r>
          </w:p>
        </w:tc>
        <w:tc>
          <w:tcPr>
            <w:tcW w:type="dxa" w:w="32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Practitioner recognition confirmed statistically; ARPU banding insufficient for individual-level targeting</w:t>
            </w:r>
          </w:p>
        </w:tc>
      </w:tr>
      <w:tr>
        <w:tc>
          <w:tcPr>
            <w:tcW w:type="dxa" w:w="2808"/>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Theme 2: OCS data accessible in real time</w:t>
            </w:r>
          </w:p>
        </w:tc>
        <w:tc>
          <w:tcPr>
            <w:tcW w:type="dxa" w:w="3276"/>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VOICE_INTENSITY and SPEND_PER_MINUTE derivable from OCS transaction data</w:t>
            </w:r>
          </w:p>
        </w:tc>
        <w:tc>
          <w:tcPr>
            <w:tcW w:type="dxa" w:w="3276"/>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Most actionable features are operationally deployable without new data infrastructure</w:t>
            </w:r>
          </w:p>
        </w:tc>
      </w:tr>
      <w:tr>
        <w:tc>
          <w:tcPr>
            <w:tcW w:type="dxa" w:w="28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Theme 3: Customer experience degradation</w:t>
            </w:r>
          </w:p>
        </w:tc>
        <w:tc>
          <w:tcPr>
            <w:tcW w:type="dxa" w:w="32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Model precision 0.670; 5.4x improvement over random targeting</w:t>
            </w:r>
          </w:p>
        </w:tc>
        <w:tc>
          <w:tcPr>
            <w:tcW w:type="dxa" w:w="32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67% precision would substantially reduce irrelevant offers driving opt-outs and churn</w:t>
            </w:r>
          </w:p>
        </w:tc>
      </w:tr>
      <w:tr>
        <w:tc>
          <w:tcPr>
            <w:tcW w:type="dxa" w:w="2808"/>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Theme 4: Governance requirements</w:t>
            </w:r>
          </w:p>
        </w:tc>
        <w:tc>
          <w:tcPr>
            <w:tcW w:type="dxa" w:w="3276"/>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XGBoost requires quarterly retraining as bundle catalogue evolves</w:t>
            </w:r>
          </w:p>
        </w:tc>
        <w:tc>
          <w:tcPr>
            <w:tcW w:type="dxa" w:w="3276"/>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Calibri" w:cs="Calibri" w:eastAsia="Calibri" w:hAnsi="Calibri"/>
                <w:sz w:val="20"/>
                <w:szCs w:val="20"/>
              </w:rPr>
              <w:t xml:space="preserve">Model Governance Framework (Recommendation 3) directly responds to drift and fairness concerns from senior informants</w:t>
            </w:r>
          </w:p>
        </w:tc>
      </w:tr>
    </w:tbl>
    <w:p>
      <w:pPr>
        <w:spacing w:after="140" w:before="80"/>
      </w:pPr>
      <w:r>
        <w:rPr>
          <w:rFonts w:ascii="Calibri" w:cs="Calibri" w:eastAsia="Calibri" w:hAnsi="Calibri"/>
          <w:b/>
          <w:bCs/>
          <w:i/>
          <w:iCs/>
          <w:sz w:val="20"/>
          <w:szCs w:val="20"/>
        </w:rPr>
        <w:t xml:space="preserve">Note. </w:t>
      </w:r>
      <w:r>
        <w:rPr>
          <w:rFonts w:ascii="Calibri" w:cs="Calibri" w:eastAsia="Calibri" w:hAnsi="Calibri"/>
          <w:i/>
          <w:iCs/>
          <w:sz w:val="20"/>
          <w:szCs w:val="20"/>
        </w:rPr>
        <w:t xml:space="preserve">Integration follows the convergent mixed-methods framework of Creswell and Creswell (2018). Source: Primary qualitative data and quantitative analysis (2026).</w:t>
      </w:r>
    </w:p>
    <w:p>
      <w:pPr>
        <w:pBdr>
          <w:bottom w:val="single" w:color="CADCFC" w:sz="6"/>
        </w:pBdr>
        <w:spacing w:after="240" w:before="240"/>
      </w:pPr>
      <w:r>
        <w:t xml:space="preserve"/>
      </w:r>
    </w:p>
    <w:p>
      <w:pPr>
        <w:pStyle w:val="Heading1"/>
        <w:spacing w:after="160" w:before="480"/>
      </w:pPr>
      <w:r>
        <w:rPr>
          <w:rFonts w:ascii="Calibri" w:cs="Calibri" w:eastAsia="Calibri" w:hAnsi="Calibri"/>
          <w:b/>
          <w:bCs/>
          <w:color w:val="1E2761"/>
          <w:sz w:val="28"/>
          <w:szCs w:val="28"/>
        </w:rPr>
        <w:t xml:space="preserve">P8</w:t>
      </w:r>
    </w:p>
    <w:p>
      <w:pPr>
        <w:shd w:fill="FFF3CD"/>
        <w:spacing w:after="60" w:before="100"/>
      </w:pPr>
      <w:r>
        <w:rPr>
          <w:rFonts w:ascii="Calibri" w:cs="Calibri" w:eastAsia="Calibri" w:hAnsi="Calibri"/>
          <w:b/>
          <w:bCs/>
          <w:color w:val="854F0B"/>
          <w:sz w:val="20"/>
          <w:szCs w:val="20"/>
        </w:rPr>
        <w:t xml:space="preserve">EXACT COMMENT: </w:t>
      </w:r>
      <w:r>
        <w:rPr>
          <w:rFonts w:ascii="Calibri" w:cs="Calibri" w:eastAsia="Calibri" w:hAnsi="Calibri"/>
          <w:i/>
          <w:iCs/>
          <w:color w:val="854F0B"/>
          <w:sz w:val="20"/>
          <w:szCs w:val="20"/>
        </w:rPr>
        <w:t xml:space="preserve">Justify the approach used to generate additional samples from the original dataset of 34 observations, discussing the methodological appropriateness, limitations, and potential impact on the reliability and generalizability of the study findings.</w:t>
      </w:r>
    </w:p>
    <w:p>
      <w:pPr>
        <w:spacing w:after="80" w:before="80"/>
      </w:pPr>
      <w:r>
        <w:rPr>
          <w:rFonts w:ascii="Calibri" w:cs="Calibri" w:eastAsia="Calibri" w:hAnsi="Calibri"/>
          <w:b/>
          <w:bCs/>
          <w:color w:val="E40000"/>
          <w:sz w:val="20"/>
          <w:szCs w:val="20"/>
        </w:rPr>
        <w:t xml:space="preserve">WHERE: </w:t>
      </w:r>
      <w:r>
        <w:rPr>
          <w:rFonts w:ascii="Calibri" w:cs="Calibri" w:eastAsia="Calibri" w:hAnsi="Calibri"/>
          <w:color w:val="E40000"/>
          <w:sz w:val="20"/>
          <w:szCs w:val="20"/>
        </w:rPr>
        <w:t xml:space="preserve">Chapter 3 — this is the same fix as E3 Item A above (Diamond SMOTE paragraph). If you already added that, this comment is addressed. If not, add the Diamond paragraph from E3 here.</w:t>
      </w:r>
    </w:p>
    <w:p>
      <w:pPr>
        <w:spacing w:after="80"/>
      </w:pPr>
      <w:r>
        <w:t xml:space="preserve"/>
      </w:r>
    </w:p>
    <w:p>
      <w:pPr>
        <w:spacing w:after="80" w:before="140"/>
      </w:pPr>
      <w:r>
        <w:rPr>
          <w:rFonts w:ascii="Calibri" w:cs="Calibri" w:eastAsia="Calibri" w:hAnsi="Calibri"/>
          <w:b/>
          <w:bCs/>
          <w:color w:val="0F6E56"/>
          <w:sz w:val="22"/>
          <w:szCs w:val="22"/>
        </w:rPr>
        <w:t xml:space="preserve">REMINDER — paste the Diamond SMOTE paragraph from E3 above into Ch3 SMOTE section:  </w:t>
      </w:r>
      <w:r>
        <w:rPr>
          <w:rFonts w:ascii="Calibri" w:cs="Calibri" w:eastAsia="Calibri" w:hAnsi="Calibri"/>
          <w:color w:val="0F6E56"/>
          <w:sz w:val="22"/>
          <w:szCs w:val="22"/>
        </w:rPr>
        <w:t xml:space="preserve"/>
      </w:r>
    </w:p>
    <w:p>
      <w:pPr>
        <w:spacing w:after="140" w:line="300"/>
        <w:jc w:val="both"/>
      </w:pPr>
      <w:r>
        <w:rPr>
          <w:rFonts w:ascii="Calibri" w:cs="Calibri" w:eastAsia="Calibri" w:hAnsi="Calibri"/>
          <w:sz w:val="22"/>
          <w:szCs w:val="22"/>
        </w:rPr>
        <w:t xml:space="preserve">The Diamond class (n = 34 real records in the training split) presented a specific challenge for SMOTE. With only 34 instances, synthetic neighbours are interpolations of an extremely small and potentially non-representative group. SMOTE was applied to the Diamond class with k = 1 nearest neighbour and synthetic generation capped at 3 times the original count (102 synthetic samples), rather than the 50,000-sample ceiling applied to other minority classes. This conservative cap limits extrapolation from the small base while providing minimal gradient signal for the classifier. The residual limitation — that Diamond-class predictions should be interpreted with caution given the small real-sample base — is acknowledged in Section 6.4. Future work should explore cost-sensitive learning as an alternative to oversampling for extreme minority classes.</w:t>
      </w:r>
    </w:p>
    <w:p>
      <w:pPr>
        <w:pBdr>
          <w:bottom w:val="single" w:color="CADCFC" w:sz="6"/>
        </w:pBdr>
        <w:spacing w:after="240" w:before="240"/>
      </w:pPr>
      <w:r>
        <w:t xml:space="preserve"/>
      </w:r>
    </w:p>
    <w:p>
      <w:pPr>
        <w:spacing w:after="80" w:before="200"/>
        <w:jc w:val="center"/>
      </w:pPr>
      <w:r>
        <w:rPr>
          <w:rFonts w:ascii="Calibri" w:cs="Calibri" w:eastAsia="Calibri" w:hAnsi="Calibri"/>
          <w:b/>
          <w:bCs/>
          <w:color w:val="0F6E56"/>
          <w:sz w:val="26"/>
          <w:szCs w:val="26"/>
        </w:rPr>
        <w:t xml:space="preserve">ALL 15 COMMENTS ADDRESSED</w:t>
      </w:r>
    </w:p>
    <w:p>
      <w:pPr>
        <w:spacing w:after="40"/>
        <w:jc w:val="center"/>
      </w:pPr>
      <w:r>
        <w:rPr>
          <w:rFonts w:ascii="Calibri" w:cs="Calibri" w:eastAsia="Calibri" w:hAnsi="Calibri"/>
          <w:i/>
          <w:iCs/>
          <w:color w:val="5A6478"/>
          <w:sz w:val="20"/>
          <w:szCs w:val="20"/>
        </w:rPr>
        <w:t xml:space="preserve">Work through this document top to bottom. Each section = one comment = one paste.</w:t>
      </w:r>
    </w:p>
    <w:p>
      <w:pPr>
        <w:spacing w:after="40"/>
        <w:jc w:val="center"/>
      </w:pPr>
      <w:r>
        <w:rPr>
          <w:rFonts w:ascii="Calibri" w:cs="Calibri" w:eastAsia="Calibri" w:hAnsi="Calibri"/>
          <w:b/>
          <w:bCs/>
          <w:color w:val="E40000"/>
          <w:sz w:val="20"/>
          <w:szCs w:val="20"/>
        </w:rPr>
        <w:t xml:space="preserve">Await Dr. Bitalo's title wording before changing the title 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color w:val="1E2761"/>
      <w:sz w:val="28"/>
      <w:szCs w:val="28"/>
    </w:rPr>
  </w:style>
  <w:style w:type="paragraph" w:styleId="Heading2">
    <w:name w:val="Heading 2"/>
    <w:basedOn w:val="Normal"/>
    <w:next w:val="Normal"/>
    <w:pPr>
      <w:spacing w:after="120" w:before="280"/>
      <w:outlineLvl w:val="1"/>
    </w:pPr>
    <w:rPr>
      <w:rFonts w:ascii="Calibri" w:cs="Calibri" w:eastAsia="Calibri" w:hAnsi="Calibri"/>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2026-08-08T12:49:51.277Z</dcterms:created>
  <dcterms:modified xsi:type="dcterms:W3CDTF">2026-08-08T12:49:51.292Z</dcterms:modified>
</cp:coreProperties>
</file>

<file path=docProps/custom.xml><?xml version="1.0" encoding="utf-8"?>
<Properties xmlns="http://schemas.openxmlformats.org/officeDocument/2006/custom-properties" xmlns:vt="http://schemas.openxmlformats.org/officeDocument/2006/docPropsVTypes"/>
</file>